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/>
        <w:ind w:left="6335"/>
      </w:pPr>
      <w:r>
        <w:t>Nr sprawy: DBA-VI.21.8.2021</w:t>
      </w:r>
    </w:p>
    <w:p>
      <w:pPr>
        <w:pStyle w:val="5"/>
        <w:spacing w:before="48"/>
        <w:ind w:left="7355"/>
      </w:pPr>
      <w:r>
        <w:t>IK 1738062</w:t>
      </w:r>
    </w:p>
    <w:p>
      <w:pPr>
        <w:pStyle w:val="5"/>
      </w:pPr>
    </w:p>
    <w:p>
      <w:pPr>
        <w:pStyle w:val="5"/>
        <w:rPr>
          <w:sz w:val="25"/>
        </w:rPr>
      </w:pPr>
    </w:p>
    <w:p>
      <w:pPr>
        <w:pStyle w:val="2"/>
        <w:spacing w:before="92"/>
        <w:ind w:left="3398" w:right="3238" w:firstLine="0"/>
        <w:jc w:val="center"/>
      </w:pPr>
      <w:r>
        <w:t>STUDIUM WYKONALNOŚCI</w:t>
      </w:r>
    </w:p>
    <w:p>
      <w:pPr>
        <w:pStyle w:val="5"/>
        <w:spacing w:before="10"/>
        <w:rPr>
          <w:b/>
          <w:sz w:val="28"/>
        </w:rPr>
      </w:pPr>
    </w:p>
    <w:p>
      <w:pPr>
        <w:spacing w:before="0"/>
        <w:ind w:left="3398" w:right="3241" w:firstLine="0"/>
        <w:jc w:val="center"/>
        <w:rPr>
          <w:b/>
          <w:sz w:val="20"/>
        </w:rPr>
      </w:pPr>
      <w:r>
        <w:rPr>
          <w:b/>
          <w:sz w:val="20"/>
        </w:rPr>
        <w:t>Opis Przedmiotu Zamówienia</w:t>
      </w:r>
      <w:bookmarkStart w:id="0" w:name="_GoBack"/>
      <w:bookmarkEnd w:id="0"/>
    </w:p>
    <w:p>
      <w:pPr>
        <w:pStyle w:val="5"/>
        <w:spacing w:before="3"/>
        <w:rPr>
          <w:b/>
          <w:sz w:val="25"/>
        </w:rPr>
      </w:pPr>
    </w:p>
    <w:p>
      <w:pPr>
        <w:spacing w:before="0" w:line="276" w:lineRule="auto"/>
        <w:ind w:left="278" w:right="117" w:firstLine="0"/>
        <w:jc w:val="both"/>
        <w:rPr>
          <w:b/>
          <w:sz w:val="20"/>
        </w:rPr>
      </w:pPr>
      <w:r>
        <w:rPr>
          <w:sz w:val="20"/>
        </w:rPr>
        <w:t xml:space="preserve">Przedmiotem   zamówienia  jest  usługa  obejmująca  </w:t>
      </w:r>
      <w:r>
        <w:rPr>
          <w:b/>
          <w:sz w:val="20"/>
        </w:rPr>
        <w:t>opracowanie  studium  wykonalności  wraz   z niezbędnymi analizami ekonomiczno-finansowymi dla projektu „Zapewnienie efektywnego systemu chłodzenia i wentylacji budynku Ministerstwa Rozwoju i Technologii przy Placu Trzech Krzyży 3/5 w Warszawie”</w:t>
      </w:r>
    </w:p>
    <w:p>
      <w:pPr>
        <w:pStyle w:val="5"/>
        <w:rPr>
          <w:b/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561"/>
          <w:tab w:val="left" w:pos="562"/>
        </w:tabs>
        <w:spacing w:before="0" w:after="0" w:line="240" w:lineRule="auto"/>
        <w:ind w:left="561" w:right="0" w:hanging="395"/>
        <w:jc w:val="left"/>
        <w:rPr>
          <w:b/>
          <w:sz w:val="20"/>
        </w:rPr>
      </w:pPr>
      <w:r>
        <w:rPr>
          <w:b/>
          <w:sz w:val="20"/>
        </w:rPr>
        <w:t>Ogólne założenia dla przyszłej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inwestycji</w:t>
      </w:r>
    </w:p>
    <w:p>
      <w:pPr>
        <w:pStyle w:val="5"/>
        <w:spacing w:before="157" w:line="276" w:lineRule="auto"/>
        <w:ind w:left="705" w:right="115"/>
        <w:jc w:val="both"/>
      </w:pPr>
      <w:r>
        <w:t>Obszar zamówienia obejmuje budynek Ministerstwa Rozwoju i Technologii przy Placu Trzech Krzyży 3/5 w Warszawie.</w:t>
      </w:r>
    </w:p>
    <w:p>
      <w:pPr>
        <w:pStyle w:val="5"/>
        <w:spacing w:before="1" w:line="276" w:lineRule="auto"/>
        <w:ind w:left="705" w:right="113"/>
        <w:jc w:val="both"/>
      </w:pPr>
      <w:r>
        <w:t>Gmach składa się z 5 kondygnacji naziemnych i 1 kondygnacji podziemnej, jest eksploatowany jako biurowy. Powierzchnia użytkowa wynosi 22 210,0 m</w:t>
      </w:r>
      <w:r>
        <w:rPr>
          <w:vertAlign w:val="superscript"/>
        </w:rPr>
        <w:t>2</w:t>
      </w:r>
      <w:r>
        <w:rPr>
          <w:vertAlign w:val="baseline"/>
        </w:rPr>
        <w:t>, kubatura wynosi 115 440 m</w:t>
      </w:r>
      <w:r>
        <w:rPr>
          <w:vertAlign w:val="superscript"/>
        </w:rPr>
        <w:t>3</w:t>
      </w:r>
      <w:r>
        <w:rPr>
          <w:vertAlign w:val="baseline"/>
        </w:rPr>
        <w:t>. Wewnątrz obiektu znajduje się dziedziniec, który w części jest podpiwniczony.</w:t>
      </w:r>
    </w:p>
    <w:p>
      <w:pPr>
        <w:pStyle w:val="5"/>
        <w:spacing w:line="276" w:lineRule="auto"/>
        <w:ind w:left="705" w:right="116" w:hanging="1"/>
        <w:jc w:val="both"/>
      </w:pPr>
      <w:r>
        <w:rPr>
          <w:spacing w:val="3"/>
        </w:rPr>
        <w:t xml:space="preserve">Przedmiotowa inwestycja </w:t>
      </w:r>
      <w:r>
        <w:rPr>
          <w:spacing w:val="2"/>
        </w:rPr>
        <w:t xml:space="preserve">będzie </w:t>
      </w:r>
      <w:r>
        <w:rPr>
          <w:spacing w:val="3"/>
        </w:rPr>
        <w:t xml:space="preserve">prowadzona wewnątrz </w:t>
      </w:r>
      <w:r>
        <w:t xml:space="preserve">i na </w:t>
      </w:r>
      <w:r>
        <w:rPr>
          <w:spacing w:val="3"/>
        </w:rPr>
        <w:t xml:space="preserve">zewnątrz budynku przy Placu Trzech Krzyży </w:t>
      </w:r>
      <w:r>
        <w:rPr>
          <w:spacing w:val="2"/>
        </w:rPr>
        <w:t xml:space="preserve">3/5 </w:t>
      </w:r>
      <w:r>
        <w:rPr>
          <w:spacing w:val="4"/>
        </w:rPr>
        <w:t xml:space="preserve">(dawny Gmach </w:t>
      </w:r>
      <w:r>
        <w:rPr>
          <w:spacing w:val="3"/>
        </w:rPr>
        <w:t xml:space="preserve">Państwowej Komisji Planowania Gospodarczego wzniesiony </w:t>
      </w:r>
      <w:r>
        <w:t xml:space="preserve">w </w:t>
      </w:r>
      <w:r>
        <w:rPr>
          <w:spacing w:val="3"/>
        </w:rPr>
        <w:t xml:space="preserve">latach 1946-1948, </w:t>
      </w:r>
      <w:r>
        <w:t xml:space="preserve">wg </w:t>
      </w:r>
      <w:r>
        <w:rPr>
          <w:spacing w:val="3"/>
        </w:rPr>
        <w:t xml:space="preserve">projektu arch. Stanisława Bieńkuńskiego </w:t>
      </w:r>
      <w:r>
        <w:t xml:space="preserve">i </w:t>
      </w:r>
      <w:r>
        <w:rPr>
          <w:spacing w:val="3"/>
        </w:rPr>
        <w:t xml:space="preserve">arch. Stanisława Rychłowskiego), który został ujęty </w:t>
      </w:r>
      <w:r>
        <w:t xml:space="preserve">w </w:t>
      </w:r>
      <w:r>
        <w:rPr>
          <w:spacing w:val="4"/>
        </w:rPr>
        <w:t xml:space="preserve">gminnej </w:t>
      </w:r>
      <w:r>
        <w:rPr>
          <w:spacing w:val="3"/>
        </w:rPr>
        <w:t>ewidencji zabytków nieruchomych</w:t>
      </w:r>
      <w:r>
        <w:rPr>
          <w:spacing w:val="61"/>
        </w:rPr>
        <w:t xml:space="preserve"> </w:t>
      </w:r>
      <w:r>
        <w:t xml:space="preserve">na </w:t>
      </w:r>
      <w:r>
        <w:rPr>
          <w:spacing w:val="3"/>
        </w:rPr>
        <w:t xml:space="preserve">postawie zarządzanie Prezydenta Miasta Stołecznego </w:t>
      </w:r>
      <w:r>
        <w:rPr>
          <w:spacing w:val="4"/>
        </w:rPr>
        <w:t xml:space="preserve">Warszawy </w:t>
      </w:r>
      <w:r>
        <w:t xml:space="preserve">nr </w:t>
      </w:r>
      <w:r>
        <w:rPr>
          <w:spacing w:val="3"/>
        </w:rPr>
        <w:t xml:space="preserve">2998/2012 </w:t>
      </w:r>
      <w:r>
        <w:t xml:space="preserve">z </w:t>
      </w:r>
      <w:r>
        <w:rPr>
          <w:spacing w:val="2"/>
        </w:rPr>
        <w:t xml:space="preserve">dnia </w:t>
      </w:r>
      <w:r>
        <w:rPr>
          <w:spacing w:val="3"/>
        </w:rPr>
        <w:t xml:space="preserve">24.07.2012r., znajduje </w:t>
      </w:r>
      <w:r>
        <w:rPr>
          <w:spacing w:val="2"/>
        </w:rPr>
        <w:t xml:space="preserve">się </w:t>
      </w:r>
      <w:r>
        <w:rPr>
          <w:spacing w:val="3"/>
        </w:rPr>
        <w:t xml:space="preserve">również </w:t>
      </w:r>
      <w:r>
        <w:t xml:space="preserve">na </w:t>
      </w:r>
      <w:r>
        <w:rPr>
          <w:spacing w:val="3"/>
        </w:rPr>
        <w:t xml:space="preserve">terenie założenia urbanistycznego Placu Trzech Krzyży wpisanego </w:t>
      </w:r>
      <w:r>
        <w:t xml:space="preserve">do </w:t>
      </w:r>
      <w:r>
        <w:rPr>
          <w:spacing w:val="3"/>
        </w:rPr>
        <w:t xml:space="preserve">rejestru zabytków </w:t>
      </w:r>
      <w:r>
        <w:rPr>
          <w:spacing w:val="2"/>
        </w:rPr>
        <w:t xml:space="preserve">pod </w:t>
      </w:r>
      <w:r>
        <w:rPr>
          <w:spacing w:val="3"/>
        </w:rPr>
        <w:t xml:space="preserve">numerem rejestru </w:t>
      </w:r>
      <w:r>
        <w:rPr>
          <w:spacing w:val="2"/>
        </w:rPr>
        <w:t xml:space="preserve">586 decyzją </w:t>
      </w:r>
      <w:r>
        <w:rPr>
          <w:spacing w:val="3"/>
        </w:rPr>
        <w:t xml:space="preserve">Konserwatora Zabytków m.st. </w:t>
      </w:r>
      <w:r>
        <w:rPr>
          <w:spacing w:val="4"/>
        </w:rPr>
        <w:t xml:space="preserve">Warszawy </w:t>
      </w:r>
      <w:r>
        <w:t xml:space="preserve">z </w:t>
      </w:r>
      <w:r>
        <w:rPr>
          <w:spacing w:val="3"/>
        </w:rPr>
        <w:t xml:space="preserve">lipca 1965r. ponadto zlokalizowany jest </w:t>
      </w:r>
      <w:r>
        <w:t xml:space="preserve">na </w:t>
      </w:r>
      <w:r>
        <w:rPr>
          <w:spacing w:val="3"/>
        </w:rPr>
        <w:t xml:space="preserve">obszarze objętym ochroną prawną, </w:t>
      </w:r>
      <w:r>
        <w:rPr>
          <w:spacing w:val="4"/>
        </w:rPr>
        <w:t xml:space="preserve">jako </w:t>
      </w:r>
      <w:r>
        <w:rPr>
          <w:spacing w:val="3"/>
        </w:rPr>
        <w:t xml:space="preserve">uznany </w:t>
      </w:r>
      <w:r>
        <w:t xml:space="preserve">za </w:t>
      </w:r>
      <w:r>
        <w:rPr>
          <w:spacing w:val="3"/>
        </w:rPr>
        <w:t xml:space="preserve">pomnik historii „Warszawy </w:t>
      </w:r>
      <w:r>
        <w:t xml:space="preserve">– </w:t>
      </w:r>
      <w:r>
        <w:rPr>
          <w:spacing w:val="3"/>
        </w:rPr>
        <w:t xml:space="preserve">historyczny </w:t>
      </w:r>
      <w:r>
        <w:rPr>
          <w:spacing w:val="2"/>
        </w:rPr>
        <w:t xml:space="preserve">zespół </w:t>
      </w:r>
      <w:r>
        <w:rPr>
          <w:spacing w:val="3"/>
        </w:rPr>
        <w:t xml:space="preserve">miasta </w:t>
      </w:r>
      <w:r>
        <w:t xml:space="preserve">z </w:t>
      </w:r>
      <w:r>
        <w:rPr>
          <w:spacing w:val="3"/>
        </w:rPr>
        <w:t xml:space="preserve">traktem królewskim </w:t>
      </w:r>
      <w:r>
        <w:t xml:space="preserve">i </w:t>
      </w:r>
      <w:r>
        <w:rPr>
          <w:spacing w:val="4"/>
        </w:rPr>
        <w:t xml:space="preserve">Wilanowem” </w:t>
      </w:r>
      <w:r>
        <w:t xml:space="preserve">na  </w:t>
      </w:r>
      <w:r>
        <w:rPr>
          <w:spacing w:val="3"/>
        </w:rPr>
        <w:t xml:space="preserve">podstawie Zarządzenia Prezydenta Rzeczypospolitej </w:t>
      </w:r>
      <w:r>
        <w:rPr>
          <w:spacing w:val="2"/>
        </w:rPr>
        <w:t xml:space="preserve">Polskiej     </w:t>
      </w:r>
      <w:r>
        <w:t xml:space="preserve">z </w:t>
      </w:r>
      <w:r>
        <w:rPr>
          <w:spacing w:val="2"/>
        </w:rPr>
        <w:t xml:space="preserve">dnia </w:t>
      </w:r>
      <w:r>
        <w:t>8</w:t>
      </w:r>
      <w:r>
        <w:rPr>
          <w:spacing w:val="20"/>
        </w:rPr>
        <w:t xml:space="preserve"> </w:t>
      </w:r>
      <w:r>
        <w:rPr>
          <w:spacing w:val="3"/>
        </w:rPr>
        <w:t xml:space="preserve">września 1994r. (M.P. </w:t>
      </w:r>
      <w:r>
        <w:rPr>
          <w:spacing w:val="2"/>
        </w:rPr>
        <w:t xml:space="preserve">Nr </w:t>
      </w:r>
      <w:r>
        <w:t xml:space="preserve">50 z </w:t>
      </w:r>
      <w:r>
        <w:rPr>
          <w:spacing w:val="2"/>
        </w:rPr>
        <w:t xml:space="preserve">dnia </w:t>
      </w:r>
      <w:r>
        <w:rPr>
          <w:spacing w:val="3"/>
        </w:rPr>
        <w:t xml:space="preserve">16.09.1994r., </w:t>
      </w:r>
      <w:r>
        <w:rPr>
          <w:spacing w:val="2"/>
        </w:rPr>
        <w:t xml:space="preserve">poz. </w:t>
      </w:r>
      <w:r>
        <w:rPr>
          <w:spacing w:val="3"/>
        </w:rPr>
        <w:t>423).</w:t>
      </w:r>
    </w:p>
    <w:p>
      <w:pPr>
        <w:pStyle w:val="5"/>
        <w:rPr>
          <w:sz w:val="22"/>
        </w:rPr>
      </w:pPr>
    </w:p>
    <w:p>
      <w:pPr>
        <w:pStyle w:val="5"/>
        <w:spacing w:before="9"/>
        <w:rPr>
          <w:sz w:val="23"/>
        </w:rPr>
      </w:pPr>
    </w:p>
    <w:p>
      <w:pPr>
        <w:pStyle w:val="2"/>
        <w:numPr>
          <w:ilvl w:val="0"/>
          <w:numId w:val="1"/>
        </w:numPr>
        <w:tabs>
          <w:tab w:val="left" w:pos="561"/>
          <w:tab w:val="left" w:pos="562"/>
        </w:tabs>
        <w:spacing w:before="0" w:after="0" w:line="240" w:lineRule="auto"/>
        <w:ind w:left="561" w:right="0" w:hanging="450"/>
        <w:jc w:val="left"/>
      </w:pPr>
      <w:r>
        <w:t>Szczegółowy zakres zamówienia przedmiotu</w:t>
      </w:r>
      <w:r>
        <w:rPr>
          <w:spacing w:val="-9"/>
        </w:rPr>
        <w:t xml:space="preserve"> </w:t>
      </w:r>
      <w:r>
        <w:t>zamówienia:</w:t>
      </w:r>
    </w:p>
    <w:p>
      <w:pPr>
        <w:pStyle w:val="7"/>
        <w:numPr>
          <w:ilvl w:val="1"/>
          <w:numId w:val="1"/>
        </w:numPr>
        <w:tabs>
          <w:tab w:val="left" w:pos="707"/>
        </w:tabs>
        <w:spacing w:before="156" w:after="0" w:line="276" w:lineRule="auto"/>
        <w:ind w:left="705" w:right="113" w:hanging="286"/>
        <w:jc w:val="both"/>
        <w:rPr>
          <w:sz w:val="20"/>
        </w:rPr>
      </w:pPr>
      <w:r>
        <w:rPr>
          <w:sz w:val="20"/>
        </w:rPr>
        <w:t>Opracowanie    studium    wykonalności    systemu    wentylacji    mechanicznej    z    rekuperacją i klimatyzacją  (wariant   podstawowy)   oraz  alternatywnego  efektywnego   systemu  chłodzenia i wentylacji (wariant</w:t>
      </w:r>
      <w:r>
        <w:rPr>
          <w:spacing w:val="-5"/>
          <w:sz w:val="20"/>
        </w:rPr>
        <w:t xml:space="preserve"> </w:t>
      </w:r>
      <w:r>
        <w:rPr>
          <w:sz w:val="20"/>
        </w:rPr>
        <w:t>dodatkowy)</w:t>
      </w:r>
    </w:p>
    <w:p>
      <w:pPr>
        <w:pStyle w:val="7"/>
        <w:numPr>
          <w:ilvl w:val="1"/>
          <w:numId w:val="1"/>
        </w:numPr>
        <w:tabs>
          <w:tab w:val="left" w:pos="707"/>
        </w:tabs>
        <w:spacing w:before="121" w:after="0" w:line="276" w:lineRule="auto"/>
        <w:ind w:left="705" w:right="116" w:hanging="286"/>
        <w:jc w:val="both"/>
        <w:rPr>
          <w:sz w:val="20"/>
        </w:rPr>
      </w:pPr>
      <w:r>
        <w:rPr>
          <w:sz w:val="20"/>
        </w:rPr>
        <w:t>Opracowanie studium wykonalności dla wariantów podstawowego i wariantu dodatkowego, polegające w szczególności na opracowaniu analiz ekonomiczno-finansowych i</w:t>
      </w:r>
      <w:r>
        <w:rPr>
          <w:spacing w:val="-18"/>
          <w:sz w:val="20"/>
        </w:rPr>
        <w:t xml:space="preserve"> </w:t>
      </w:r>
      <w:r>
        <w:rPr>
          <w:sz w:val="20"/>
        </w:rPr>
        <w:t>technicznych</w:t>
      </w:r>
    </w:p>
    <w:p>
      <w:pPr>
        <w:pStyle w:val="7"/>
        <w:numPr>
          <w:ilvl w:val="1"/>
          <w:numId w:val="1"/>
        </w:numPr>
        <w:tabs>
          <w:tab w:val="left" w:pos="707"/>
        </w:tabs>
        <w:spacing w:before="119" w:after="0" w:line="276" w:lineRule="auto"/>
        <w:ind w:left="705" w:right="118" w:hanging="286"/>
        <w:jc w:val="both"/>
        <w:rPr>
          <w:sz w:val="20"/>
        </w:rPr>
      </w:pPr>
      <w:r>
        <w:rPr>
          <w:sz w:val="20"/>
        </w:rPr>
        <w:t xml:space="preserve">Studium wykonalności </w:t>
      </w:r>
      <w:r>
        <w:rPr>
          <w:spacing w:val="2"/>
          <w:sz w:val="20"/>
        </w:rPr>
        <w:t xml:space="preserve">ma </w:t>
      </w:r>
      <w:r>
        <w:rPr>
          <w:sz w:val="20"/>
        </w:rPr>
        <w:t>umożliwić dokonanie oceny projektów przede wszystkim pod kątem potrzeb i możliwości realizacji oraz ich efektywności i</w:t>
      </w:r>
      <w:r>
        <w:rPr>
          <w:spacing w:val="-11"/>
          <w:sz w:val="20"/>
        </w:rPr>
        <w:t xml:space="preserve"> </w:t>
      </w:r>
      <w:r>
        <w:rPr>
          <w:sz w:val="20"/>
        </w:rPr>
        <w:t>celowości.</w:t>
      </w:r>
    </w:p>
    <w:p>
      <w:pPr>
        <w:pStyle w:val="7"/>
        <w:numPr>
          <w:ilvl w:val="1"/>
          <w:numId w:val="1"/>
        </w:numPr>
        <w:tabs>
          <w:tab w:val="left" w:pos="707"/>
        </w:tabs>
        <w:spacing w:before="119" w:after="0" w:line="278" w:lineRule="auto"/>
        <w:ind w:left="705" w:right="115" w:hanging="286"/>
        <w:jc w:val="both"/>
        <w:rPr>
          <w:sz w:val="20"/>
        </w:rPr>
      </w:pPr>
      <w:r>
        <w:rPr>
          <w:sz w:val="20"/>
        </w:rPr>
        <w:t>Opracowanie powinno zidentyfikować ewentualne problemy i ryzyka dla wariantu podstawowego  i wariantu</w:t>
      </w:r>
      <w:r>
        <w:rPr>
          <w:spacing w:val="-3"/>
          <w:sz w:val="20"/>
        </w:rPr>
        <w:t xml:space="preserve"> </w:t>
      </w:r>
      <w:r>
        <w:rPr>
          <w:sz w:val="20"/>
        </w:rPr>
        <w:t>dodatkowego.</w:t>
      </w:r>
    </w:p>
    <w:p>
      <w:pPr>
        <w:pStyle w:val="7"/>
        <w:numPr>
          <w:ilvl w:val="1"/>
          <w:numId w:val="1"/>
        </w:numPr>
        <w:tabs>
          <w:tab w:val="left" w:pos="707"/>
        </w:tabs>
        <w:spacing w:before="117" w:after="0" w:line="276" w:lineRule="auto"/>
        <w:ind w:left="705" w:right="112" w:hanging="286"/>
        <w:jc w:val="both"/>
        <w:rPr>
          <w:sz w:val="20"/>
        </w:rPr>
      </w:pPr>
      <w:r>
        <w:rPr>
          <w:sz w:val="20"/>
        </w:rPr>
        <w:t xml:space="preserve">Studium </w:t>
      </w:r>
      <w:r>
        <w:rPr>
          <w:spacing w:val="2"/>
          <w:sz w:val="20"/>
        </w:rPr>
        <w:t xml:space="preserve">ma </w:t>
      </w:r>
      <w:r>
        <w:rPr>
          <w:sz w:val="20"/>
        </w:rPr>
        <w:t>określić mocne i słabe strony projektów oraz możliwości i zagrożenia z nimi związane, a także zasoby jakie będą niezbędne oraz czas potrzebny do jego realizacji, a także ocenę szans ich powodzenia.</w:t>
      </w:r>
    </w:p>
    <w:p>
      <w:pPr>
        <w:pStyle w:val="7"/>
        <w:numPr>
          <w:ilvl w:val="1"/>
          <w:numId w:val="1"/>
        </w:numPr>
        <w:tabs>
          <w:tab w:val="left" w:pos="707"/>
        </w:tabs>
        <w:spacing w:before="119" w:after="0" w:line="276" w:lineRule="auto"/>
        <w:ind w:left="705" w:right="115" w:hanging="286"/>
        <w:jc w:val="both"/>
        <w:rPr>
          <w:sz w:val="20"/>
        </w:rPr>
      </w:pPr>
      <w:r>
        <w:rPr>
          <w:sz w:val="20"/>
        </w:rPr>
        <w:t>Studium ma umożliwić Zamawiającemu na podstawie wykonanej analizy porównawczej uwzględniającej koszty projektu, realizacji i eksploatacji systemu przez min. 20 lat dokonanie wyboru optymalnego wariantu do dalszego etapu projektowego i</w:t>
      </w:r>
      <w:r>
        <w:rPr>
          <w:spacing w:val="-10"/>
          <w:sz w:val="20"/>
        </w:rPr>
        <w:t xml:space="preserve"> </w:t>
      </w:r>
      <w:r>
        <w:rPr>
          <w:sz w:val="20"/>
        </w:rPr>
        <w:t>wykonawczego.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1020" w:right="1300" w:bottom="280" w:left="114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562"/>
        </w:tabs>
        <w:spacing w:before="76" w:after="0" w:line="240" w:lineRule="auto"/>
        <w:ind w:left="561" w:right="0" w:hanging="440"/>
        <w:jc w:val="both"/>
      </w:pPr>
      <w:r>
        <w:t>Analiza ryzyka i analiza</w:t>
      </w:r>
      <w:r>
        <w:rPr>
          <w:spacing w:val="-2"/>
        </w:rPr>
        <w:t xml:space="preserve"> </w:t>
      </w:r>
      <w:r>
        <w:t>wrażliwości:</w:t>
      </w:r>
    </w:p>
    <w:p>
      <w:pPr>
        <w:pStyle w:val="5"/>
        <w:spacing w:before="157" w:line="276" w:lineRule="auto"/>
        <w:ind w:left="705" w:right="111"/>
        <w:jc w:val="both"/>
      </w:pPr>
      <w:r>
        <w:t>Zadaniem Wykonawcy jest  przeprowadzenie analizy w oparciu o Wytyczne  analizy wrażliwości   i ryzyka. Ponadto Wykonawca powinien zidentyfikować kluczowe dla realizacji przedsięwzięcia ryzyka, w tym formalno-instytucjonalne, ekologiczno-techniczne i społeczne oraz zarekomendować środki zaradcze, które powinny zminimalizować negatywny wpływ zidentyfikowanych obszarów</w:t>
      </w:r>
      <w:r>
        <w:rPr>
          <w:spacing w:val="-3"/>
        </w:rPr>
        <w:t xml:space="preserve"> </w:t>
      </w:r>
      <w:r>
        <w:t>ryzyka.</w:t>
      </w:r>
    </w:p>
    <w:p>
      <w:pPr>
        <w:pStyle w:val="5"/>
        <w:rPr>
          <w:sz w:val="22"/>
        </w:rPr>
      </w:pPr>
    </w:p>
    <w:p>
      <w:pPr>
        <w:pStyle w:val="5"/>
        <w:spacing w:before="7"/>
        <w:rPr>
          <w:sz w:val="23"/>
        </w:rPr>
      </w:pPr>
    </w:p>
    <w:p>
      <w:pPr>
        <w:pStyle w:val="2"/>
        <w:numPr>
          <w:ilvl w:val="0"/>
          <w:numId w:val="1"/>
        </w:numPr>
        <w:tabs>
          <w:tab w:val="left" w:pos="705"/>
        </w:tabs>
        <w:spacing w:before="1" w:after="0" w:line="240" w:lineRule="auto"/>
        <w:ind w:left="704" w:right="0" w:hanging="530"/>
        <w:jc w:val="both"/>
      </w:pPr>
      <w:r>
        <w:t>Obowiązki</w:t>
      </w:r>
      <w:r>
        <w:rPr>
          <w:spacing w:val="-2"/>
        </w:rPr>
        <w:t xml:space="preserve"> </w:t>
      </w:r>
      <w:r>
        <w:t>Zamawiającego:</w:t>
      </w:r>
    </w:p>
    <w:p>
      <w:pPr>
        <w:pStyle w:val="5"/>
        <w:spacing w:before="38" w:line="276" w:lineRule="auto"/>
        <w:ind w:left="705" w:right="113"/>
        <w:jc w:val="both"/>
      </w:pPr>
      <w:r>
        <w:t>Zamawiający przekaże Wykonawcy niezbędne dla realizacji zadania posiadane informacje, dokumentacje techniczne i inne opracowania oraz zapewni swobodny dostęp do tych części obiektu, które Wykonawca uzna za niezbędne do prawidłowej realizacji Zamówienia</w:t>
      </w:r>
    </w:p>
    <w:p>
      <w:pPr>
        <w:pStyle w:val="5"/>
        <w:spacing w:before="1"/>
        <w:rPr>
          <w:sz w:val="18"/>
        </w:rPr>
      </w:pPr>
    </w:p>
    <w:p>
      <w:pPr>
        <w:pStyle w:val="2"/>
        <w:numPr>
          <w:ilvl w:val="0"/>
          <w:numId w:val="1"/>
        </w:numPr>
        <w:tabs>
          <w:tab w:val="left" w:pos="707"/>
        </w:tabs>
        <w:spacing w:before="0" w:after="0" w:line="240" w:lineRule="auto"/>
        <w:ind w:left="706" w:right="0" w:hanging="477"/>
        <w:jc w:val="both"/>
      </w:pPr>
      <w:r>
        <w:t>Pozostałe obowiązki</w:t>
      </w:r>
      <w:r>
        <w:rPr>
          <w:spacing w:val="-4"/>
        </w:rPr>
        <w:t xml:space="preserve"> </w:t>
      </w:r>
      <w:r>
        <w:t>Wykonawcy:</w:t>
      </w:r>
    </w:p>
    <w:p>
      <w:pPr>
        <w:pStyle w:val="5"/>
        <w:spacing w:before="4"/>
        <w:rPr>
          <w:b/>
          <w:sz w:val="26"/>
        </w:rPr>
      </w:pPr>
    </w:p>
    <w:p>
      <w:pPr>
        <w:pStyle w:val="7"/>
        <w:numPr>
          <w:ilvl w:val="1"/>
          <w:numId w:val="1"/>
        </w:numPr>
        <w:tabs>
          <w:tab w:val="left" w:pos="705"/>
        </w:tabs>
        <w:spacing w:before="0" w:after="0" w:line="276" w:lineRule="auto"/>
        <w:ind w:left="705" w:right="111" w:hanging="284"/>
        <w:jc w:val="both"/>
        <w:rPr>
          <w:sz w:val="20"/>
        </w:rPr>
      </w:pPr>
      <w:r>
        <w:rPr>
          <w:sz w:val="20"/>
        </w:rPr>
        <w:t>Wykonawca zobowiązany jest współpracować z Zamawiającym na każdym etapie prac oraz uwzględniać jego uwagi i</w:t>
      </w:r>
      <w:r>
        <w:rPr>
          <w:spacing w:val="-2"/>
          <w:sz w:val="20"/>
        </w:rPr>
        <w:t xml:space="preserve"> </w:t>
      </w:r>
      <w:r>
        <w:rPr>
          <w:sz w:val="20"/>
        </w:rPr>
        <w:t>spostrzeżenia.</w:t>
      </w:r>
    </w:p>
    <w:p>
      <w:pPr>
        <w:pStyle w:val="7"/>
        <w:numPr>
          <w:ilvl w:val="1"/>
          <w:numId w:val="1"/>
        </w:numPr>
        <w:tabs>
          <w:tab w:val="left" w:pos="705"/>
        </w:tabs>
        <w:spacing w:before="0" w:after="0" w:line="276" w:lineRule="auto"/>
        <w:ind w:left="705" w:right="111" w:hanging="284"/>
        <w:jc w:val="both"/>
        <w:rPr>
          <w:sz w:val="20"/>
        </w:rPr>
      </w:pPr>
      <w:r>
        <w:rPr>
          <w:sz w:val="20"/>
        </w:rPr>
        <w:t>Wykonawca  zobowiązany będzie do uczestniczenia w roboczych spotkaniach organizowanych  w siedzibie Zamawiającego lub w innym miejscu wskazanym przez Zamawiającego. Celem roboczych spotkań będzie omówienie spraw związanych z realizacją przedmiotu umowy oraz sprawdzenie prawidłowości, zaawansowania i terminowości</w:t>
      </w:r>
      <w:r>
        <w:rPr>
          <w:spacing w:val="-9"/>
          <w:sz w:val="20"/>
        </w:rPr>
        <w:t xml:space="preserve"> </w:t>
      </w:r>
      <w:r>
        <w:rPr>
          <w:sz w:val="20"/>
        </w:rPr>
        <w:t>prac.</w:t>
      </w:r>
    </w:p>
    <w:p>
      <w:pPr>
        <w:pStyle w:val="7"/>
        <w:numPr>
          <w:ilvl w:val="1"/>
          <w:numId w:val="1"/>
        </w:numPr>
        <w:tabs>
          <w:tab w:val="left" w:pos="705"/>
        </w:tabs>
        <w:spacing w:before="0" w:after="0" w:line="276" w:lineRule="auto"/>
        <w:ind w:left="705" w:right="118" w:hanging="284"/>
        <w:jc w:val="both"/>
        <w:rPr>
          <w:sz w:val="20"/>
        </w:rPr>
      </w:pPr>
      <w:r>
        <w:rPr>
          <w:sz w:val="20"/>
        </w:rPr>
        <w:t>Wykonawca przeniesie na Zamawiającego wszelkie prawa autorskie do opracowanego studium wykonalności.</w:t>
      </w:r>
    </w:p>
    <w:p>
      <w:pPr>
        <w:pStyle w:val="7"/>
        <w:numPr>
          <w:ilvl w:val="1"/>
          <w:numId w:val="1"/>
        </w:numPr>
        <w:tabs>
          <w:tab w:val="left" w:pos="705"/>
        </w:tabs>
        <w:spacing w:before="0" w:after="0" w:line="276" w:lineRule="auto"/>
        <w:ind w:left="705" w:right="118" w:hanging="284"/>
        <w:jc w:val="both"/>
        <w:rPr>
          <w:sz w:val="20"/>
        </w:rPr>
      </w:pPr>
      <w:r>
        <w:rPr>
          <w:sz w:val="20"/>
        </w:rPr>
        <w:t>Wykonawca ponosi odpowiedzialność z tytułu gwarancji i rękojmi za wady w przedmiocie umowy, które będą liczone 5 lat od dnia podpisania protokołu</w:t>
      </w:r>
      <w:r>
        <w:rPr>
          <w:spacing w:val="-6"/>
          <w:sz w:val="20"/>
        </w:rPr>
        <w:t xml:space="preserve"> </w:t>
      </w:r>
      <w:r>
        <w:rPr>
          <w:sz w:val="20"/>
        </w:rPr>
        <w:t>zdawczo-odbiorczego.</w:t>
      </w:r>
    </w:p>
    <w:p>
      <w:pPr>
        <w:pStyle w:val="7"/>
        <w:numPr>
          <w:ilvl w:val="1"/>
          <w:numId w:val="1"/>
        </w:numPr>
        <w:tabs>
          <w:tab w:val="left" w:pos="705"/>
        </w:tabs>
        <w:spacing w:before="0" w:after="0" w:line="276" w:lineRule="auto"/>
        <w:ind w:left="705" w:right="115" w:hanging="284"/>
        <w:jc w:val="both"/>
        <w:rPr>
          <w:sz w:val="20"/>
        </w:rPr>
      </w:pPr>
      <w:r>
        <w:rPr>
          <w:sz w:val="20"/>
        </w:rPr>
        <w:t>Opracowanie, będące przedmiotem niniejszego zamówienia, Wykonawca przekaże Zamawiającemu w następującej formie i</w:t>
      </w:r>
      <w:r>
        <w:rPr>
          <w:spacing w:val="-8"/>
          <w:sz w:val="20"/>
        </w:rPr>
        <w:t xml:space="preserve"> </w:t>
      </w:r>
      <w:r>
        <w:rPr>
          <w:sz w:val="20"/>
        </w:rPr>
        <w:t>ilości:</w:t>
      </w:r>
    </w:p>
    <w:p>
      <w:pPr>
        <w:pStyle w:val="7"/>
        <w:numPr>
          <w:ilvl w:val="2"/>
          <w:numId w:val="1"/>
        </w:numPr>
        <w:tabs>
          <w:tab w:val="left" w:pos="1131"/>
        </w:tabs>
        <w:spacing w:before="0" w:after="0" w:line="276" w:lineRule="auto"/>
        <w:ind w:left="1130" w:right="114" w:hanging="360"/>
        <w:jc w:val="both"/>
        <w:rPr>
          <w:sz w:val="20"/>
        </w:rPr>
      </w:pPr>
      <w:r>
        <w:rPr>
          <w:sz w:val="20"/>
        </w:rPr>
        <w:t>w 4 egzemplarzach w formie papierowej (wydruk kolorowy, zbindowany, podpisany przez Wykonawcę).</w:t>
      </w:r>
    </w:p>
    <w:p>
      <w:pPr>
        <w:pStyle w:val="7"/>
        <w:numPr>
          <w:ilvl w:val="2"/>
          <w:numId w:val="1"/>
        </w:numPr>
        <w:tabs>
          <w:tab w:val="left" w:pos="1131"/>
        </w:tabs>
        <w:spacing w:before="0" w:after="0" w:line="276" w:lineRule="auto"/>
        <w:ind w:left="1130" w:right="111" w:hanging="360"/>
        <w:jc w:val="both"/>
        <w:rPr>
          <w:sz w:val="20"/>
        </w:rPr>
      </w:pPr>
      <w:r>
        <w:rPr>
          <w:sz w:val="20"/>
        </w:rPr>
        <w:t>w 4 egzemplarzach w wersji elektronicznej na płycie CD/DVD zapisanej w programie Adobe Reader (bez ograniczeń) i w wersji edytowalnej w formacie doc, docx. Tabele finansowe do studium wykonalności, w tym m.in.: AF (analiza finansowa), AEK (analiza efektywności kosztowej), AKK (analiza kosztów i korzyści) muszą być dostarczone w wersji elektronicznej w formacie xls, xlsx. Arkusze kalkulacyjne muszą mieć jawne (nie ukryte) i działające formuły, przedstawiające przeprowadzone analizy i ich wyniki, bez odwołań do źródeł zewnętrznych poza zbiorczym plikiem. Płyty CD/DVD powinny być dołączona w dedykowanej koszulce na płyty do wersji</w:t>
      </w:r>
      <w:r>
        <w:rPr>
          <w:spacing w:val="-5"/>
          <w:sz w:val="20"/>
        </w:rPr>
        <w:t xml:space="preserve"> </w:t>
      </w:r>
      <w:r>
        <w:rPr>
          <w:sz w:val="20"/>
        </w:rPr>
        <w:t>papierowej.</w:t>
      </w:r>
    </w:p>
    <w:p>
      <w:pPr>
        <w:pStyle w:val="7"/>
        <w:numPr>
          <w:ilvl w:val="2"/>
          <w:numId w:val="1"/>
        </w:numPr>
        <w:tabs>
          <w:tab w:val="left" w:pos="1131"/>
        </w:tabs>
        <w:spacing w:before="0" w:after="0" w:line="276" w:lineRule="auto"/>
        <w:ind w:left="1130" w:right="119" w:hanging="360"/>
        <w:jc w:val="both"/>
        <w:rPr>
          <w:sz w:val="20"/>
        </w:rPr>
      </w:pPr>
      <w:r>
        <w:rPr>
          <w:sz w:val="20"/>
        </w:rPr>
        <w:t>w 2 egzemplarzach w formie papierowej (wersja skrócona przedstawiająca schematy, rysunki rozwiązania) przewidziana do uzgodnienia z Mazowieckim Wojewódzkim Konserwatorem</w:t>
      </w:r>
      <w:r>
        <w:rPr>
          <w:spacing w:val="2"/>
          <w:sz w:val="20"/>
        </w:rPr>
        <w:t xml:space="preserve"> </w:t>
      </w:r>
      <w:r>
        <w:rPr>
          <w:sz w:val="20"/>
        </w:rPr>
        <w:t>Zabytków.</w:t>
      </w:r>
    </w:p>
    <w:p>
      <w:pPr>
        <w:pStyle w:val="7"/>
        <w:numPr>
          <w:ilvl w:val="2"/>
          <w:numId w:val="1"/>
        </w:numPr>
        <w:tabs>
          <w:tab w:val="left" w:pos="1131"/>
        </w:tabs>
        <w:spacing w:before="0" w:after="0" w:line="276" w:lineRule="auto"/>
        <w:ind w:left="1130" w:right="115" w:hanging="360"/>
        <w:jc w:val="both"/>
        <w:rPr>
          <w:sz w:val="20"/>
        </w:rPr>
      </w:pPr>
      <w:r>
        <w:rPr>
          <w:sz w:val="20"/>
        </w:rPr>
        <w:t>w 2 egzemplarzach w wersji elektronicznej na płycie CD/DVD (wersja skrócona przedstawiająca schematy, rysunki rozwiązania) przewidziana do uzgodnienia z Mazowieckim Wojewódzkim Konserwatorem Zabytków) w wersji edytowalnej i formatach jak w pkt.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</w:p>
    <w:p>
      <w:pPr>
        <w:pStyle w:val="5"/>
        <w:spacing w:before="6"/>
        <w:rPr>
          <w:sz w:val="22"/>
        </w:rPr>
      </w:pPr>
    </w:p>
    <w:p>
      <w:pPr>
        <w:pStyle w:val="2"/>
        <w:numPr>
          <w:ilvl w:val="0"/>
          <w:numId w:val="1"/>
        </w:numPr>
        <w:tabs>
          <w:tab w:val="left" w:pos="576"/>
        </w:tabs>
        <w:spacing w:before="0" w:after="0" w:line="240" w:lineRule="auto"/>
        <w:ind w:left="575" w:right="0" w:hanging="298"/>
        <w:jc w:val="left"/>
      </w:pPr>
      <w:r>
        <w:t>Oczekiwana zawartość</w:t>
      </w:r>
      <w:r>
        <w:rPr>
          <w:spacing w:val="-5"/>
        </w:rPr>
        <w:t xml:space="preserve"> </w:t>
      </w:r>
      <w:r>
        <w:t>opracowania:</w:t>
      </w:r>
    </w:p>
    <w:p>
      <w:pPr>
        <w:pStyle w:val="7"/>
        <w:numPr>
          <w:ilvl w:val="1"/>
          <w:numId w:val="1"/>
        </w:numPr>
        <w:tabs>
          <w:tab w:val="left" w:pos="987"/>
        </w:tabs>
        <w:spacing w:before="102" w:after="0" w:line="240" w:lineRule="auto"/>
        <w:ind w:left="986" w:right="0" w:hanging="207"/>
        <w:jc w:val="left"/>
        <w:rPr>
          <w:b/>
          <w:sz w:val="20"/>
        </w:rPr>
      </w:pPr>
      <w:r>
        <w:rPr>
          <w:b/>
          <w:sz w:val="20"/>
        </w:rPr>
        <w:t>Przedmiot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studium</w:t>
      </w:r>
    </w:p>
    <w:p>
      <w:pPr>
        <w:pStyle w:val="7"/>
        <w:numPr>
          <w:ilvl w:val="0"/>
          <w:numId w:val="2"/>
        </w:numPr>
        <w:tabs>
          <w:tab w:val="left" w:pos="1411"/>
        </w:tabs>
        <w:spacing w:before="39" w:after="0" w:line="240" w:lineRule="auto"/>
        <w:ind w:left="1410" w:right="0" w:hanging="284"/>
        <w:jc w:val="left"/>
        <w:rPr>
          <w:sz w:val="20"/>
        </w:rPr>
      </w:pPr>
      <w:r>
        <w:rPr>
          <w:sz w:val="20"/>
        </w:rPr>
        <w:t>Opis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</w:p>
    <w:p>
      <w:pPr>
        <w:pStyle w:val="7"/>
        <w:numPr>
          <w:ilvl w:val="0"/>
          <w:numId w:val="2"/>
        </w:numPr>
        <w:tabs>
          <w:tab w:val="left" w:pos="1411"/>
        </w:tabs>
        <w:spacing w:before="34" w:after="0" w:line="240" w:lineRule="auto"/>
        <w:ind w:left="1410" w:right="0" w:hanging="284"/>
        <w:jc w:val="left"/>
        <w:rPr>
          <w:sz w:val="20"/>
        </w:rPr>
      </w:pPr>
      <w:r>
        <w:rPr>
          <w:sz w:val="20"/>
        </w:rPr>
        <w:t>Cele projektu (logika</w:t>
      </w:r>
      <w:r>
        <w:rPr>
          <w:spacing w:val="-5"/>
          <w:sz w:val="20"/>
        </w:rPr>
        <w:t xml:space="preserve"> </w:t>
      </w:r>
      <w:r>
        <w:rPr>
          <w:sz w:val="20"/>
        </w:rPr>
        <w:t>interwencji)</w:t>
      </w:r>
    </w:p>
    <w:p>
      <w:pPr>
        <w:pStyle w:val="7"/>
        <w:numPr>
          <w:ilvl w:val="0"/>
          <w:numId w:val="2"/>
        </w:numPr>
        <w:tabs>
          <w:tab w:val="left" w:pos="1411"/>
        </w:tabs>
        <w:spacing w:before="34" w:after="0" w:line="240" w:lineRule="auto"/>
        <w:ind w:left="1410" w:right="0" w:hanging="284"/>
        <w:jc w:val="left"/>
        <w:rPr>
          <w:sz w:val="20"/>
        </w:rPr>
      </w:pPr>
      <w:r>
        <w:rPr>
          <w:sz w:val="20"/>
        </w:rPr>
        <w:t>Rezultaty</w:t>
      </w:r>
    </w:p>
    <w:p>
      <w:pPr>
        <w:pStyle w:val="2"/>
        <w:numPr>
          <w:ilvl w:val="1"/>
          <w:numId w:val="1"/>
        </w:numPr>
        <w:tabs>
          <w:tab w:val="left" w:pos="987"/>
        </w:tabs>
        <w:spacing w:before="31" w:after="0" w:line="240" w:lineRule="auto"/>
        <w:ind w:left="986" w:right="0" w:hanging="207"/>
        <w:jc w:val="left"/>
      </w:pPr>
      <w:r>
        <w:t>Definiowanie ostatecznego zakresu przedsięwzięcia (wariant podstawowy i</w:t>
      </w:r>
      <w:r>
        <w:rPr>
          <w:spacing w:val="-22"/>
        </w:rPr>
        <w:t xml:space="preserve"> </w:t>
      </w:r>
      <w:r>
        <w:t>dodatkowy)</w:t>
      </w:r>
    </w:p>
    <w:p>
      <w:pPr>
        <w:pStyle w:val="7"/>
        <w:numPr>
          <w:ilvl w:val="0"/>
          <w:numId w:val="3"/>
        </w:numPr>
        <w:tabs>
          <w:tab w:val="left" w:pos="1411"/>
        </w:tabs>
        <w:spacing w:before="37" w:after="0" w:line="240" w:lineRule="auto"/>
        <w:ind w:left="1410" w:right="0" w:hanging="284"/>
        <w:jc w:val="left"/>
        <w:rPr>
          <w:sz w:val="20"/>
        </w:rPr>
      </w:pPr>
      <w:r>
        <w:rPr>
          <w:sz w:val="20"/>
        </w:rPr>
        <w:t>Analiza potrzeb</w:t>
      </w:r>
      <w:r>
        <w:rPr>
          <w:spacing w:val="-1"/>
          <w:sz w:val="20"/>
        </w:rPr>
        <w:t xml:space="preserve"> </w:t>
      </w:r>
      <w:r>
        <w:rPr>
          <w:sz w:val="20"/>
        </w:rPr>
        <w:t>inwestycyjnych</w:t>
      </w:r>
    </w:p>
    <w:p>
      <w:pPr>
        <w:pStyle w:val="7"/>
        <w:numPr>
          <w:ilvl w:val="0"/>
          <w:numId w:val="3"/>
        </w:numPr>
        <w:tabs>
          <w:tab w:val="left" w:pos="1411"/>
        </w:tabs>
        <w:spacing w:before="36" w:after="0" w:line="240" w:lineRule="auto"/>
        <w:ind w:left="1410" w:right="0" w:hanging="284"/>
        <w:jc w:val="left"/>
        <w:rPr>
          <w:sz w:val="20"/>
        </w:rPr>
      </w:pPr>
      <w:r>
        <w:rPr>
          <w:sz w:val="20"/>
        </w:rPr>
        <w:t>Analiza opcji</w:t>
      </w:r>
      <w:r>
        <w:rPr>
          <w:spacing w:val="-4"/>
          <w:sz w:val="20"/>
        </w:rPr>
        <w:t xml:space="preserve"> </w:t>
      </w:r>
      <w:r>
        <w:rPr>
          <w:sz w:val="20"/>
        </w:rPr>
        <w:t>technicznych</w:t>
      </w:r>
    </w:p>
    <w:p>
      <w:pPr>
        <w:pStyle w:val="7"/>
        <w:numPr>
          <w:ilvl w:val="0"/>
          <w:numId w:val="3"/>
        </w:numPr>
        <w:tabs>
          <w:tab w:val="left" w:pos="1411"/>
        </w:tabs>
        <w:spacing w:before="34" w:after="0" w:line="240" w:lineRule="auto"/>
        <w:ind w:left="1410" w:right="0" w:hanging="284"/>
        <w:jc w:val="left"/>
        <w:rPr>
          <w:sz w:val="20"/>
        </w:rPr>
      </w:pPr>
      <w:r>
        <w:rPr>
          <w:sz w:val="20"/>
        </w:rPr>
        <w:t>Metodyka analizy - Analiza wariantowa</w:t>
      </w:r>
    </w:p>
    <w:p>
      <w:pPr>
        <w:pStyle w:val="7"/>
        <w:numPr>
          <w:ilvl w:val="0"/>
          <w:numId w:val="3"/>
        </w:numPr>
        <w:tabs>
          <w:tab w:val="left" w:pos="1411"/>
        </w:tabs>
        <w:spacing w:before="34" w:after="0" w:line="240" w:lineRule="auto"/>
        <w:ind w:left="1410" w:right="0" w:hanging="284"/>
        <w:jc w:val="left"/>
        <w:rPr>
          <w:sz w:val="20"/>
        </w:rPr>
      </w:pPr>
      <w:r>
        <w:rPr>
          <w:sz w:val="20"/>
        </w:rPr>
        <w:t>Wstępna selekcja wariantów realizacji inwestycji i wybór 2</w:t>
      </w:r>
      <w:r>
        <w:rPr>
          <w:spacing w:val="-10"/>
          <w:sz w:val="20"/>
        </w:rPr>
        <w:t xml:space="preserve"> </w:t>
      </w:r>
      <w:r>
        <w:rPr>
          <w:sz w:val="20"/>
        </w:rPr>
        <w:t>wariantów</w:t>
      </w:r>
    </w:p>
    <w:p>
      <w:pPr>
        <w:spacing w:after="0" w:line="240" w:lineRule="auto"/>
        <w:jc w:val="left"/>
        <w:rPr>
          <w:sz w:val="20"/>
        </w:rPr>
        <w:sectPr>
          <w:footerReference r:id="rId5" w:type="default"/>
          <w:pgSz w:w="11910" w:h="16840"/>
          <w:pgMar w:top="980" w:right="1300" w:bottom="940" w:left="1140" w:header="0" w:footer="754" w:gutter="0"/>
          <w:pgNumType w:start="2"/>
          <w:cols w:space="720" w:num="1"/>
        </w:sectPr>
      </w:pPr>
    </w:p>
    <w:p>
      <w:pPr>
        <w:pStyle w:val="7"/>
        <w:numPr>
          <w:ilvl w:val="0"/>
          <w:numId w:val="3"/>
        </w:numPr>
        <w:tabs>
          <w:tab w:val="left" w:pos="1411"/>
        </w:tabs>
        <w:spacing w:before="79" w:after="0" w:line="240" w:lineRule="auto"/>
        <w:ind w:left="1410" w:right="0" w:hanging="284"/>
        <w:jc w:val="left"/>
        <w:rPr>
          <w:sz w:val="20"/>
        </w:rPr>
      </w:pPr>
      <w:r>
        <w:rPr>
          <w:sz w:val="20"/>
        </w:rPr>
        <w:t>Wskazanie ostatecznego zakresu przedsięwzięcia (wariant podstawowy i</w:t>
      </w:r>
      <w:r>
        <w:rPr>
          <w:spacing w:val="-17"/>
          <w:sz w:val="20"/>
        </w:rPr>
        <w:t xml:space="preserve"> </w:t>
      </w:r>
      <w:r>
        <w:rPr>
          <w:sz w:val="20"/>
        </w:rPr>
        <w:t>dodatkowy)</w:t>
      </w:r>
    </w:p>
    <w:p>
      <w:pPr>
        <w:pStyle w:val="2"/>
        <w:numPr>
          <w:ilvl w:val="1"/>
          <w:numId w:val="1"/>
        </w:numPr>
        <w:tabs>
          <w:tab w:val="left" w:pos="987"/>
        </w:tabs>
        <w:spacing w:before="29" w:after="0" w:line="240" w:lineRule="auto"/>
        <w:ind w:left="986" w:right="0" w:hanging="207"/>
        <w:jc w:val="left"/>
      </w:pPr>
      <w:r>
        <w:t>Plan wdrożenia projektu (wariant podstawowy i</w:t>
      </w:r>
      <w:r>
        <w:rPr>
          <w:spacing w:val="-8"/>
        </w:rPr>
        <w:t xml:space="preserve"> </w:t>
      </w:r>
      <w:r>
        <w:t>dodatkowy)</w:t>
      </w:r>
    </w:p>
    <w:p>
      <w:pPr>
        <w:pStyle w:val="7"/>
        <w:numPr>
          <w:ilvl w:val="0"/>
          <w:numId w:val="4"/>
        </w:numPr>
        <w:tabs>
          <w:tab w:val="left" w:pos="1411"/>
        </w:tabs>
        <w:spacing w:before="106" w:after="0" w:line="240" w:lineRule="auto"/>
        <w:ind w:left="1410" w:right="0" w:hanging="284"/>
        <w:jc w:val="left"/>
        <w:rPr>
          <w:sz w:val="20"/>
        </w:rPr>
      </w:pPr>
      <w:r>
        <w:rPr>
          <w:sz w:val="20"/>
        </w:rPr>
        <w:t>Harmonogram nakładów inwestycyjnych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</w:p>
    <w:p>
      <w:pPr>
        <w:pStyle w:val="7"/>
        <w:numPr>
          <w:ilvl w:val="0"/>
          <w:numId w:val="4"/>
        </w:numPr>
        <w:tabs>
          <w:tab w:val="left" w:pos="1411"/>
        </w:tabs>
        <w:spacing w:before="34" w:after="0" w:line="240" w:lineRule="auto"/>
        <w:ind w:left="1410" w:right="0" w:hanging="284"/>
        <w:jc w:val="left"/>
        <w:rPr>
          <w:sz w:val="20"/>
        </w:rPr>
      </w:pPr>
      <w:r>
        <w:rPr>
          <w:sz w:val="20"/>
        </w:rPr>
        <w:t>Harmonogram rzeczowy</w:t>
      </w:r>
      <w:r>
        <w:rPr>
          <w:spacing w:val="2"/>
          <w:sz w:val="20"/>
        </w:rPr>
        <w:t xml:space="preserve"> </w:t>
      </w:r>
      <w:r>
        <w:rPr>
          <w:sz w:val="20"/>
        </w:rPr>
        <w:t>projektu</w:t>
      </w:r>
    </w:p>
    <w:p>
      <w:pPr>
        <w:pStyle w:val="2"/>
        <w:numPr>
          <w:ilvl w:val="1"/>
          <w:numId w:val="1"/>
        </w:numPr>
        <w:tabs>
          <w:tab w:val="left" w:pos="987"/>
        </w:tabs>
        <w:spacing w:before="31" w:after="0" w:line="240" w:lineRule="auto"/>
        <w:ind w:left="986" w:right="0" w:hanging="207"/>
        <w:jc w:val="left"/>
      </w:pPr>
      <w:r>
        <w:t>Analiza finansowo - ekonomiczna (wariant podstawowy i</w:t>
      </w:r>
      <w:r>
        <w:rPr>
          <w:spacing w:val="-11"/>
        </w:rPr>
        <w:t xml:space="preserve"> </w:t>
      </w:r>
      <w:r>
        <w:t>dodatkowy)</w:t>
      </w:r>
    </w:p>
    <w:p>
      <w:pPr>
        <w:pStyle w:val="7"/>
        <w:numPr>
          <w:ilvl w:val="0"/>
          <w:numId w:val="5"/>
        </w:numPr>
        <w:tabs>
          <w:tab w:val="left" w:pos="1411"/>
        </w:tabs>
        <w:spacing w:before="37" w:after="0" w:line="240" w:lineRule="auto"/>
        <w:ind w:left="1410" w:right="0" w:hanging="284"/>
        <w:jc w:val="left"/>
        <w:rPr>
          <w:sz w:val="20"/>
        </w:rPr>
      </w:pPr>
      <w:r>
        <w:rPr>
          <w:sz w:val="20"/>
        </w:rPr>
        <w:t>Zaproponowana metodologia przeprowadzenia</w:t>
      </w:r>
      <w:r>
        <w:rPr>
          <w:spacing w:val="-7"/>
          <w:sz w:val="20"/>
        </w:rPr>
        <w:t xml:space="preserve"> </w:t>
      </w:r>
      <w:r>
        <w:rPr>
          <w:sz w:val="20"/>
        </w:rPr>
        <w:t>analiz</w:t>
      </w:r>
    </w:p>
    <w:p>
      <w:pPr>
        <w:pStyle w:val="7"/>
        <w:numPr>
          <w:ilvl w:val="0"/>
          <w:numId w:val="5"/>
        </w:numPr>
        <w:tabs>
          <w:tab w:val="left" w:pos="1411"/>
        </w:tabs>
        <w:spacing w:before="34" w:after="0" w:line="240" w:lineRule="auto"/>
        <w:ind w:left="1410" w:right="0" w:hanging="284"/>
        <w:jc w:val="left"/>
        <w:rPr>
          <w:sz w:val="20"/>
        </w:rPr>
      </w:pPr>
      <w:r>
        <w:rPr>
          <w:sz w:val="20"/>
        </w:rPr>
        <w:t>Nakłady inwestycyjne na realizację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</w:p>
    <w:p>
      <w:pPr>
        <w:pStyle w:val="7"/>
        <w:numPr>
          <w:ilvl w:val="0"/>
          <w:numId w:val="5"/>
        </w:numPr>
        <w:tabs>
          <w:tab w:val="left" w:pos="1411"/>
        </w:tabs>
        <w:spacing w:before="36" w:after="0" w:line="240" w:lineRule="auto"/>
        <w:ind w:left="1410" w:right="0" w:hanging="284"/>
        <w:jc w:val="left"/>
        <w:rPr>
          <w:sz w:val="20"/>
        </w:rPr>
      </w:pPr>
      <w:r>
        <w:rPr>
          <w:sz w:val="20"/>
        </w:rPr>
        <w:t>Prognoza kosztów</w:t>
      </w:r>
      <w:r>
        <w:rPr>
          <w:spacing w:val="-5"/>
          <w:sz w:val="20"/>
        </w:rPr>
        <w:t xml:space="preserve"> </w:t>
      </w:r>
      <w:r>
        <w:rPr>
          <w:sz w:val="20"/>
        </w:rPr>
        <w:t>eksploatacyjnych</w:t>
      </w:r>
    </w:p>
    <w:p>
      <w:pPr>
        <w:pStyle w:val="7"/>
        <w:numPr>
          <w:ilvl w:val="0"/>
          <w:numId w:val="5"/>
        </w:numPr>
        <w:tabs>
          <w:tab w:val="left" w:pos="1411"/>
        </w:tabs>
        <w:spacing w:before="34" w:after="0" w:line="240" w:lineRule="auto"/>
        <w:ind w:left="1410" w:right="0" w:hanging="284"/>
        <w:jc w:val="left"/>
        <w:rPr>
          <w:sz w:val="20"/>
        </w:rPr>
      </w:pPr>
      <w:r>
        <w:rPr>
          <w:sz w:val="20"/>
        </w:rPr>
        <w:t>Koszty realizacji</w:t>
      </w:r>
      <w:r>
        <w:rPr>
          <w:spacing w:val="-8"/>
          <w:sz w:val="20"/>
        </w:rPr>
        <w:t xml:space="preserve"> </w:t>
      </w:r>
      <w:r>
        <w:rPr>
          <w:sz w:val="20"/>
        </w:rPr>
        <w:t>inwestycji</w:t>
      </w:r>
    </w:p>
    <w:p>
      <w:pPr>
        <w:pStyle w:val="5"/>
        <w:rPr>
          <w:sz w:val="22"/>
        </w:rPr>
      </w:pPr>
    </w:p>
    <w:p>
      <w:pPr>
        <w:pStyle w:val="5"/>
        <w:spacing w:before="8"/>
        <w:rPr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706"/>
        </w:tabs>
        <w:spacing w:before="0" w:after="0" w:line="240" w:lineRule="auto"/>
        <w:ind w:left="705" w:right="0" w:hanging="428"/>
        <w:jc w:val="left"/>
      </w:pPr>
      <w:r>
        <w:t>Informacje i wymagania dodatkowe dotyczące</w:t>
      </w:r>
      <w:r>
        <w:rPr>
          <w:spacing w:val="-3"/>
        </w:rPr>
        <w:t xml:space="preserve"> </w:t>
      </w:r>
      <w:r>
        <w:t>zamówienia.</w:t>
      </w:r>
    </w:p>
    <w:p>
      <w:pPr>
        <w:pStyle w:val="5"/>
        <w:spacing w:before="159"/>
        <w:ind w:left="561"/>
      </w:pPr>
      <w:r>
        <w:t>Wymagania szczegółowe dotyczące zamówienia:</w:t>
      </w:r>
    </w:p>
    <w:p>
      <w:pPr>
        <w:pStyle w:val="7"/>
        <w:numPr>
          <w:ilvl w:val="0"/>
          <w:numId w:val="6"/>
        </w:numPr>
        <w:tabs>
          <w:tab w:val="left" w:pos="986"/>
        </w:tabs>
        <w:spacing w:before="154" w:after="0" w:line="276" w:lineRule="auto"/>
        <w:ind w:left="986" w:right="117" w:hanging="425"/>
        <w:jc w:val="both"/>
        <w:rPr>
          <w:sz w:val="20"/>
        </w:rPr>
      </w:pPr>
      <w:r>
        <w:rPr>
          <w:sz w:val="20"/>
        </w:rPr>
        <w:t>Dokumentacja musi zostać sporządzona zgodnie z obowiązującymi przepisami i zasadami wiedzy</w:t>
      </w:r>
      <w:r>
        <w:rPr>
          <w:spacing w:val="-3"/>
          <w:sz w:val="20"/>
        </w:rPr>
        <w:t xml:space="preserve"> </w:t>
      </w:r>
      <w:r>
        <w:rPr>
          <w:sz w:val="20"/>
        </w:rPr>
        <w:t>technicznej.</w:t>
      </w:r>
    </w:p>
    <w:p>
      <w:pPr>
        <w:pStyle w:val="7"/>
        <w:numPr>
          <w:ilvl w:val="0"/>
          <w:numId w:val="6"/>
        </w:numPr>
        <w:tabs>
          <w:tab w:val="left" w:pos="986"/>
        </w:tabs>
        <w:spacing w:before="119" w:after="0" w:line="276" w:lineRule="auto"/>
        <w:ind w:left="986" w:right="115" w:hanging="425"/>
        <w:jc w:val="both"/>
        <w:rPr>
          <w:sz w:val="20"/>
        </w:rPr>
      </w:pPr>
      <w:r>
        <w:rPr>
          <w:sz w:val="20"/>
        </w:rPr>
        <w:t>Na podstawie wykonanego studium wariantu podstawowego i dodatkowego Zamawiający przeprowadzi postępowania przetargowe o udzielenie zamówienia publicznego na wybór wykonawcy zadania polegającego na wykonaniu dokumentacji projektowej efektywnego systemu chłodzenia i wentylacji budynku Ministerstwa Rozwoju i Technologii przy placu Trzech Krzyży 3/5 w</w:t>
      </w:r>
      <w:r>
        <w:rPr>
          <w:spacing w:val="-8"/>
          <w:sz w:val="20"/>
        </w:rPr>
        <w:t xml:space="preserve"> </w:t>
      </w:r>
      <w:r>
        <w:rPr>
          <w:sz w:val="20"/>
        </w:rPr>
        <w:t>Warszawie.</w:t>
      </w:r>
    </w:p>
    <w:p>
      <w:pPr>
        <w:pStyle w:val="5"/>
        <w:spacing w:before="120" w:line="276" w:lineRule="auto"/>
        <w:ind w:left="986" w:right="113"/>
        <w:jc w:val="both"/>
      </w:pPr>
      <w:r>
        <w:t>Dokumentacji powinna być przygotowana z uwzględnieniem zasad dotyczących opisu przedmiotu zamówienia wynikających z ustawy z dnia 11.09.2019 r. Prawo zamówień publicznych (Dz.U. z 2021 r. poz. 1129 z późn.zm.) – w tym uczciwej konkurencji, bezstronności i obiektywizmu oraz równego traktowania potencjalnych wykonawców inwestycji.</w:t>
      </w:r>
    </w:p>
    <w:p>
      <w:pPr>
        <w:pStyle w:val="7"/>
        <w:numPr>
          <w:ilvl w:val="0"/>
          <w:numId w:val="6"/>
        </w:numPr>
        <w:tabs>
          <w:tab w:val="left" w:pos="986"/>
        </w:tabs>
        <w:spacing w:before="120" w:after="0" w:line="276" w:lineRule="auto"/>
        <w:ind w:left="986" w:right="117" w:hanging="425"/>
        <w:jc w:val="both"/>
        <w:rPr>
          <w:sz w:val="20"/>
        </w:rPr>
      </w:pPr>
      <w:r>
        <w:rPr>
          <w:sz w:val="20"/>
        </w:rPr>
        <w:t>Dokumentacja, w zakresie niewyspecyfikowanym przez zamawiającego w niniejszym OPZ, powinna spełniać w szczególności wymagania następujących</w:t>
      </w:r>
      <w:r>
        <w:rPr>
          <w:spacing w:val="-4"/>
          <w:sz w:val="20"/>
        </w:rPr>
        <w:t xml:space="preserve"> </w:t>
      </w:r>
      <w:r>
        <w:rPr>
          <w:sz w:val="20"/>
        </w:rPr>
        <w:t>przepisów:</w:t>
      </w:r>
    </w:p>
    <w:p>
      <w:pPr>
        <w:pStyle w:val="7"/>
        <w:numPr>
          <w:ilvl w:val="0"/>
          <w:numId w:val="7"/>
        </w:numPr>
        <w:tabs>
          <w:tab w:val="left" w:pos="987"/>
        </w:tabs>
        <w:spacing w:before="0" w:after="0" w:line="266" w:lineRule="auto"/>
        <w:ind w:left="986" w:right="116" w:hanging="425"/>
        <w:jc w:val="both"/>
        <w:rPr>
          <w:sz w:val="20"/>
        </w:rPr>
      </w:pPr>
      <w:r>
        <w:rPr>
          <w:sz w:val="20"/>
        </w:rPr>
        <w:t>Rozporządzenia Ministra Infrastruktury z dnia 12 kwietnia 2002r. w sprawie warunków technicznych, jakim powinny odpowiadać budynki i ich usytuowanie (Dz.U. z 2019 poz.1065 z późn.</w:t>
      </w:r>
      <w:r>
        <w:rPr>
          <w:spacing w:val="1"/>
          <w:sz w:val="20"/>
        </w:rPr>
        <w:t xml:space="preserve"> </w:t>
      </w:r>
      <w:r>
        <w:rPr>
          <w:sz w:val="20"/>
        </w:rPr>
        <w:t>zm.),</w:t>
      </w:r>
    </w:p>
    <w:p>
      <w:pPr>
        <w:pStyle w:val="7"/>
        <w:numPr>
          <w:ilvl w:val="0"/>
          <w:numId w:val="7"/>
        </w:numPr>
        <w:tabs>
          <w:tab w:val="left" w:pos="987"/>
        </w:tabs>
        <w:spacing w:before="11" w:after="0" w:line="266" w:lineRule="auto"/>
        <w:ind w:left="986" w:right="115" w:hanging="425"/>
        <w:jc w:val="both"/>
        <w:rPr>
          <w:sz w:val="20"/>
        </w:rPr>
      </w:pPr>
      <w:r>
        <w:rPr>
          <w:sz w:val="20"/>
        </w:rPr>
        <w:t>Rozporządzenia Ministra Infrastruktury z dnia 02.09.2004r. w sprawie szczegółowego zakresu i formy dokumentacji projektowej, specyfikacji technicznych wykonania i odbioru robót budowlanych oraz programu funkcjonalno-użytkowego (Dz.U. z 2013 poz.1129 z późn.</w:t>
      </w:r>
      <w:r>
        <w:rPr>
          <w:spacing w:val="-18"/>
          <w:sz w:val="20"/>
        </w:rPr>
        <w:t xml:space="preserve"> </w:t>
      </w:r>
      <w:r>
        <w:rPr>
          <w:sz w:val="20"/>
        </w:rPr>
        <w:t>zm.),</w:t>
      </w:r>
    </w:p>
    <w:p>
      <w:pPr>
        <w:pStyle w:val="7"/>
        <w:numPr>
          <w:ilvl w:val="0"/>
          <w:numId w:val="7"/>
        </w:numPr>
        <w:tabs>
          <w:tab w:val="left" w:pos="987"/>
        </w:tabs>
        <w:spacing w:before="70" w:after="0" w:line="240" w:lineRule="auto"/>
        <w:ind w:left="986" w:right="0" w:hanging="426"/>
        <w:jc w:val="both"/>
        <w:rPr>
          <w:sz w:val="20"/>
        </w:rPr>
      </w:pPr>
      <w:r>
        <w:rPr>
          <w:sz w:val="20"/>
        </w:rPr>
        <w:t>Ustawy z dnia 7 lipca 1994 r. Prawo budowlane (Dz.U. z 2020r. poz. 1333 z późn.</w:t>
      </w:r>
      <w:r>
        <w:rPr>
          <w:spacing w:val="-18"/>
          <w:sz w:val="20"/>
        </w:rPr>
        <w:t xml:space="preserve"> </w:t>
      </w:r>
      <w:r>
        <w:rPr>
          <w:sz w:val="20"/>
        </w:rPr>
        <w:t>zm.),</w:t>
      </w:r>
    </w:p>
    <w:p>
      <w:pPr>
        <w:pStyle w:val="7"/>
        <w:numPr>
          <w:ilvl w:val="0"/>
          <w:numId w:val="7"/>
        </w:numPr>
        <w:tabs>
          <w:tab w:val="left" w:pos="987"/>
        </w:tabs>
        <w:spacing w:before="23" w:after="0" w:line="268" w:lineRule="auto"/>
        <w:ind w:left="986" w:right="117" w:hanging="425"/>
        <w:jc w:val="both"/>
        <w:rPr>
          <w:sz w:val="20"/>
        </w:rPr>
      </w:pPr>
      <w:r>
        <w:rPr>
          <w:sz w:val="20"/>
        </w:rPr>
        <w:t>Rozporządzenia Ministra Spraw Wewnętrznych i Administracji z dnia 7 czerwca 2010 r. (Dz.U. nr 109 poz. 719 z późn. zm.) w sprawie ochrony przeciwpożarowej budynków, innych obiektów budowlanych i</w:t>
      </w:r>
      <w:r>
        <w:rPr>
          <w:spacing w:val="-7"/>
          <w:sz w:val="20"/>
        </w:rPr>
        <w:t xml:space="preserve"> </w:t>
      </w:r>
      <w:r>
        <w:rPr>
          <w:sz w:val="20"/>
        </w:rPr>
        <w:t>terenów,</w:t>
      </w:r>
    </w:p>
    <w:p>
      <w:pPr>
        <w:pStyle w:val="7"/>
        <w:numPr>
          <w:ilvl w:val="0"/>
          <w:numId w:val="7"/>
        </w:numPr>
        <w:tabs>
          <w:tab w:val="left" w:pos="987"/>
        </w:tabs>
        <w:spacing w:before="2" w:after="0" w:line="261" w:lineRule="auto"/>
        <w:ind w:left="986" w:right="117" w:hanging="425"/>
        <w:jc w:val="both"/>
        <w:rPr>
          <w:sz w:val="20"/>
        </w:rPr>
      </w:pPr>
      <w:r>
        <w:rPr>
          <w:sz w:val="20"/>
        </w:rPr>
        <w:t>ustawy z dnia 24 sierpnia  1991 r. o ochronie przeciwpożarowej (Dz.U. z 2021r. poz.869         z</w:t>
      </w:r>
      <w:r>
        <w:rPr>
          <w:spacing w:val="-3"/>
          <w:sz w:val="20"/>
        </w:rPr>
        <w:t xml:space="preserve"> </w:t>
      </w:r>
      <w:r>
        <w:rPr>
          <w:sz w:val="20"/>
        </w:rPr>
        <w:t>późn.zm.).</w:t>
      </w:r>
    </w:p>
    <w:p>
      <w:pPr>
        <w:pStyle w:val="7"/>
        <w:numPr>
          <w:ilvl w:val="0"/>
          <w:numId w:val="7"/>
        </w:numPr>
        <w:tabs>
          <w:tab w:val="left" w:pos="987"/>
        </w:tabs>
        <w:spacing w:before="12" w:after="0" w:line="268" w:lineRule="auto"/>
        <w:ind w:left="986" w:right="111" w:hanging="425"/>
        <w:jc w:val="both"/>
        <w:rPr>
          <w:sz w:val="20"/>
        </w:rPr>
      </w:pPr>
      <w:r>
        <w:rPr>
          <w:sz w:val="20"/>
        </w:rPr>
        <w:t xml:space="preserve">Rozporządzenia Ministra Infrastruktury z dnia 23 czerwca 2003 r. w sprawie informacji </w:t>
      </w:r>
      <w:r>
        <w:rPr>
          <w:spacing w:val="-2"/>
          <w:sz w:val="20"/>
        </w:rPr>
        <w:t xml:space="preserve">dotyczącej </w:t>
      </w:r>
      <w:r>
        <w:rPr>
          <w:sz w:val="20"/>
        </w:rPr>
        <w:t>bezpieczeństwa i ochrony zdrowia oraz planu bezpieczeństwa i ochrony zdrowia (Dz.U. 2003 r., nr 120 poz. 1126 z późn.</w:t>
      </w:r>
      <w:r>
        <w:rPr>
          <w:spacing w:val="6"/>
          <w:sz w:val="20"/>
        </w:rPr>
        <w:t xml:space="preserve"> </w:t>
      </w:r>
      <w:r>
        <w:rPr>
          <w:sz w:val="20"/>
        </w:rPr>
        <w:t>zm.).</w:t>
      </w:r>
    </w:p>
    <w:p>
      <w:pPr>
        <w:pStyle w:val="5"/>
      </w:pPr>
    </w:p>
    <w:p>
      <w:pPr>
        <w:pStyle w:val="5"/>
        <w:spacing w:before="7"/>
        <w:rPr>
          <w:sz w:val="23"/>
        </w:rPr>
      </w:pPr>
    </w:p>
    <w:p>
      <w:pPr>
        <w:spacing w:before="93"/>
        <w:ind w:left="278" w:right="0" w:firstLine="0"/>
        <w:jc w:val="left"/>
        <w:rPr>
          <w:b/>
          <w:sz w:val="20"/>
        </w:rPr>
      </w:pPr>
      <w:r>
        <w:rPr>
          <w:b/>
          <w:spacing w:val="-122"/>
          <w:sz w:val="20"/>
          <w:u w:val="thick"/>
        </w:rPr>
        <w:t>T</w:t>
      </w:r>
      <w:r>
        <w:rPr>
          <w:b/>
          <w:spacing w:val="72"/>
          <w:sz w:val="20"/>
        </w:rPr>
        <w:t xml:space="preserve"> </w:t>
      </w:r>
      <w:r>
        <w:rPr>
          <w:b/>
          <w:sz w:val="20"/>
          <w:u w:val="thick"/>
        </w:rPr>
        <w:t>ermin składania ofert: 12 października 2021 r.</w:t>
      </w:r>
    </w:p>
    <w:p>
      <w:pPr>
        <w:pStyle w:val="5"/>
        <w:spacing w:before="101"/>
        <w:ind w:left="278"/>
        <w:rPr>
          <w:b/>
        </w:rPr>
      </w:pPr>
      <w:r>
        <w:t>Oferenci muszą dysponować odpowiednia kadrą niezbędną do właściwej realizacji Zamówienia</w:t>
      </w:r>
      <w:r>
        <w:rPr>
          <w:b/>
        </w:rPr>
        <w:t>.</w:t>
      </w:r>
    </w:p>
    <w:sectPr>
      <w:pgSz w:w="11910" w:h="16840"/>
      <w:pgMar w:top="980" w:right="1300" w:bottom="940" w:left="1140" w:header="0" w:footer="7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6570345</wp:posOffset>
              </wp:positionH>
              <wp:positionV relativeFrom="page">
                <wp:posOffset>10073640</wp:posOffset>
              </wp:positionV>
              <wp:extent cx="116205" cy="14986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1"/>
                            <w:ind w:left="40" w:right="0" w:firstLine="0"/>
                            <w:jc w:val="left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color w:val="333333"/>
                              <w:w w:val="10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7.35pt;margin-top:793.2pt;height:11.8pt;width:9.15pt;mso-position-horizontal-relative:page;mso-position-vertical-relative:page;z-index:-251657216;mso-width-relative:page;mso-height-relative:page;" filled="f" stroked="f" coordsize="21600,21600" o:gfxdata="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WI&#10;e/PbAAAADwEAAA8AAAAAAAAAAQAgAAAAIgAAAGRycy9kb3ducmV2LnhtbFBLAQIUABQAAAAIAIdO&#10;4kANxtIwrgEAAHUDAAAOAAAAAAAAAAEAIAAAACo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1"/>
                      <w:ind w:left="40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color w:val="333333"/>
                        <w:w w:val="10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lowerLetter"/>
      <w:lvlText w:val="%1."/>
      <w:lvlJc w:val="left"/>
      <w:pPr>
        <w:ind w:left="1410" w:hanging="283"/>
        <w:jc w:val="left"/>
      </w:pPr>
      <w:rPr>
        <w:rFonts w:hint="default" w:ascii="Arial" w:hAnsi="Arial" w:eastAsia="Arial" w:cs="Arial"/>
        <w:spacing w:val="-2"/>
        <w:w w:val="99"/>
        <w:sz w:val="20"/>
        <w:szCs w:val="20"/>
        <w:lang w:val="pl-PL" w:eastAsia="pl-PL" w:bidi="pl-PL"/>
      </w:rPr>
    </w:lvl>
    <w:lvl w:ilvl="1" w:tentative="0">
      <w:start w:val="0"/>
      <w:numFmt w:val="bullet"/>
      <w:lvlText w:val="•"/>
      <w:lvlJc w:val="left"/>
      <w:pPr>
        <w:ind w:left="2224" w:hanging="283"/>
      </w:pPr>
      <w:rPr>
        <w:rFonts w:hint="default"/>
        <w:lang w:val="pl-PL" w:eastAsia="pl-PL" w:bidi="pl-PL"/>
      </w:rPr>
    </w:lvl>
    <w:lvl w:ilvl="2" w:tentative="0">
      <w:start w:val="0"/>
      <w:numFmt w:val="bullet"/>
      <w:lvlText w:val="•"/>
      <w:lvlJc w:val="left"/>
      <w:pPr>
        <w:ind w:left="3029" w:hanging="283"/>
      </w:pPr>
      <w:rPr>
        <w:rFonts w:hint="default"/>
        <w:lang w:val="pl-PL" w:eastAsia="pl-PL" w:bidi="pl-PL"/>
      </w:rPr>
    </w:lvl>
    <w:lvl w:ilvl="3" w:tentative="0">
      <w:start w:val="0"/>
      <w:numFmt w:val="bullet"/>
      <w:lvlText w:val="•"/>
      <w:lvlJc w:val="left"/>
      <w:pPr>
        <w:ind w:left="3833" w:hanging="283"/>
      </w:pPr>
      <w:rPr>
        <w:rFonts w:hint="default"/>
        <w:lang w:val="pl-PL" w:eastAsia="pl-PL" w:bidi="pl-PL"/>
      </w:rPr>
    </w:lvl>
    <w:lvl w:ilvl="4" w:tentative="0">
      <w:start w:val="0"/>
      <w:numFmt w:val="bullet"/>
      <w:lvlText w:val="•"/>
      <w:lvlJc w:val="left"/>
      <w:pPr>
        <w:ind w:left="4638" w:hanging="283"/>
      </w:pPr>
      <w:rPr>
        <w:rFonts w:hint="default"/>
        <w:lang w:val="pl-PL" w:eastAsia="pl-PL" w:bidi="pl-PL"/>
      </w:rPr>
    </w:lvl>
    <w:lvl w:ilvl="5" w:tentative="0">
      <w:start w:val="0"/>
      <w:numFmt w:val="bullet"/>
      <w:lvlText w:val="•"/>
      <w:lvlJc w:val="left"/>
      <w:pPr>
        <w:ind w:left="5443" w:hanging="283"/>
      </w:pPr>
      <w:rPr>
        <w:rFonts w:hint="default"/>
        <w:lang w:val="pl-PL" w:eastAsia="pl-PL" w:bidi="pl-PL"/>
      </w:rPr>
    </w:lvl>
    <w:lvl w:ilvl="6" w:tentative="0">
      <w:start w:val="0"/>
      <w:numFmt w:val="bullet"/>
      <w:lvlText w:val="•"/>
      <w:lvlJc w:val="left"/>
      <w:pPr>
        <w:ind w:left="6247" w:hanging="283"/>
      </w:pPr>
      <w:rPr>
        <w:rFonts w:hint="default"/>
        <w:lang w:val="pl-PL" w:eastAsia="pl-PL" w:bidi="pl-PL"/>
      </w:rPr>
    </w:lvl>
    <w:lvl w:ilvl="7" w:tentative="0">
      <w:start w:val="0"/>
      <w:numFmt w:val="bullet"/>
      <w:lvlText w:val="•"/>
      <w:lvlJc w:val="left"/>
      <w:pPr>
        <w:ind w:left="7052" w:hanging="283"/>
      </w:pPr>
      <w:rPr>
        <w:rFonts w:hint="default"/>
        <w:lang w:val="pl-PL" w:eastAsia="pl-PL" w:bidi="pl-PL"/>
      </w:rPr>
    </w:lvl>
    <w:lvl w:ilvl="8" w:tentative="0">
      <w:start w:val="0"/>
      <w:numFmt w:val="bullet"/>
      <w:lvlText w:val="•"/>
      <w:lvlJc w:val="left"/>
      <w:pPr>
        <w:ind w:left="7857" w:hanging="283"/>
      </w:pPr>
      <w:rPr>
        <w:rFonts w:hint="default"/>
        <w:lang w:val="pl-PL" w:eastAsia="pl-PL" w:bidi="pl-PL"/>
      </w:rPr>
    </w:lvl>
  </w:abstractNum>
  <w:abstractNum w:abstractNumId="1">
    <w:nsid w:val="0248C179"/>
    <w:multiLevelType w:val="multilevel"/>
    <w:tmpl w:val="0248C179"/>
    <w:lvl w:ilvl="0" w:tentative="0">
      <w:start w:val="1"/>
      <w:numFmt w:val="lowerLetter"/>
      <w:lvlText w:val="%1."/>
      <w:lvlJc w:val="left"/>
      <w:pPr>
        <w:ind w:left="1410" w:hanging="283"/>
        <w:jc w:val="left"/>
      </w:pPr>
      <w:rPr>
        <w:rFonts w:hint="default" w:ascii="Arial" w:hAnsi="Arial" w:eastAsia="Arial" w:cs="Arial"/>
        <w:spacing w:val="-2"/>
        <w:w w:val="99"/>
        <w:sz w:val="20"/>
        <w:szCs w:val="20"/>
        <w:lang w:val="pl-PL" w:eastAsia="pl-PL" w:bidi="pl-PL"/>
      </w:rPr>
    </w:lvl>
    <w:lvl w:ilvl="1" w:tentative="0">
      <w:start w:val="0"/>
      <w:numFmt w:val="bullet"/>
      <w:lvlText w:val="•"/>
      <w:lvlJc w:val="left"/>
      <w:pPr>
        <w:ind w:left="2224" w:hanging="283"/>
      </w:pPr>
      <w:rPr>
        <w:rFonts w:hint="default"/>
        <w:lang w:val="pl-PL" w:eastAsia="pl-PL" w:bidi="pl-PL"/>
      </w:rPr>
    </w:lvl>
    <w:lvl w:ilvl="2" w:tentative="0">
      <w:start w:val="0"/>
      <w:numFmt w:val="bullet"/>
      <w:lvlText w:val="•"/>
      <w:lvlJc w:val="left"/>
      <w:pPr>
        <w:ind w:left="3029" w:hanging="283"/>
      </w:pPr>
      <w:rPr>
        <w:rFonts w:hint="default"/>
        <w:lang w:val="pl-PL" w:eastAsia="pl-PL" w:bidi="pl-PL"/>
      </w:rPr>
    </w:lvl>
    <w:lvl w:ilvl="3" w:tentative="0">
      <w:start w:val="0"/>
      <w:numFmt w:val="bullet"/>
      <w:lvlText w:val="•"/>
      <w:lvlJc w:val="left"/>
      <w:pPr>
        <w:ind w:left="3833" w:hanging="283"/>
      </w:pPr>
      <w:rPr>
        <w:rFonts w:hint="default"/>
        <w:lang w:val="pl-PL" w:eastAsia="pl-PL" w:bidi="pl-PL"/>
      </w:rPr>
    </w:lvl>
    <w:lvl w:ilvl="4" w:tentative="0">
      <w:start w:val="0"/>
      <w:numFmt w:val="bullet"/>
      <w:lvlText w:val="•"/>
      <w:lvlJc w:val="left"/>
      <w:pPr>
        <w:ind w:left="4638" w:hanging="283"/>
      </w:pPr>
      <w:rPr>
        <w:rFonts w:hint="default"/>
        <w:lang w:val="pl-PL" w:eastAsia="pl-PL" w:bidi="pl-PL"/>
      </w:rPr>
    </w:lvl>
    <w:lvl w:ilvl="5" w:tentative="0">
      <w:start w:val="0"/>
      <w:numFmt w:val="bullet"/>
      <w:lvlText w:val="•"/>
      <w:lvlJc w:val="left"/>
      <w:pPr>
        <w:ind w:left="5443" w:hanging="283"/>
      </w:pPr>
      <w:rPr>
        <w:rFonts w:hint="default"/>
        <w:lang w:val="pl-PL" w:eastAsia="pl-PL" w:bidi="pl-PL"/>
      </w:rPr>
    </w:lvl>
    <w:lvl w:ilvl="6" w:tentative="0">
      <w:start w:val="0"/>
      <w:numFmt w:val="bullet"/>
      <w:lvlText w:val="•"/>
      <w:lvlJc w:val="left"/>
      <w:pPr>
        <w:ind w:left="6247" w:hanging="283"/>
      </w:pPr>
      <w:rPr>
        <w:rFonts w:hint="default"/>
        <w:lang w:val="pl-PL" w:eastAsia="pl-PL" w:bidi="pl-PL"/>
      </w:rPr>
    </w:lvl>
    <w:lvl w:ilvl="7" w:tentative="0">
      <w:start w:val="0"/>
      <w:numFmt w:val="bullet"/>
      <w:lvlText w:val="•"/>
      <w:lvlJc w:val="left"/>
      <w:pPr>
        <w:ind w:left="7052" w:hanging="283"/>
      </w:pPr>
      <w:rPr>
        <w:rFonts w:hint="default"/>
        <w:lang w:val="pl-PL" w:eastAsia="pl-PL" w:bidi="pl-PL"/>
      </w:rPr>
    </w:lvl>
    <w:lvl w:ilvl="8" w:tentative="0">
      <w:start w:val="0"/>
      <w:numFmt w:val="bullet"/>
      <w:lvlText w:val="•"/>
      <w:lvlJc w:val="left"/>
      <w:pPr>
        <w:ind w:left="7857" w:hanging="283"/>
      </w:pPr>
      <w:rPr>
        <w:rFonts w:hint="default"/>
        <w:lang w:val="pl-PL" w:eastAsia="pl-PL" w:bidi="pl-PL"/>
      </w:rPr>
    </w:lvl>
  </w:abstractNum>
  <w:abstractNum w:abstractNumId="2">
    <w:nsid w:val="03D62ECE"/>
    <w:multiLevelType w:val="multilevel"/>
    <w:tmpl w:val="03D62ECE"/>
    <w:lvl w:ilvl="0" w:tentative="0">
      <w:start w:val="1"/>
      <w:numFmt w:val="upperRoman"/>
      <w:lvlText w:val="%1."/>
      <w:lvlJc w:val="left"/>
      <w:pPr>
        <w:ind w:left="561" w:hanging="394"/>
        <w:jc w:val="right"/>
      </w:pPr>
      <w:rPr>
        <w:rFonts w:hint="default" w:ascii="Arial" w:hAnsi="Arial" w:eastAsia="Arial" w:cs="Arial"/>
        <w:b/>
        <w:bCs/>
        <w:w w:val="99"/>
        <w:sz w:val="20"/>
        <w:szCs w:val="20"/>
        <w:lang w:val="pl-PL" w:eastAsia="pl-PL" w:bidi="pl-PL"/>
      </w:rPr>
    </w:lvl>
    <w:lvl w:ilvl="1" w:tentative="0">
      <w:start w:val="1"/>
      <w:numFmt w:val="decimal"/>
      <w:lvlText w:val="%2."/>
      <w:lvlJc w:val="left"/>
      <w:pPr>
        <w:ind w:left="986" w:hanging="207"/>
        <w:jc w:val="left"/>
      </w:pPr>
      <w:rPr>
        <w:rFonts w:hint="default"/>
        <w:spacing w:val="-2"/>
        <w:w w:val="99"/>
        <w:lang w:val="pl-PL" w:eastAsia="pl-PL" w:bidi="pl-PL"/>
      </w:rPr>
    </w:lvl>
    <w:lvl w:ilvl="2" w:tentative="0">
      <w:start w:val="1"/>
      <w:numFmt w:val="lowerLetter"/>
      <w:lvlText w:val="%3)"/>
      <w:lvlJc w:val="left"/>
      <w:pPr>
        <w:ind w:left="1130" w:hanging="207"/>
        <w:jc w:val="left"/>
      </w:pPr>
      <w:rPr>
        <w:rFonts w:hint="default" w:ascii="Arial" w:hAnsi="Arial" w:eastAsia="Arial" w:cs="Arial"/>
        <w:spacing w:val="-2"/>
        <w:w w:val="99"/>
        <w:sz w:val="20"/>
        <w:szCs w:val="20"/>
        <w:lang w:val="pl-PL" w:eastAsia="pl-PL" w:bidi="pl-PL"/>
      </w:rPr>
    </w:lvl>
    <w:lvl w:ilvl="3" w:tentative="0">
      <w:start w:val="0"/>
      <w:numFmt w:val="bullet"/>
      <w:lvlText w:val="•"/>
      <w:lvlJc w:val="left"/>
      <w:pPr>
        <w:ind w:left="1140" w:hanging="207"/>
      </w:pPr>
      <w:rPr>
        <w:rFonts w:hint="default"/>
        <w:lang w:val="pl-PL" w:eastAsia="pl-PL" w:bidi="pl-PL"/>
      </w:rPr>
    </w:lvl>
    <w:lvl w:ilvl="4" w:tentative="0">
      <w:start w:val="0"/>
      <w:numFmt w:val="bullet"/>
      <w:lvlText w:val="•"/>
      <w:lvlJc w:val="left"/>
      <w:pPr>
        <w:ind w:left="2329" w:hanging="207"/>
      </w:pPr>
      <w:rPr>
        <w:rFonts w:hint="default"/>
        <w:lang w:val="pl-PL" w:eastAsia="pl-PL" w:bidi="pl-PL"/>
      </w:rPr>
    </w:lvl>
    <w:lvl w:ilvl="5" w:tentative="0">
      <w:start w:val="0"/>
      <w:numFmt w:val="bullet"/>
      <w:lvlText w:val="•"/>
      <w:lvlJc w:val="left"/>
      <w:pPr>
        <w:ind w:left="3518" w:hanging="207"/>
      </w:pPr>
      <w:rPr>
        <w:rFonts w:hint="default"/>
        <w:lang w:val="pl-PL" w:eastAsia="pl-PL" w:bidi="pl-PL"/>
      </w:rPr>
    </w:lvl>
    <w:lvl w:ilvl="6" w:tentative="0">
      <w:start w:val="0"/>
      <w:numFmt w:val="bullet"/>
      <w:lvlText w:val="•"/>
      <w:lvlJc w:val="left"/>
      <w:pPr>
        <w:ind w:left="4708" w:hanging="207"/>
      </w:pPr>
      <w:rPr>
        <w:rFonts w:hint="default"/>
        <w:lang w:val="pl-PL" w:eastAsia="pl-PL" w:bidi="pl-PL"/>
      </w:rPr>
    </w:lvl>
    <w:lvl w:ilvl="7" w:tentative="0">
      <w:start w:val="0"/>
      <w:numFmt w:val="bullet"/>
      <w:lvlText w:val="•"/>
      <w:lvlJc w:val="left"/>
      <w:pPr>
        <w:ind w:left="5897" w:hanging="207"/>
      </w:pPr>
      <w:rPr>
        <w:rFonts w:hint="default"/>
        <w:lang w:val="pl-PL" w:eastAsia="pl-PL" w:bidi="pl-PL"/>
      </w:rPr>
    </w:lvl>
    <w:lvl w:ilvl="8" w:tentative="0">
      <w:start w:val="0"/>
      <w:numFmt w:val="bullet"/>
      <w:lvlText w:val="•"/>
      <w:lvlJc w:val="left"/>
      <w:pPr>
        <w:ind w:left="7087" w:hanging="207"/>
      </w:pPr>
      <w:rPr>
        <w:rFonts w:hint="default"/>
        <w:lang w:val="pl-PL" w:eastAsia="pl-PL" w:bidi="pl-PL"/>
      </w:rPr>
    </w:lvl>
  </w:abstractNum>
  <w:abstractNum w:abstractNumId="3">
    <w:nsid w:val="25B654F3"/>
    <w:multiLevelType w:val="multilevel"/>
    <w:tmpl w:val="25B654F3"/>
    <w:lvl w:ilvl="0" w:tentative="0">
      <w:start w:val="1"/>
      <w:numFmt w:val="lowerLetter"/>
      <w:lvlText w:val="%1."/>
      <w:lvlJc w:val="left"/>
      <w:pPr>
        <w:ind w:left="1410" w:hanging="283"/>
        <w:jc w:val="left"/>
      </w:pPr>
      <w:rPr>
        <w:rFonts w:hint="default" w:ascii="Arial" w:hAnsi="Arial" w:eastAsia="Arial" w:cs="Arial"/>
        <w:spacing w:val="-2"/>
        <w:w w:val="99"/>
        <w:sz w:val="20"/>
        <w:szCs w:val="20"/>
        <w:lang w:val="pl-PL" w:eastAsia="pl-PL" w:bidi="pl-PL"/>
      </w:rPr>
    </w:lvl>
    <w:lvl w:ilvl="1" w:tentative="0">
      <w:start w:val="0"/>
      <w:numFmt w:val="bullet"/>
      <w:lvlText w:val="•"/>
      <w:lvlJc w:val="left"/>
      <w:pPr>
        <w:ind w:left="2224" w:hanging="283"/>
      </w:pPr>
      <w:rPr>
        <w:rFonts w:hint="default"/>
        <w:lang w:val="pl-PL" w:eastAsia="pl-PL" w:bidi="pl-PL"/>
      </w:rPr>
    </w:lvl>
    <w:lvl w:ilvl="2" w:tentative="0">
      <w:start w:val="0"/>
      <w:numFmt w:val="bullet"/>
      <w:lvlText w:val="•"/>
      <w:lvlJc w:val="left"/>
      <w:pPr>
        <w:ind w:left="3029" w:hanging="283"/>
      </w:pPr>
      <w:rPr>
        <w:rFonts w:hint="default"/>
        <w:lang w:val="pl-PL" w:eastAsia="pl-PL" w:bidi="pl-PL"/>
      </w:rPr>
    </w:lvl>
    <w:lvl w:ilvl="3" w:tentative="0">
      <w:start w:val="0"/>
      <w:numFmt w:val="bullet"/>
      <w:lvlText w:val="•"/>
      <w:lvlJc w:val="left"/>
      <w:pPr>
        <w:ind w:left="3833" w:hanging="283"/>
      </w:pPr>
      <w:rPr>
        <w:rFonts w:hint="default"/>
        <w:lang w:val="pl-PL" w:eastAsia="pl-PL" w:bidi="pl-PL"/>
      </w:rPr>
    </w:lvl>
    <w:lvl w:ilvl="4" w:tentative="0">
      <w:start w:val="0"/>
      <w:numFmt w:val="bullet"/>
      <w:lvlText w:val="•"/>
      <w:lvlJc w:val="left"/>
      <w:pPr>
        <w:ind w:left="4638" w:hanging="283"/>
      </w:pPr>
      <w:rPr>
        <w:rFonts w:hint="default"/>
        <w:lang w:val="pl-PL" w:eastAsia="pl-PL" w:bidi="pl-PL"/>
      </w:rPr>
    </w:lvl>
    <w:lvl w:ilvl="5" w:tentative="0">
      <w:start w:val="0"/>
      <w:numFmt w:val="bullet"/>
      <w:lvlText w:val="•"/>
      <w:lvlJc w:val="left"/>
      <w:pPr>
        <w:ind w:left="5443" w:hanging="283"/>
      </w:pPr>
      <w:rPr>
        <w:rFonts w:hint="default"/>
        <w:lang w:val="pl-PL" w:eastAsia="pl-PL" w:bidi="pl-PL"/>
      </w:rPr>
    </w:lvl>
    <w:lvl w:ilvl="6" w:tentative="0">
      <w:start w:val="0"/>
      <w:numFmt w:val="bullet"/>
      <w:lvlText w:val="•"/>
      <w:lvlJc w:val="left"/>
      <w:pPr>
        <w:ind w:left="6247" w:hanging="283"/>
      </w:pPr>
      <w:rPr>
        <w:rFonts w:hint="default"/>
        <w:lang w:val="pl-PL" w:eastAsia="pl-PL" w:bidi="pl-PL"/>
      </w:rPr>
    </w:lvl>
    <w:lvl w:ilvl="7" w:tentative="0">
      <w:start w:val="0"/>
      <w:numFmt w:val="bullet"/>
      <w:lvlText w:val="•"/>
      <w:lvlJc w:val="left"/>
      <w:pPr>
        <w:ind w:left="7052" w:hanging="283"/>
      </w:pPr>
      <w:rPr>
        <w:rFonts w:hint="default"/>
        <w:lang w:val="pl-PL" w:eastAsia="pl-PL" w:bidi="pl-PL"/>
      </w:rPr>
    </w:lvl>
    <w:lvl w:ilvl="8" w:tentative="0">
      <w:start w:val="0"/>
      <w:numFmt w:val="bullet"/>
      <w:lvlText w:val="•"/>
      <w:lvlJc w:val="left"/>
      <w:pPr>
        <w:ind w:left="7857" w:hanging="283"/>
      </w:pPr>
      <w:rPr>
        <w:rFonts w:hint="default"/>
        <w:lang w:val="pl-PL" w:eastAsia="pl-PL" w:bidi="pl-PL"/>
      </w:rPr>
    </w:lvl>
  </w:abstractNum>
  <w:abstractNum w:abstractNumId="4">
    <w:nsid w:val="2A8F537B"/>
    <w:multiLevelType w:val="multilevel"/>
    <w:tmpl w:val="2A8F537B"/>
    <w:lvl w:ilvl="0" w:tentative="0">
      <w:start w:val="1"/>
      <w:numFmt w:val="decimal"/>
      <w:lvlText w:val="%1)"/>
      <w:lvlJc w:val="left"/>
      <w:pPr>
        <w:ind w:left="986" w:hanging="425"/>
        <w:jc w:val="left"/>
      </w:pPr>
      <w:rPr>
        <w:rFonts w:hint="default" w:ascii="Arial" w:hAnsi="Arial" w:eastAsia="Arial" w:cs="Arial"/>
        <w:spacing w:val="-2"/>
        <w:w w:val="99"/>
        <w:sz w:val="20"/>
        <w:szCs w:val="20"/>
        <w:lang w:val="pl-PL" w:eastAsia="pl-PL" w:bidi="pl-PL"/>
      </w:rPr>
    </w:lvl>
    <w:lvl w:ilvl="1" w:tentative="0">
      <w:start w:val="0"/>
      <w:numFmt w:val="bullet"/>
      <w:lvlText w:val="•"/>
      <w:lvlJc w:val="left"/>
      <w:pPr>
        <w:ind w:left="1828" w:hanging="425"/>
      </w:pPr>
      <w:rPr>
        <w:rFonts w:hint="default"/>
        <w:lang w:val="pl-PL" w:eastAsia="pl-PL" w:bidi="pl-PL"/>
      </w:rPr>
    </w:lvl>
    <w:lvl w:ilvl="2" w:tentative="0">
      <w:start w:val="0"/>
      <w:numFmt w:val="bullet"/>
      <w:lvlText w:val="•"/>
      <w:lvlJc w:val="left"/>
      <w:pPr>
        <w:ind w:left="2677" w:hanging="425"/>
      </w:pPr>
      <w:rPr>
        <w:rFonts w:hint="default"/>
        <w:lang w:val="pl-PL" w:eastAsia="pl-PL" w:bidi="pl-PL"/>
      </w:rPr>
    </w:lvl>
    <w:lvl w:ilvl="3" w:tentative="0">
      <w:start w:val="0"/>
      <w:numFmt w:val="bullet"/>
      <w:lvlText w:val="•"/>
      <w:lvlJc w:val="left"/>
      <w:pPr>
        <w:ind w:left="3525" w:hanging="425"/>
      </w:pPr>
      <w:rPr>
        <w:rFonts w:hint="default"/>
        <w:lang w:val="pl-PL" w:eastAsia="pl-PL" w:bidi="pl-PL"/>
      </w:rPr>
    </w:lvl>
    <w:lvl w:ilvl="4" w:tentative="0">
      <w:start w:val="0"/>
      <w:numFmt w:val="bullet"/>
      <w:lvlText w:val="•"/>
      <w:lvlJc w:val="left"/>
      <w:pPr>
        <w:ind w:left="4374" w:hanging="425"/>
      </w:pPr>
      <w:rPr>
        <w:rFonts w:hint="default"/>
        <w:lang w:val="pl-PL" w:eastAsia="pl-PL" w:bidi="pl-PL"/>
      </w:rPr>
    </w:lvl>
    <w:lvl w:ilvl="5" w:tentative="0">
      <w:start w:val="0"/>
      <w:numFmt w:val="bullet"/>
      <w:lvlText w:val="•"/>
      <w:lvlJc w:val="left"/>
      <w:pPr>
        <w:ind w:left="5223" w:hanging="425"/>
      </w:pPr>
      <w:rPr>
        <w:rFonts w:hint="default"/>
        <w:lang w:val="pl-PL" w:eastAsia="pl-PL" w:bidi="pl-PL"/>
      </w:rPr>
    </w:lvl>
    <w:lvl w:ilvl="6" w:tentative="0">
      <w:start w:val="0"/>
      <w:numFmt w:val="bullet"/>
      <w:lvlText w:val="•"/>
      <w:lvlJc w:val="left"/>
      <w:pPr>
        <w:ind w:left="6071" w:hanging="425"/>
      </w:pPr>
      <w:rPr>
        <w:rFonts w:hint="default"/>
        <w:lang w:val="pl-PL" w:eastAsia="pl-PL" w:bidi="pl-PL"/>
      </w:rPr>
    </w:lvl>
    <w:lvl w:ilvl="7" w:tentative="0">
      <w:start w:val="0"/>
      <w:numFmt w:val="bullet"/>
      <w:lvlText w:val="•"/>
      <w:lvlJc w:val="left"/>
      <w:pPr>
        <w:ind w:left="6920" w:hanging="425"/>
      </w:pPr>
      <w:rPr>
        <w:rFonts w:hint="default"/>
        <w:lang w:val="pl-PL" w:eastAsia="pl-PL" w:bidi="pl-PL"/>
      </w:rPr>
    </w:lvl>
    <w:lvl w:ilvl="8" w:tentative="0">
      <w:start w:val="0"/>
      <w:numFmt w:val="bullet"/>
      <w:lvlText w:val="•"/>
      <w:lvlJc w:val="left"/>
      <w:pPr>
        <w:ind w:left="7769" w:hanging="425"/>
      </w:pPr>
      <w:rPr>
        <w:rFonts w:hint="default"/>
        <w:lang w:val="pl-PL" w:eastAsia="pl-PL" w:bidi="pl-PL"/>
      </w:rPr>
    </w:lvl>
  </w:abstractNum>
  <w:abstractNum w:abstractNumId="5">
    <w:nsid w:val="5A241D34"/>
    <w:multiLevelType w:val="multilevel"/>
    <w:tmpl w:val="5A241D34"/>
    <w:lvl w:ilvl="0" w:tentative="0">
      <w:start w:val="0"/>
      <w:numFmt w:val="bullet"/>
      <w:lvlText w:val=""/>
      <w:lvlJc w:val="left"/>
      <w:pPr>
        <w:ind w:left="986" w:hanging="425"/>
      </w:pPr>
      <w:rPr>
        <w:rFonts w:hint="default" w:ascii="Symbol" w:hAnsi="Symbol" w:eastAsia="Symbol" w:cs="Symbol"/>
        <w:w w:val="100"/>
        <w:sz w:val="24"/>
        <w:szCs w:val="24"/>
        <w:lang w:val="pl-PL" w:eastAsia="pl-PL" w:bidi="pl-PL"/>
      </w:rPr>
    </w:lvl>
    <w:lvl w:ilvl="1" w:tentative="0">
      <w:start w:val="0"/>
      <w:numFmt w:val="bullet"/>
      <w:lvlText w:val="•"/>
      <w:lvlJc w:val="left"/>
      <w:pPr>
        <w:ind w:left="1828" w:hanging="425"/>
      </w:pPr>
      <w:rPr>
        <w:rFonts w:hint="default"/>
        <w:lang w:val="pl-PL" w:eastAsia="pl-PL" w:bidi="pl-PL"/>
      </w:rPr>
    </w:lvl>
    <w:lvl w:ilvl="2" w:tentative="0">
      <w:start w:val="0"/>
      <w:numFmt w:val="bullet"/>
      <w:lvlText w:val="•"/>
      <w:lvlJc w:val="left"/>
      <w:pPr>
        <w:ind w:left="2677" w:hanging="425"/>
      </w:pPr>
      <w:rPr>
        <w:rFonts w:hint="default"/>
        <w:lang w:val="pl-PL" w:eastAsia="pl-PL" w:bidi="pl-PL"/>
      </w:rPr>
    </w:lvl>
    <w:lvl w:ilvl="3" w:tentative="0">
      <w:start w:val="0"/>
      <w:numFmt w:val="bullet"/>
      <w:lvlText w:val="•"/>
      <w:lvlJc w:val="left"/>
      <w:pPr>
        <w:ind w:left="3525" w:hanging="425"/>
      </w:pPr>
      <w:rPr>
        <w:rFonts w:hint="default"/>
        <w:lang w:val="pl-PL" w:eastAsia="pl-PL" w:bidi="pl-PL"/>
      </w:rPr>
    </w:lvl>
    <w:lvl w:ilvl="4" w:tentative="0">
      <w:start w:val="0"/>
      <w:numFmt w:val="bullet"/>
      <w:lvlText w:val="•"/>
      <w:lvlJc w:val="left"/>
      <w:pPr>
        <w:ind w:left="4374" w:hanging="425"/>
      </w:pPr>
      <w:rPr>
        <w:rFonts w:hint="default"/>
        <w:lang w:val="pl-PL" w:eastAsia="pl-PL" w:bidi="pl-PL"/>
      </w:rPr>
    </w:lvl>
    <w:lvl w:ilvl="5" w:tentative="0">
      <w:start w:val="0"/>
      <w:numFmt w:val="bullet"/>
      <w:lvlText w:val="•"/>
      <w:lvlJc w:val="left"/>
      <w:pPr>
        <w:ind w:left="5223" w:hanging="425"/>
      </w:pPr>
      <w:rPr>
        <w:rFonts w:hint="default"/>
        <w:lang w:val="pl-PL" w:eastAsia="pl-PL" w:bidi="pl-PL"/>
      </w:rPr>
    </w:lvl>
    <w:lvl w:ilvl="6" w:tentative="0">
      <w:start w:val="0"/>
      <w:numFmt w:val="bullet"/>
      <w:lvlText w:val="•"/>
      <w:lvlJc w:val="left"/>
      <w:pPr>
        <w:ind w:left="6071" w:hanging="425"/>
      </w:pPr>
      <w:rPr>
        <w:rFonts w:hint="default"/>
        <w:lang w:val="pl-PL" w:eastAsia="pl-PL" w:bidi="pl-PL"/>
      </w:rPr>
    </w:lvl>
    <w:lvl w:ilvl="7" w:tentative="0">
      <w:start w:val="0"/>
      <w:numFmt w:val="bullet"/>
      <w:lvlText w:val="•"/>
      <w:lvlJc w:val="left"/>
      <w:pPr>
        <w:ind w:left="6920" w:hanging="425"/>
      </w:pPr>
      <w:rPr>
        <w:rFonts w:hint="default"/>
        <w:lang w:val="pl-PL" w:eastAsia="pl-PL" w:bidi="pl-PL"/>
      </w:rPr>
    </w:lvl>
    <w:lvl w:ilvl="8" w:tentative="0">
      <w:start w:val="0"/>
      <w:numFmt w:val="bullet"/>
      <w:lvlText w:val="•"/>
      <w:lvlJc w:val="left"/>
      <w:pPr>
        <w:ind w:left="7769" w:hanging="425"/>
      </w:pPr>
      <w:rPr>
        <w:rFonts w:hint="default"/>
        <w:lang w:val="pl-PL" w:eastAsia="pl-PL" w:bidi="pl-PL"/>
      </w:rPr>
    </w:lvl>
  </w:abstractNum>
  <w:abstractNum w:abstractNumId="6">
    <w:nsid w:val="72183CF9"/>
    <w:multiLevelType w:val="multilevel"/>
    <w:tmpl w:val="72183CF9"/>
    <w:lvl w:ilvl="0" w:tentative="0">
      <w:start w:val="1"/>
      <w:numFmt w:val="lowerLetter"/>
      <w:lvlText w:val="%1."/>
      <w:lvlJc w:val="left"/>
      <w:pPr>
        <w:ind w:left="1410" w:hanging="283"/>
        <w:jc w:val="left"/>
      </w:pPr>
      <w:rPr>
        <w:rFonts w:hint="default" w:ascii="Arial" w:hAnsi="Arial" w:eastAsia="Arial" w:cs="Arial"/>
        <w:spacing w:val="-2"/>
        <w:w w:val="99"/>
        <w:sz w:val="20"/>
        <w:szCs w:val="20"/>
        <w:lang w:val="pl-PL" w:eastAsia="pl-PL" w:bidi="pl-PL"/>
      </w:rPr>
    </w:lvl>
    <w:lvl w:ilvl="1" w:tentative="0">
      <w:start w:val="0"/>
      <w:numFmt w:val="bullet"/>
      <w:lvlText w:val="•"/>
      <w:lvlJc w:val="left"/>
      <w:pPr>
        <w:ind w:left="2224" w:hanging="283"/>
      </w:pPr>
      <w:rPr>
        <w:rFonts w:hint="default"/>
        <w:lang w:val="pl-PL" w:eastAsia="pl-PL" w:bidi="pl-PL"/>
      </w:rPr>
    </w:lvl>
    <w:lvl w:ilvl="2" w:tentative="0">
      <w:start w:val="0"/>
      <w:numFmt w:val="bullet"/>
      <w:lvlText w:val="•"/>
      <w:lvlJc w:val="left"/>
      <w:pPr>
        <w:ind w:left="3029" w:hanging="283"/>
      </w:pPr>
      <w:rPr>
        <w:rFonts w:hint="default"/>
        <w:lang w:val="pl-PL" w:eastAsia="pl-PL" w:bidi="pl-PL"/>
      </w:rPr>
    </w:lvl>
    <w:lvl w:ilvl="3" w:tentative="0">
      <w:start w:val="0"/>
      <w:numFmt w:val="bullet"/>
      <w:lvlText w:val="•"/>
      <w:lvlJc w:val="left"/>
      <w:pPr>
        <w:ind w:left="3833" w:hanging="283"/>
      </w:pPr>
      <w:rPr>
        <w:rFonts w:hint="default"/>
        <w:lang w:val="pl-PL" w:eastAsia="pl-PL" w:bidi="pl-PL"/>
      </w:rPr>
    </w:lvl>
    <w:lvl w:ilvl="4" w:tentative="0">
      <w:start w:val="0"/>
      <w:numFmt w:val="bullet"/>
      <w:lvlText w:val="•"/>
      <w:lvlJc w:val="left"/>
      <w:pPr>
        <w:ind w:left="4638" w:hanging="283"/>
      </w:pPr>
      <w:rPr>
        <w:rFonts w:hint="default"/>
        <w:lang w:val="pl-PL" w:eastAsia="pl-PL" w:bidi="pl-PL"/>
      </w:rPr>
    </w:lvl>
    <w:lvl w:ilvl="5" w:tentative="0">
      <w:start w:val="0"/>
      <w:numFmt w:val="bullet"/>
      <w:lvlText w:val="•"/>
      <w:lvlJc w:val="left"/>
      <w:pPr>
        <w:ind w:left="5443" w:hanging="283"/>
      </w:pPr>
      <w:rPr>
        <w:rFonts w:hint="default"/>
        <w:lang w:val="pl-PL" w:eastAsia="pl-PL" w:bidi="pl-PL"/>
      </w:rPr>
    </w:lvl>
    <w:lvl w:ilvl="6" w:tentative="0">
      <w:start w:val="0"/>
      <w:numFmt w:val="bullet"/>
      <w:lvlText w:val="•"/>
      <w:lvlJc w:val="left"/>
      <w:pPr>
        <w:ind w:left="6247" w:hanging="283"/>
      </w:pPr>
      <w:rPr>
        <w:rFonts w:hint="default"/>
        <w:lang w:val="pl-PL" w:eastAsia="pl-PL" w:bidi="pl-PL"/>
      </w:rPr>
    </w:lvl>
    <w:lvl w:ilvl="7" w:tentative="0">
      <w:start w:val="0"/>
      <w:numFmt w:val="bullet"/>
      <w:lvlText w:val="•"/>
      <w:lvlJc w:val="left"/>
      <w:pPr>
        <w:ind w:left="7052" w:hanging="283"/>
      </w:pPr>
      <w:rPr>
        <w:rFonts w:hint="default"/>
        <w:lang w:val="pl-PL" w:eastAsia="pl-PL" w:bidi="pl-PL"/>
      </w:rPr>
    </w:lvl>
    <w:lvl w:ilvl="8" w:tentative="0">
      <w:start w:val="0"/>
      <w:numFmt w:val="bullet"/>
      <w:lvlText w:val="•"/>
      <w:lvlJc w:val="left"/>
      <w:pPr>
        <w:ind w:left="7857" w:hanging="283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E0A42"/>
    <w:rsid w:val="6AAC2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pl-PL" w:eastAsia="pl-PL" w:bidi="pl-PL"/>
    </w:rPr>
  </w:style>
  <w:style w:type="paragraph" w:styleId="2">
    <w:name w:val="heading 1"/>
    <w:basedOn w:val="1"/>
    <w:next w:val="1"/>
    <w:qFormat/>
    <w:uiPriority w:val="1"/>
    <w:pPr>
      <w:ind w:left="986" w:hanging="207"/>
      <w:outlineLvl w:val="1"/>
    </w:pPr>
    <w:rPr>
      <w:rFonts w:ascii="Arial" w:hAnsi="Arial" w:eastAsia="Arial" w:cs="Arial"/>
      <w:b/>
      <w:bCs/>
      <w:sz w:val="20"/>
      <w:szCs w:val="20"/>
      <w:lang w:val="pl-PL" w:eastAsia="pl-PL" w:bidi="pl-PL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" w:hAnsi="Arial" w:eastAsia="Arial" w:cs="Arial"/>
      <w:sz w:val="20"/>
      <w:szCs w:val="20"/>
      <w:lang w:val="pl-PL" w:eastAsia="pl-PL" w:bidi="pl-PL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410" w:hanging="284"/>
      <w:jc w:val="both"/>
    </w:pPr>
    <w:rPr>
      <w:rFonts w:ascii="Arial" w:hAnsi="Arial" w:eastAsia="Arial" w:cs="Arial"/>
      <w:lang w:val="pl-PL" w:eastAsia="pl-PL" w:bidi="pl-PL"/>
    </w:rPr>
  </w:style>
  <w:style w:type="paragraph" w:customStyle="1" w:styleId="8">
    <w:name w:val="Table Paragraph"/>
    <w:basedOn w:val="1"/>
    <w:qFormat/>
    <w:uiPriority w:val="1"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2021-09-28T09:00:00Z</dcterms:created>
  <dc:creator>k.wyskiel</dc:creator>
  <cp:lastModifiedBy>Piotr Rzewuski</cp:lastModifiedBy>
  <dcterms:modified xsi:type="dcterms:W3CDTF">2021-09-28T09:03:18Z</dcterms:modified>
  <dc:title>Microsoft Word - Opis Przedmiotu Zamówienia_studium wentylacja mechaniczna i klimatyzacja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LastSaved">
    <vt:filetime>2021-09-28T00:00:00Z</vt:filetime>
  </property>
  <property fmtid="{D5CDD505-2E9C-101B-9397-08002B2CF9AE}" pid="4" name="KSOProductBuildVer">
    <vt:lpwstr>1045-11.2.0.10323</vt:lpwstr>
  </property>
  <property fmtid="{D5CDD505-2E9C-101B-9397-08002B2CF9AE}" pid="5" name="ICV">
    <vt:lpwstr>40A9333C9C214FB8AD68DE6A815E9F34</vt:lpwstr>
  </property>
</Properties>
</file>