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9ACF" w14:textId="77777777" w:rsidR="0059388A" w:rsidRDefault="0059388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3"/>
        <w:gridCol w:w="1323"/>
        <w:gridCol w:w="2001"/>
        <w:gridCol w:w="5146"/>
        <w:gridCol w:w="4891"/>
      </w:tblGrid>
      <w:tr w:rsidR="002404B1" w14:paraId="6765EDCB" w14:textId="77777777" w:rsidTr="00204199">
        <w:trPr>
          <w:trHeight w:val="1133"/>
        </w:trPr>
        <w:tc>
          <w:tcPr>
            <w:tcW w:w="13994" w:type="dxa"/>
            <w:gridSpan w:val="5"/>
            <w:vAlign w:val="center"/>
          </w:tcPr>
          <w:p w14:paraId="55563617" w14:textId="53BE4828" w:rsidR="002404B1" w:rsidRPr="006E7A78" w:rsidRDefault="004647BB" w:rsidP="006E7A78">
            <w:pPr>
              <w:jc w:val="center"/>
              <w:rPr>
                <w:b/>
              </w:rPr>
            </w:pPr>
            <w:proofErr w:type="gramStart"/>
            <w:r w:rsidRPr="004647BB">
              <w:rPr>
                <w:b/>
              </w:rPr>
              <w:t>projekt</w:t>
            </w:r>
            <w:proofErr w:type="gramEnd"/>
            <w:r w:rsidRPr="004647BB">
              <w:rPr>
                <w:b/>
              </w:rPr>
              <w:t xml:space="preserve"> rozporządzenia Ministra Cyfryzacji w sprawie zakresu danych udostępnianych podmiotom obowiązanym do przekazywania danych do centralnej ewidencji pojazdów oraz wymagań technicznych i jakościowych danych wprowadzanych do tej ewidencji </w:t>
            </w:r>
            <w:r w:rsidR="002404B1" w:rsidRPr="004647BB">
              <w:rPr>
                <w:b/>
              </w:rPr>
              <w:t>(</w:t>
            </w:r>
            <w:r w:rsidRPr="004647BB">
              <w:rPr>
                <w:b/>
              </w:rPr>
              <w:t>141</w:t>
            </w:r>
            <w:r w:rsidR="002404B1" w:rsidRPr="004647BB">
              <w:rPr>
                <w:b/>
              </w:rPr>
              <w:t>)</w:t>
            </w:r>
            <w:r w:rsidR="006E7A78">
              <w:rPr>
                <w:b/>
              </w:rPr>
              <w:t xml:space="preserve"> – uwagi z uzgodnień</w:t>
            </w:r>
            <w:bookmarkStart w:id="0" w:name="_GoBack"/>
            <w:bookmarkEnd w:id="0"/>
          </w:p>
        </w:tc>
      </w:tr>
      <w:tr w:rsidR="002404B1" w:rsidRPr="00CF4E33" w14:paraId="7D8FCAD1" w14:textId="77777777" w:rsidTr="002404B1">
        <w:tc>
          <w:tcPr>
            <w:tcW w:w="633" w:type="dxa"/>
          </w:tcPr>
          <w:p w14:paraId="4C6062A1" w14:textId="77777777"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 xml:space="preserve">L. </w:t>
            </w:r>
            <w:proofErr w:type="gramStart"/>
            <w:r w:rsidRPr="00CF4E33">
              <w:rPr>
                <w:b/>
              </w:rPr>
              <w:t>p</w:t>
            </w:r>
            <w:proofErr w:type="gramEnd"/>
            <w:r w:rsidRPr="00CF4E33">
              <w:rPr>
                <w:b/>
              </w:rPr>
              <w:t>.</w:t>
            </w:r>
          </w:p>
        </w:tc>
        <w:tc>
          <w:tcPr>
            <w:tcW w:w="1323" w:type="dxa"/>
          </w:tcPr>
          <w:p w14:paraId="28B4AB2F" w14:textId="77777777"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Jednostka redakcyjna</w:t>
            </w:r>
          </w:p>
        </w:tc>
        <w:tc>
          <w:tcPr>
            <w:tcW w:w="2001" w:type="dxa"/>
          </w:tcPr>
          <w:p w14:paraId="3617E4BE" w14:textId="77777777"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Podmiot zgłaszający uwagę</w:t>
            </w:r>
          </w:p>
        </w:tc>
        <w:tc>
          <w:tcPr>
            <w:tcW w:w="5146" w:type="dxa"/>
          </w:tcPr>
          <w:p w14:paraId="4DAF2F7B" w14:textId="77777777"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Treść uwagi</w:t>
            </w:r>
          </w:p>
        </w:tc>
        <w:tc>
          <w:tcPr>
            <w:tcW w:w="4891" w:type="dxa"/>
          </w:tcPr>
          <w:p w14:paraId="54BD4F15" w14:textId="77777777" w:rsidR="002404B1" w:rsidRPr="00CF4E33" w:rsidRDefault="002404B1" w:rsidP="00CF4E33">
            <w:pPr>
              <w:jc w:val="center"/>
              <w:rPr>
                <w:b/>
              </w:rPr>
            </w:pPr>
            <w:r>
              <w:rPr>
                <w:b/>
              </w:rPr>
              <w:t>Stanowisko MC</w:t>
            </w:r>
          </w:p>
        </w:tc>
      </w:tr>
      <w:tr w:rsidR="002404B1" w14:paraId="4ABBC138" w14:textId="77777777" w:rsidTr="002404B1">
        <w:tc>
          <w:tcPr>
            <w:tcW w:w="633" w:type="dxa"/>
          </w:tcPr>
          <w:p w14:paraId="1064AD3D" w14:textId="77777777"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14:paraId="0156B3A3" w14:textId="77777777" w:rsidR="002404B1" w:rsidRDefault="009E7803">
            <w:r>
              <w:t xml:space="preserve">§ 8 pkt 3 </w:t>
            </w:r>
          </w:p>
        </w:tc>
        <w:tc>
          <w:tcPr>
            <w:tcW w:w="2001" w:type="dxa"/>
          </w:tcPr>
          <w:p w14:paraId="763629B6" w14:textId="77777777" w:rsidR="002404B1" w:rsidRDefault="005B0463">
            <w:r>
              <w:t>RCL</w:t>
            </w:r>
          </w:p>
        </w:tc>
        <w:tc>
          <w:tcPr>
            <w:tcW w:w="5146" w:type="dxa"/>
          </w:tcPr>
          <w:p w14:paraId="16EB1F7C" w14:textId="43C6373D" w:rsidR="002404B1" w:rsidRDefault="005B0463">
            <w:proofErr w:type="gramStart"/>
            <w:r w:rsidRPr="005B0463">
              <w:t>w</w:t>
            </w:r>
            <w:proofErr w:type="gramEnd"/>
            <w:r w:rsidRPr="005B0463">
              <w:t xml:space="preserve"> zakresie § 8 pkt 3 użyte w nim sformułowanie „wskazania” wymaga dostosowania do terminologii używanej w art. 80ba ust. 1 ustawy z dnia 20 czerwca 1997 r. – Prawo o ruchu drogowym (Dz. U. </w:t>
            </w:r>
            <w:proofErr w:type="gramStart"/>
            <w:r w:rsidRPr="005B0463">
              <w:t>z</w:t>
            </w:r>
            <w:proofErr w:type="gramEnd"/>
            <w:r w:rsidRPr="005B0463">
              <w:t xml:space="preserve"> 2018 r. poz. 1990, z </w:t>
            </w:r>
            <w:proofErr w:type="spellStart"/>
            <w:r w:rsidRPr="005B0463">
              <w:t>późn</w:t>
            </w:r>
            <w:proofErr w:type="spellEnd"/>
            <w:r w:rsidRPr="005B0463">
              <w:t xml:space="preserve">. zm. Proponuje </w:t>
            </w:r>
            <w:proofErr w:type="gramStart"/>
            <w:r w:rsidRPr="005B0463">
              <w:t>się zatem</w:t>
            </w:r>
            <w:proofErr w:type="gramEnd"/>
            <w:r w:rsidRPr="005B0463">
              <w:t xml:space="preserve"> użycie sformułowania „przekazania danych” albo inne odpowiadające czynności podejmowanej w tym zakresie przez podmiot zobowiązany;</w:t>
            </w:r>
          </w:p>
        </w:tc>
        <w:tc>
          <w:tcPr>
            <w:tcW w:w="4891" w:type="dxa"/>
          </w:tcPr>
          <w:p w14:paraId="51EB4B7C" w14:textId="332F2603" w:rsidR="00616780" w:rsidRDefault="00F44A78" w:rsidP="00E84E53">
            <w:r w:rsidRPr="00F44A78">
              <w:t xml:space="preserve">Uwaga nie została uwzględniona. </w:t>
            </w:r>
            <w:r w:rsidR="004217EA">
              <w:t>W</w:t>
            </w:r>
            <w:r w:rsidRPr="00F44A78">
              <w:t xml:space="preserve"> przywołanym pkt 3 celowo użyte zostało sformułowanie „wskazania danych”. Wstęp do wyliczenia w § 8 stanowi, że wprowadzenie danych jest potwierdzane komunikatem, którego wygenerowanie uwarunkowane jest spełnieniem wymienionych wymagań. Podmiot, który wprowadza dane do ewidencji wskazuje sumę kontrolną, w przypadku, gdy na zapytanie o obiekt uzyskał więcej niż jedną odpowiedź wybiera właściwy obiekt i „dopisuje” do niego nowe dane (wskazuje te dane). Wyraz „przekazuje” zasadniczo odnosiłby się do </w:t>
            </w:r>
            <w:proofErr w:type="gramStart"/>
            <w:r w:rsidRPr="00F44A78">
              <w:t>całego § 8 bo</w:t>
            </w:r>
            <w:proofErr w:type="gramEnd"/>
            <w:r w:rsidRPr="00F44A78">
              <w:t xml:space="preserve"> dopiero wypełnienie określonych w nim wszystkich wymagań skutkuje „przekazaniem” danych do ewidencji. </w:t>
            </w:r>
          </w:p>
        </w:tc>
      </w:tr>
      <w:tr w:rsidR="002404B1" w14:paraId="2D3A60ED" w14:textId="77777777" w:rsidTr="002404B1">
        <w:tc>
          <w:tcPr>
            <w:tcW w:w="633" w:type="dxa"/>
          </w:tcPr>
          <w:p w14:paraId="1FF04DC6" w14:textId="77777777"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14:paraId="60E462E5" w14:textId="77777777" w:rsidR="002404B1" w:rsidRDefault="0053663E">
            <w:r>
              <w:t xml:space="preserve">§ 9 </w:t>
            </w:r>
          </w:p>
        </w:tc>
        <w:tc>
          <w:tcPr>
            <w:tcW w:w="2001" w:type="dxa"/>
          </w:tcPr>
          <w:p w14:paraId="34B2CD59" w14:textId="77777777" w:rsidR="002404B1" w:rsidRDefault="00BA4905">
            <w:r>
              <w:t>RCL</w:t>
            </w:r>
          </w:p>
        </w:tc>
        <w:tc>
          <w:tcPr>
            <w:tcW w:w="5146" w:type="dxa"/>
          </w:tcPr>
          <w:p w14:paraId="4A7CA739" w14:textId="77777777" w:rsidR="0053663E" w:rsidRDefault="0053663E">
            <w:proofErr w:type="gramStart"/>
            <w:r w:rsidRPr="0053663E">
              <w:t>ponownej</w:t>
            </w:r>
            <w:proofErr w:type="gramEnd"/>
            <w:r w:rsidRPr="0053663E">
              <w:t xml:space="preserve"> analizy projektodawcy wymaga § 9 rozporządzenia w zakresie: </w:t>
            </w:r>
          </w:p>
          <w:p w14:paraId="2B281205" w14:textId="77777777" w:rsidR="0053663E" w:rsidRDefault="0053663E"/>
          <w:p w14:paraId="3B481B44" w14:textId="6E9464A6" w:rsidR="0053663E" w:rsidRDefault="0053663E">
            <w:proofErr w:type="gramStart"/>
            <w:r w:rsidRPr="0053663E">
              <w:rPr>
                <w:b/>
              </w:rPr>
              <w:t>a</w:t>
            </w:r>
            <w:proofErr w:type="gramEnd"/>
            <w:r w:rsidRPr="0053663E">
              <w:rPr>
                <w:b/>
              </w:rPr>
              <w:t>.</w:t>
            </w:r>
            <w:r w:rsidRPr="0053663E">
              <w:t xml:space="preserve"> </w:t>
            </w:r>
            <w:proofErr w:type="gramStart"/>
            <w:r w:rsidRPr="0053663E">
              <w:t>pkt</w:t>
            </w:r>
            <w:proofErr w:type="gramEnd"/>
            <w:r w:rsidRPr="0053663E">
              <w:t xml:space="preserve"> 2 i 3 – które wymagają doprecyzowania przez wskazanie, do których danych określonych w poszczególnych punktach art. 80b ust. 1 ustawy będzie odnosił się projektowany przepis. W obecnym kształcie przepisy § 9 pkt 2 i 3 </w:t>
            </w:r>
            <w:proofErr w:type="gramStart"/>
            <w:r w:rsidRPr="0053663E">
              <w:t>są bowiem</w:t>
            </w:r>
            <w:proofErr w:type="gramEnd"/>
            <w:r w:rsidRPr="0053663E">
              <w:t xml:space="preserve"> niespójne z treścią odpowiednio § 3 pkt 2 i 6 projektu. Dokonując tego dookreślenia w przypadku pkt 2 koniecznym jest </w:t>
            </w:r>
            <w:r w:rsidRPr="0053663E">
              <w:lastRenderedPageBreak/>
              <w:t xml:space="preserve">uwzględnienie art. 13 ust. 3 ustawy z dnia 24 lipca 2015 r. 1 Zmiany niniejszej ustawy zostały ogłoszone w Dz. U. </w:t>
            </w:r>
            <w:proofErr w:type="gramStart"/>
            <w:r w:rsidRPr="0053663E">
              <w:t>poz</w:t>
            </w:r>
            <w:proofErr w:type="gramEnd"/>
            <w:r w:rsidRPr="0053663E">
              <w:t xml:space="preserve">. 2244 i 2322 oraz z 2019 r. poz. 53, 60, 730, 752,870, 1123, 1180, 1466, 1501, 1566, 1576, 1579 i 1818. 2 </w:t>
            </w:r>
            <w:proofErr w:type="gramStart"/>
            <w:r w:rsidRPr="0053663E">
              <w:t>o</w:t>
            </w:r>
            <w:proofErr w:type="gramEnd"/>
            <w:r w:rsidRPr="0053663E">
              <w:t xml:space="preserve"> zmianie ustawy – Prawo o ruchu drogowym (Dz. U. </w:t>
            </w:r>
            <w:proofErr w:type="gramStart"/>
            <w:r w:rsidRPr="0053663E">
              <w:t>poz</w:t>
            </w:r>
            <w:proofErr w:type="gramEnd"/>
            <w:r w:rsidRPr="0053663E">
              <w:t xml:space="preserve">. 1273, z </w:t>
            </w:r>
            <w:proofErr w:type="spellStart"/>
            <w:r w:rsidRPr="0053663E">
              <w:t>późn</w:t>
            </w:r>
            <w:proofErr w:type="spellEnd"/>
            <w:r w:rsidRPr="0053663E">
              <w:t>. zm</w:t>
            </w:r>
            <w:proofErr w:type="gramStart"/>
            <w:r w:rsidRPr="0053663E">
              <w:t>.). Tym</w:t>
            </w:r>
            <w:proofErr w:type="gramEnd"/>
            <w:r w:rsidRPr="0053663E">
              <w:t xml:space="preserve"> przepisem ustawodawca wprowadził termin na wdrożenie rozwiązań technicznych umożliwiających wprowadzanie danych o szkodach istotnych do ewidencji, a do tego czasu zakłady ubezpieczeń miały nie wprowadzać tych danych, jednak „nie dłużej niż przez 24 miesiące od dnia wejścia w życie niniejszej ustawy”. Art. 13 ust. 3 w brzmieniu nadanym przez ustawę dnia 15 września 2017 r. o zmianie ustawy – Prawo o ruchu drogowym oraz niektórych innych ustaw (Dz. U. </w:t>
            </w:r>
            <w:proofErr w:type="gramStart"/>
            <w:r w:rsidRPr="0053663E">
              <w:t>poz</w:t>
            </w:r>
            <w:proofErr w:type="gramEnd"/>
            <w:r w:rsidRPr="0053663E">
              <w:t xml:space="preserve">. 1926) wszedł w życie 20 października 2017 r., a zatem termin, o którym mowa w art. 13 ust. 3, upłyną w dniu 21 października 2019 r. Jak się wydaje a contrario, od tego dnia zakłady ubezpieczeń są zobowiązane wprowadzać dane o szkodach istotnych do centralnej ewidencji pojazdów, </w:t>
            </w:r>
          </w:p>
          <w:p w14:paraId="584AC430" w14:textId="77777777" w:rsidR="0053663E" w:rsidRDefault="0053663E"/>
          <w:p w14:paraId="47554007" w14:textId="77777777" w:rsidR="00BF032C" w:rsidRDefault="0053663E">
            <w:proofErr w:type="gramStart"/>
            <w:r w:rsidRPr="0053663E">
              <w:rPr>
                <w:b/>
              </w:rPr>
              <w:t>b</w:t>
            </w:r>
            <w:proofErr w:type="gramEnd"/>
            <w:r w:rsidRPr="0053663E">
              <w:rPr>
                <w:b/>
              </w:rPr>
              <w:t>.</w:t>
            </w:r>
            <w:r w:rsidRPr="0053663E">
              <w:t xml:space="preserve"> pkt 5 – wymaga także ponownej analizy, gdyż dotyczy udostępniania organom właściwym w sprawie rejestracji pojazdów, stacjom kontroli pojazdów oraz Ubezpieczeniowemu Funduszowi Gwarancyjnemu danych o szkodach istotnych wprowadzanych przez zakłady ubezpieczeń, o których mowa w art. 80b ust. 1 pkt 11 ustawy. Biorąc pod uwagę treść art. 13 ust. 3 ustawy z dnia 24 lipca 2015 r. o zmianie ustawy – Prawo o ruchu drogowym, po 24 miesiącach od dnia wejścia w życie tej ustawy zakłady ubezpieczeń są zobowiązane do wprowadzenia tych danych do </w:t>
            </w:r>
            <w:r w:rsidRPr="0053663E">
              <w:lastRenderedPageBreak/>
              <w:t xml:space="preserve">ewidencji, co w konsekwencji powoduje, że te dane powinny zostać udostępnione pozostałym podmiotom uprawnionym, </w:t>
            </w:r>
          </w:p>
          <w:p w14:paraId="2C86172C" w14:textId="77777777" w:rsidR="00BF032C" w:rsidRDefault="00BF032C"/>
          <w:p w14:paraId="2F33C987" w14:textId="77777777" w:rsidR="00BF032C" w:rsidRDefault="0053663E">
            <w:proofErr w:type="gramStart"/>
            <w:r w:rsidRPr="00BF032C">
              <w:rPr>
                <w:b/>
              </w:rPr>
              <w:t>c</w:t>
            </w:r>
            <w:proofErr w:type="gramEnd"/>
            <w:r w:rsidRPr="00BF032C">
              <w:rPr>
                <w:b/>
              </w:rPr>
              <w:t>.</w:t>
            </w:r>
            <w:r w:rsidRPr="0053663E">
              <w:t xml:space="preserve"> </w:t>
            </w:r>
            <w:proofErr w:type="gramStart"/>
            <w:r w:rsidRPr="0053663E">
              <w:t>pkt</w:t>
            </w:r>
            <w:proofErr w:type="gramEnd"/>
            <w:r w:rsidRPr="0053663E">
              <w:t xml:space="preserve"> 4, 6, 7 i 8 – po powołaniu art. 80b ust. 1 i jego odpowiednich punktów konieczne jest wskazanie, że powołany przepis znajduje się w ustawie – Prawo o ruchu drogowym. Weryfikacji ze strony projektodawcy wymaga </w:t>
            </w:r>
            <w:proofErr w:type="gramStart"/>
            <w:r w:rsidRPr="0053663E">
              <w:t>jednak do którego</w:t>
            </w:r>
            <w:proofErr w:type="gramEnd"/>
            <w:r w:rsidRPr="0053663E">
              <w:t xml:space="preserve"> z licznych brzmień tej ustawy odwołuje się § 9 w poszczególnych punktach w zakresie wskazanych w nich komunikatów. Posługiwanie się skrótem „ustawa”, wprowadzonym w § 1 pkt 1 rozporządzenia, będzie oznaczało, że projektodawca odwołuje się do brzmienia ustawy tam określonego, co wymaga oceny adekwatności tego brzmienia do treści przepisów przejściowych i dostosowujących w ustawach zmieniających powołanych w § 9 nie tylko w pkt 4, 6, 7 </w:t>
            </w:r>
            <w:proofErr w:type="gramStart"/>
            <w:r w:rsidRPr="0053663E">
              <w:t xml:space="preserve">i 8 , </w:t>
            </w:r>
            <w:proofErr w:type="gramEnd"/>
            <w:r w:rsidRPr="0053663E">
              <w:t xml:space="preserve">ale także pkt 1 – 3 i 5 rozporządzenia. Po tej analizie konieczna będzie stosowna korekta § 9, </w:t>
            </w:r>
          </w:p>
          <w:p w14:paraId="70C71203" w14:textId="77777777" w:rsidR="00BF032C" w:rsidRDefault="00BF032C"/>
          <w:p w14:paraId="200AF25B" w14:textId="77777777" w:rsidR="002404B1" w:rsidRDefault="0053663E" w:rsidP="00BA4905">
            <w:proofErr w:type="gramStart"/>
            <w:r w:rsidRPr="00BF032C">
              <w:rPr>
                <w:b/>
              </w:rPr>
              <w:t>d</w:t>
            </w:r>
            <w:proofErr w:type="gramEnd"/>
            <w:r w:rsidRPr="00BF032C">
              <w:rPr>
                <w:b/>
              </w:rPr>
              <w:t>.</w:t>
            </w:r>
            <w:r w:rsidRPr="0053663E">
              <w:t xml:space="preserve"> pkt 6 – w katalogu danych </w:t>
            </w:r>
            <w:proofErr w:type="gramStart"/>
            <w:r w:rsidRPr="0053663E">
              <w:t>wskazanych jako</w:t>
            </w:r>
            <w:proofErr w:type="gramEnd"/>
            <w:r w:rsidRPr="0053663E">
              <w:t xml:space="preserve"> udostępniane stacjom demontażu i punktom zbierania pojazdów wskazano dane, o których mowa w art. 80b ust. 1 pkt 5 2 Zmiany wymienionej ustawy zostały ogłoszone w Dz. U. </w:t>
            </w:r>
            <w:proofErr w:type="gramStart"/>
            <w:r w:rsidRPr="0053663E">
              <w:t>poz</w:t>
            </w:r>
            <w:proofErr w:type="gramEnd"/>
            <w:r w:rsidRPr="0053663E">
              <w:t xml:space="preserve">. 2183 i 2281, z 2016 r. poz. 352, i 2001, z 2017 r. poz. 379, 777 i 1926 oraz z 2018 r. poz. 957. 3 ustawy – tj. dane o zbyciu pojazdu. Do ponownej analizy i rozstrzygnięcia projektodawcy należy pozostawić kwestię ewentualnego usunięcia odwołania do art. 80b ust. 1 pkt 5 w § 9 pkt 6 lub dopisania go w § 3 pkt 8 rozporządzenia, w </w:t>
            </w:r>
            <w:r w:rsidRPr="0053663E">
              <w:lastRenderedPageBreak/>
              <w:t xml:space="preserve">przeciwnym wypadku zakresy tych przepisów pozostaną niespójne; </w:t>
            </w:r>
          </w:p>
        </w:tc>
        <w:tc>
          <w:tcPr>
            <w:tcW w:w="4891" w:type="dxa"/>
          </w:tcPr>
          <w:p w14:paraId="78F73F23" w14:textId="131791F1" w:rsidR="004217EA" w:rsidRPr="004217EA" w:rsidRDefault="004217EA" w:rsidP="004217EA">
            <w:pPr>
              <w:spacing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</w:t>
            </w:r>
            <w:r w:rsidRPr="004217EA">
              <w:rPr>
                <w:rFonts w:ascii="Calibri" w:hAnsi="Calibri" w:cs="Calibri"/>
              </w:rPr>
              <w:t xml:space="preserve">o ponownej analizie projektu oraz w celu uniknięcia wątpliwości interpretacyjnych projektodawca postanowił w § 9 pozostawić przepisy (pkt 2 i 5) odsyłające do terminu określonego w komunikacie, o którym mowa w art. 13 ust. 4 ustawy z dnia 24 lipca 2015 r. o zmianie ustawy – Prawo o ruchu drogowym oraz niektórych innych ustaw (Dz. U. </w:t>
            </w:r>
            <w:proofErr w:type="gramStart"/>
            <w:r w:rsidRPr="004217EA">
              <w:rPr>
                <w:rFonts w:ascii="Calibri" w:hAnsi="Calibri" w:cs="Calibri"/>
              </w:rPr>
              <w:t>poz</w:t>
            </w:r>
            <w:proofErr w:type="gramEnd"/>
            <w:r w:rsidRPr="004217EA">
              <w:rPr>
                <w:rFonts w:ascii="Calibri" w:hAnsi="Calibri" w:cs="Calibri"/>
              </w:rPr>
              <w:t xml:space="preserve">. 1273, z </w:t>
            </w:r>
            <w:proofErr w:type="spellStart"/>
            <w:r w:rsidRPr="004217EA">
              <w:rPr>
                <w:rFonts w:ascii="Calibri" w:hAnsi="Calibri" w:cs="Calibri"/>
              </w:rPr>
              <w:t>późn</w:t>
            </w:r>
            <w:proofErr w:type="spellEnd"/>
            <w:r w:rsidRPr="004217EA">
              <w:rPr>
                <w:rFonts w:ascii="Calibri" w:hAnsi="Calibri" w:cs="Calibri"/>
              </w:rPr>
              <w:t xml:space="preserve">. </w:t>
            </w:r>
            <w:proofErr w:type="gramStart"/>
            <w:r w:rsidRPr="004217EA">
              <w:rPr>
                <w:rFonts w:ascii="Calibri" w:hAnsi="Calibri" w:cs="Calibri"/>
              </w:rPr>
              <w:t>zm</w:t>
            </w:r>
            <w:proofErr w:type="gramEnd"/>
            <w:r w:rsidRPr="004217EA">
              <w:rPr>
                <w:rFonts w:ascii="Calibri" w:hAnsi="Calibri" w:cs="Calibri"/>
              </w:rPr>
              <w:t>.) – tj. od dnia 1 marca 2020.</w:t>
            </w:r>
          </w:p>
          <w:p w14:paraId="01B5AB14" w14:textId="2CD0E934" w:rsidR="004217EA" w:rsidRDefault="004217EA" w:rsidP="004217EA">
            <w:pPr>
              <w:spacing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Uwaga zawarta w lit. c została uwzględniona – w projekcie wprowadzono stosowne zmiany. </w:t>
            </w:r>
          </w:p>
          <w:p w14:paraId="5DB0E8D9" w14:textId="2B2328A4" w:rsidR="004217EA" w:rsidRDefault="004217EA" w:rsidP="004217EA">
            <w:pPr>
              <w:spacing w:after="12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uwaga</w:t>
            </w:r>
            <w:proofErr w:type="gramEnd"/>
            <w:r>
              <w:rPr>
                <w:rFonts w:ascii="Calibri" w:hAnsi="Calibri" w:cs="Calibri"/>
              </w:rPr>
              <w:t xml:space="preserve"> zawarta w lit. d pisma została uwzględniona w § 3 pkt 8 projektu poprzez wskazanie w tym przepisie danych o zbyciu pojazdu (art. 80b ust. 1 pkt 5 ustawy). </w:t>
            </w:r>
          </w:p>
          <w:p w14:paraId="09D43678" w14:textId="12D76077" w:rsidR="00011AB5" w:rsidRDefault="00011AB5" w:rsidP="00392381"/>
        </w:tc>
      </w:tr>
      <w:tr w:rsidR="002404B1" w14:paraId="7BB2243A" w14:textId="77777777" w:rsidTr="002404B1">
        <w:tc>
          <w:tcPr>
            <w:tcW w:w="633" w:type="dxa"/>
          </w:tcPr>
          <w:p w14:paraId="33A53AF1" w14:textId="77777777"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14:paraId="64D2F708" w14:textId="77777777" w:rsidR="002404B1" w:rsidRDefault="00D2240A">
            <w:r>
              <w:t xml:space="preserve">§ 3 pkt 1 </w:t>
            </w:r>
          </w:p>
        </w:tc>
        <w:tc>
          <w:tcPr>
            <w:tcW w:w="2001" w:type="dxa"/>
          </w:tcPr>
          <w:p w14:paraId="0C5BD2B0" w14:textId="77777777" w:rsidR="002404B1" w:rsidRDefault="00D2240A">
            <w:r>
              <w:t>MI</w:t>
            </w:r>
          </w:p>
        </w:tc>
        <w:tc>
          <w:tcPr>
            <w:tcW w:w="5146" w:type="dxa"/>
          </w:tcPr>
          <w:p w14:paraId="39AE692D" w14:textId="77777777" w:rsidR="00D2240A" w:rsidRDefault="00D2240A">
            <w:r w:rsidRPr="00D2240A">
              <w:t>Odnosząc się do brzmienia § 3 pkt 1 projektu rozporządzenia należy zauważyć, że informacja dotycząca wymiany drogomierza nie będzie dostępna dla organów właściwych w sprawach rejestracji pojazdów. Natomiast zgodnie z ustaleniami podjętymi podczas spotkań roboczych z udziałem przedstawicieli Ministerstwa Cyfryzacji, Ministerstwa Infrastruktury oraz Ministerstwa Sprawiedliwości dokumenty dotyczące wymiany drogomierza będą gromadzone przez starostę właściwego w sprawach rejestracji pojazdu. Powyższa rozbieżność wydaje się być nieracjonalna, ponieważ starosta będzie posiadał tylko oświadczenie właściciela pojazdu o wymianie drogomierza bez możliwości weryfikacji wprowadzenia takiej informacji do centralnej ewidencji pojazdów. Proponuję usunięcie powyższej rozbieżności w projekcie.</w:t>
            </w:r>
          </w:p>
          <w:p w14:paraId="7305C8DF" w14:textId="77777777" w:rsidR="002404B1" w:rsidRDefault="002404B1"/>
        </w:tc>
        <w:tc>
          <w:tcPr>
            <w:tcW w:w="4891" w:type="dxa"/>
          </w:tcPr>
          <w:p w14:paraId="3FF817EF" w14:textId="77777777" w:rsidR="002404B1" w:rsidRDefault="00D819A9">
            <w:r>
              <w:t>Nieuwzględnione</w:t>
            </w:r>
          </w:p>
          <w:p w14:paraId="41F88585" w14:textId="76F6BDFC" w:rsidR="00B14991" w:rsidRPr="00B14991" w:rsidRDefault="00B14991" w:rsidP="00B14991">
            <w:r>
              <w:t>O</w:t>
            </w:r>
            <w:r w:rsidRPr="00B14991">
              <w:t xml:space="preserve"> zakresie i rodzaju danych udostępnianych podmiotom z centralnej ewidencji pojazdów stanowi rozporządzenie Ministra Cyfryzacji z dnia 8 lipca 2019 r. w sprawie rodzaju i zakresu danych udostępnianych z centralnej ewidencji pojazdów (Dz. U. poz</w:t>
            </w:r>
            <w:proofErr w:type="gramStart"/>
            <w:r w:rsidRPr="00B14991">
              <w:t>. 1270). Zgodnie</w:t>
            </w:r>
            <w:proofErr w:type="gramEnd"/>
            <w:r w:rsidRPr="00B14991">
              <w:t xml:space="preserve"> z tym rozporządzeniem organom właściwym do rejestracji pojazdów udostępnia się dane, o których mowa w art. 80b ust. 1, tj. szeroki zakres danych gromadzonych w tej ewidencji, w tym dane o wymianie drogomierza. Niniejszy projekt rozporządzenia określa natomiast zakres danych niezbędnych podmiotowi w celu zasilenia centralnej ewidencji pojazdów. Stąd nie uwzględniono w niniejszym projekcie informacji o wymianie licznika – organ rejestrujący nie zasila, bowiem tą informacją ewidencji.</w:t>
            </w:r>
            <w:r w:rsidR="00E00CDC">
              <w:t xml:space="preserve"> (</w:t>
            </w:r>
            <w:proofErr w:type="gramStart"/>
            <w:r w:rsidR="00E00CDC">
              <w:t>uwaga</w:t>
            </w:r>
            <w:proofErr w:type="gramEnd"/>
            <w:r w:rsidR="00E00CDC">
              <w:t xml:space="preserve"> została uzgodniona z MI) </w:t>
            </w:r>
          </w:p>
          <w:p w14:paraId="422E0CE9" w14:textId="77777777" w:rsidR="00D819A9" w:rsidRDefault="00D819A9" w:rsidP="00D819A9"/>
        </w:tc>
      </w:tr>
      <w:tr w:rsidR="002404B1" w14:paraId="3862CC48" w14:textId="77777777" w:rsidTr="002404B1">
        <w:tc>
          <w:tcPr>
            <w:tcW w:w="633" w:type="dxa"/>
          </w:tcPr>
          <w:p w14:paraId="7C24C040" w14:textId="77777777"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14:paraId="28F048C5" w14:textId="77777777" w:rsidR="002404B1" w:rsidRDefault="00D2240A">
            <w:r>
              <w:t xml:space="preserve">OSR </w:t>
            </w:r>
          </w:p>
        </w:tc>
        <w:tc>
          <w:tcPr>
            <w:tcW w:w="2001" w:type="dxa"/>
          </w:tcPr>
          <w:p w14:paraId="2524683D" w14:textId="77777777" w:rsidR="002404B1" w:rsidRDefault="00D2240A">
            <w:r>
              <w:t xml:space="preserve">MI </w:t>
            </w:r>
          </w:p>
        </w:tc>
        <w:tc>
          <w:tcPr>
            <w:tcW w:w="5146" w:type="dxa"/>
          </w:tcPr>
          <w:p w14:paraId="00BFA842" w14:textId="77777777" w:rsidR="002404B1" w:rsidRDefault="00D2240A" w:rsidP="00D2240A">
            <w:r w:rsidRPr="00D2240A">
              <w:t xml:space="preserve">Jednocześnie należy zauważyć, że w OSR wskazano, iż liczba stacji kontroli pojazdów wynosi ok. 5000, natomiast zgodnie z informacjami przekazanymi przez Transportowy Dozór Techniczny liczbę ww. stacji można oszacować na ok. 5145. Proponuję skorygować te dane. </w:t>
            </w:r>
          </w:p>
        </w:tc>
        <w:tc>
          <w:tcPr>
            <w:tcW w:w="4891" w:type="dxa"/>
          </w:tcPr>
          <w:p w14:paraId="53A69303" w14:textId="79C9A0C4" w:rsidR="002404B1" w:rsidRDefault="00D819A9">
            <w:r>
              <w:t>Uwzględnion</w:t>
            </w:r>
            <w:r w:rsidR="00B14991">
              <w:t>a</w:t>
            </w:r>
          </w:p>
        </w:tc>
      </w:tr>
    </w:tbl>
    <w:p w14:paraId="2B354D9F" w14:textId="77777777" w:rsidR="004F612A" w:rsidRDefault="004F612A"/>
    <w:sectPr w:rsidR="004F612A" w:rsidSect="005938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95CE7"/>
    <w:multiLevelType w:val="hybridMultilevel"/>
    <w:tmpl w:val="8BF23534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CFE7441"/>
    <w:multiLevelType w:val="hybridMultilevel"/>
    <w:tmpl w:val="7592E5F8"/>
    <w:lvl w:ilvl="0" w:tplc="FA2ACB2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8A"/>
    <w:rsid w:val="00011AB5"/>
    <w:rsid w:val="00052AF9"/>
    <w:rsid w:val="00063A79"/>
    <w:rsid w:val="000B6262"/>
    <w:rsid w:val="00124B7D"/>
    <w:rsid w:val="00181919"/>
    <w:rsid w:val="001C0A41"/>
    <w:rsid w:val="002404B1"/>
    <w:rsid w:val="00334A84"/>
    <w:rsid w:val="00392381"/>
    <w:rsid w:val="004217EA"/>
    <w:rsid w:val="004647BB"/>
    <w:rsid w:val="004F612A"/>
    <w:rsid w:val="0053663E"/>
    <w:rsid w:val="0059388A"/>
    <w:rsid w:val="005B0463"/>
    <w:rsid w:val="00616780"/>
    <w:rsid w:val="006E7A78"/>
    <w:rsid w:val="007710D5"/>
    <w:rsid w:val="007E78E6"/>
    <w:rsid w:val="00906DF6"/>
    <w:rsid w:val="00961B87"/>
    <w:rsid w:val="009A7962"/>
    <w:rsid w:val="009E7803"/>
    <w:rsid w:val="00B14991"/>
    <w:rsid w:val="00BA4905"/>
    <w:rsid w:val="00BF032C"/>
    <w:rsid w:val="00CC1E6B"/>
    <w:rsid w:val="00CF4E33"/>
    <w:rsid w:val="00D143C2"/>
    <w:rsid w:val="00D2240A"/>
    <w:rsid w:val="00D819A9"/>
    <w:rsid w:val="00E00CDC"/>
    <w:rsid w:val="00E84E53"/>
    <w:rsid w:val="00F4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60A4"/>
  <w15:chartTrackingRefBased/>
  <w15:docId w15:val="{348D71CB-D26B-4214-B5E9-9F9B5AF2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4E3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19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9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9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9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9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1062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Małgorzata</dc:creator>
  <cp:keywords/>
  <dc:description/>
  <cp:lastModifiedBy>Szulc Iwona</cp:lastModifiedBy>
  <cp:revision>13</cp:revision>
  <dcterms:created xsi:type="dcterms:W3CDTF">2019-12-10T11:31:00Z</dcterms:created>
  <dcterms:modified xsi:type="dcterms:W3CDTF">2019-12-10T15:39:00Z</dcterms:modified>
</cp:coreProperties>
</file>