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11.0 -->
  <w:body>
    <w:p w:rsidR="00A77B3E">
      <w:pPr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>Zarządzenie</w:t>
      </w:r>
      <w:r>
        <w:rPr>
          <w:rFonts w:ascii="Times New Roman" w:eastAsia="Times New Roman" w:hAnsi="Times New Roman" w:cs="Times New Roman"/>
          <w:b/>
          <w:caps/>
          <w:sz w:val="24"/>
        </w:rPr>
        <w:br/>
      </w:r>
      <w:r>
        <w:rPr>
          <w:rFonts w:ascii="Times New Roman" w:eastAsia="Times New Roman" w:hAnsi="Times New Roman" w:cs="Times New Roman"/>
          <w:b/>
          <w:caps/>
          <w:sz w:val="24"/>
        </w:rPr>
        <w:t>Regionalnego Dyrektora Ochrony Środowiska w Bydgoszczy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 w:val="0"/>
          <w:caps w:val="0"/>
          <w:sz w:val="24"/>
        </w:rPr>
        <w:t>z dnia 12 września 2022 r.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 w:val="0"/>
          <w:caps w:val="0"/>
          <w:sz w:val="22"/>
        </w:rPr>
      </w:pP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zmieniające zarządzenie w sprawie rezerwatu przyrody „Zbocza Płutowskie”</w:t>
      </w:r>
    </w:p>
    <w:p w:rsidR="00A77B3E">
      <w:pPr>
        <w:keepNext w:val="0"/>
        <w:keepLines/>
        <w:spacing w:before="120" w:after="120" w:line="240" w:lineRule="auto"/>
        <w:ind w:left="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Na podstawie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dnia 16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kwietnia 2004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roku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ochronie przyrody (Dz. U. z 2022, poz. 916 i 1726) zarządza się, co następuje: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sz w:val="24"/>
        </w:rPr>
        <w:t>§ 1.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W zarządzeniu Regionalnego Dyrektora Ochrony Środowiska w Bydgoszczy z dnia 20 czerwca 2016 r. w sprawie rezerwatu przyrody Zbocza Płutowskie (Dz. Urz. Woj. Kuj-Pom. poz. 2118) wprowadza się następujące zmiany: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w §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1:</w:t>
      </w:r>
    </w:p>
    <w:p w:rsidR="00A77B3E">
      <w:pPr>
        <w:keepNext w:val="0"/>
        <w:keepLines/>
        <w:spacing w:before="120" w:after="120" w:line="240" w:lineRule="auto"/>
        <w:ind w:left="567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ab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 1 otrzymuje brzmienie:</w:t>
      </w:r>
    </w:p>
    <w:p w:rsidR="00A77B3E">
      <w:pPr>
        <w:keepNext w:val="0"/>
        <w:keepLines/>
        <w:spacing w:before="120" w:after="120" w:line="240" w:lineRule="auto"/>
        <w:ind w:left="680" w:right="0" w:firstLine="227"/>
        <w:jc w:val="left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b w:val="0"/>
          <w:i w:val="0"/>
          <w:u w:val="none"/>
        </w:rPr>
        <w:t>„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Rezerwat przyrody „Zbocza Płutowskie”, zwany dalej „rezerwatem”, obejmuje obszar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powierzchni 34,70 ha, położony na terenie gmin Kijewo Królewskie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Chełmno,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powiecie chełmińskim,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województwie kujawsko-pomorskim.</w:t>
      </w:r>
      <w:r>
        <w:rPr>
          <w:b w:val="0"/>
          <w:i w:val="0"/>
          <w:u w:val="none"/>
        </w:rPr>
        <w:t>”</w:t>
      </w:r>
      <w:r>
        <w:t>,</w:t>
      </w:r>
    </w:p>
    <w:p w:rsidR="00A77B3E">
      <w:pPr>
        <w:keepNext w:val="0"/>
        <w:keepLines/>
        <w:spacing w:before="120" w:after="120" w:line="240" w:lineRule="auto"/>
        <w:ind w:left="567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ab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uchyla się ust. 2;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uchyla się załącznik nr 1;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załącznik nr 2 otrzymuje brzmienie określone w załączniku nr 1 do niniejszego zarządzenia;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4)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załącznik nr 3 otrzymuje brzmienie określone w załączniku nr 2 do niniejszego zarządzenia.</w:t>
      </w:r>
    </w:p>
    <w:p w:rsidR="00A77B3E">
      <w:pPr>
        <w:keepNext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sz w:val="24"/>
        </w:rPr>
        <w:t>§ 2.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Zarządzenie wchodzi w życie po upływie 14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 od dnia ogłoszenia.</w:t>
      </w:r>
    </w:p>
    <w:p w:rsidR="00A77B3E">
      <w:pPr>
        <w:keepNext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</w:p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</w:pPr>
      <w:r>
        <w:rPr>
          <w:b w:val="0"/>
          <w:i w:val="0"/>
          <w:color w:val="000000"/>
          <w:u w:val="none"/>
          <w:vertAlign w:val="baseline"/>
        </w:rPr>
        <w:t> </w:t>
      </w:r>
    </w:p>
    <w:tbl>
      <w:tblPr>
        <w:tblW w:w="5000" w:type="pct"/>
        <w:tblCellMar>
          <w:top w:w="0" w:type="dxa"/>
          <w:left w:w="0" w:type="dxa"/>
          <w:bottom w:w="0" w:type="dxa"/>
          <w:right w:w="0" w:type="dxa"/>
        </w:tblCellMar>
      </w:tblPr>
      <w:tblGrid>
        <w:gridCol w:w="4933"/>
        <w:gridCol w:w="4933"/>
      </w:tblGrid>
      <w:tr>
        <w:tblPrEx>
          <w:tblW w:w="5000" w:type="pct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jc w:val="left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</w:p>
        </w:tc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spacing w:before="560" w:after="560"/>
              <w:ind w:left="1134" w:right="1134" w:firstLine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t>Regionalny Dyrektor  Ochrony Środowiska w Bydgoszczy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b/>
                <w:i w:val="0"/>
              </w:rPr>
              <w:t>Szymon Kosmalski</w:t>
            </w:r>
          </w:p>
        </w:tc>
      </w:tr>
    </w:tbl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sectPr>
          <w:footerReference w:type="default" r:id="rId4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 dnia 12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września 2022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Przebieg granicy rezerwatu przyrody Zbocza Płutowskie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drawing>
          <wp:inline>
            <wp:extent cx="6269320" cy="771910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9320" cy="771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drawing>
          <wp:inline>
            <wp:extent cx="6269320" cy="771910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9320" cy="771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5041"/>
        <w:gridCol w:w="5041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 xml:space="preserve">Regionalny Dyrektor </w:t>
            </w:r>
          </w:p>
          <w:p>
            <w:pPr>
              <w:jc w:val="center"/>
            </w:pPr>
            <w:r>
              <w:rPr>
                <w:sz w:val="22"/>
              </w:rPr>
              <w:t xml:space="preserve">Ochrony Środowiska </w:t>
            </w:r>
          </w:p>
          <w:p>
            <w:pPr>
              <w:jc w:val="center"/>
            </w:pPr>
            <w:r>
              <w:rPr>
                <w:sz w:val="22"/>
              </w:rPr>
              <w:t>w Bydgoszczy</w:t>
            </w:r>
          </w:p>
          <w:p>
            <w:pPr>
              <w:jc w:val="center"/>
            </w:pPr>
          </w:p>
          <w:p>
            <w:pPr>
              <w:jc w:val="center"/>
            </w:pPr>
            <w:r>
              <w:rPr>
                <w:b/>
                <w:sz w:val="22"/>
              </w:rPr>
              <w:t>Szymon Kosmalski</w:t>
            </w:r>
          </w:p>
        </w:tc>
      </w:tr>
    </w:tbl>
    <w:p w:rsidR="00A77B3E">
      <w:pPr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sectPr>
          <w:footerReference w:type="default" r:id="rId9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 dnia 12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września 2022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Opis granicy rezerwatu,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postaci współrzędnych punktów ich załamania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układzie współrzędnych płaskich prostokątnych PL-1992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1200"/>
        <w:gridCol w:w="2880"/>
        <w:gridCol w:w="3001"/>
        <w:gridCol w:w="3001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Nr</w:t>
            </w:r>
          </w:p>
        </w:tc>
        <w:tc>
          <w:tcPr>
            <w:tcW w:w="108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Nr części</w:t>
            </w:r>
          </w:p>
        </w:tc>
        <w:tc>
          <w:tcPr>
            <w:tcW w:w="1125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125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y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604723,44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458165,05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604759,73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458167,81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604817,65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458176,57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604848,06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458189,35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604885,01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458184,60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604888,53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458192,53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604885,99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458201,71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604887,79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458221,46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604919,64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458226,10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604949,46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458230,51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604974,54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458234,22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604977,12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458219,89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604992,25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458282,83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604999,04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458330,69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604954,13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458329,03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604934,83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458316,48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604932,20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458312,64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604905,25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458272,86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604812,95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458326,59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604768,61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458342,25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604746,07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458362,65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604745,99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458342,73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604769,00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458301,11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604788,26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458280,04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604791,75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458268,14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604753,30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458259,03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604747,28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458248,43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604723,64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458247,88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604714,55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458239,90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604695,50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458239,29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604673,34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458252,26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604647,04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458260,00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604633,48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458259,23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604598,43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458265,23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604571,24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458275,47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604495,96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458280,58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604452,99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458291,52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604449,56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458299,23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604449,31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458337,33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604444,51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458340,83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604406,88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458327,78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604395,31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458327,60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604374,93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458333,85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604329,68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458346,15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604304,58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458348,72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604277,03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458380,19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604274,13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458385,50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604265,54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458401,16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604238,59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458417,65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604222,66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458427,95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604210,12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458398,09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604201,62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458376,21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604168,05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458355,09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604161,01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458357,61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604154,31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458384,69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604104,18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458404,87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604055,96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458412,95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604026,56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458415,99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604009,64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458425,23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604006,38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458445,02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604005,82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458450,31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603999,47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458453,14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603972,88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458465,01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603950,25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458465,51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603933,07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458458,35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603911,54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458458,84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603891,67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458448,73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603884,80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458450,32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603874,41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458461,68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603861,93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458475,34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603845,19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458478,18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603830,41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458474,41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603820,73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458459,59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603790,16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458454,63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603784,00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458453,64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603759,11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458471,12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603718,12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458462,75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603703,64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458476,65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603693,19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458485,16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603696,81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458512,99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603687,31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458526,17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603654,26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458528,32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603643,78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458421,02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603698,78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458395,16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603760,60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458381,19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603870,66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458365,18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603952,98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458353,19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603955,38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458336,92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603989,73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458331,82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604004,84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458329,57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604004,18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458304,71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604019,56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458301,92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604036,57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458330,94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604081,37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458316,88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604134,73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458307,35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604143,93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458298,56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604193,22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458286,93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604233,08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458273,41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604342,94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458265,99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604372,72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458257,94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604385,56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458243,99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604409,31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458235,32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604433,13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458221,21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604443,92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458218,68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604487,54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458208,46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604488,89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458214,74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604519,39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458215,38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604538,17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458217,65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604566,04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458210,61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604622,74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458187,89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604660,45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458180,00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604723,44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458165,05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603429,91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458567,57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603436,79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458607,39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603429,33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458610,79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603372,08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458631,21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603312,05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458652,33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603253,00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458676,06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603231,44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458678,29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603220,28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458647,47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603209,22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458604,10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603174,79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458622,36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603153,69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458622,47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603150,19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458624,86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603148,73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458632,44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603150,35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458655,95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603140,07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458667,70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603133,09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458673,32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603123,24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458676,51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603117,93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458682,38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603115,51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458699,12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603125,66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458710,46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603125,69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458719,61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603112,06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458731,35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603109,21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458740,61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603110,70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458757,81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603112,83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458792,43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603115,46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458837,40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603101,23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458835,45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603075,69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458832,22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603068,22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458778,88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603071,17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458707,65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603054,00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458585,81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603077,46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458548,83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603095,51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458541,39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603131,03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458534,27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603198,98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458510,13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603274,07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458482,66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603335,44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458468,15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603408,93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458439,24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603420,73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458514,40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603429,91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458567,57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602643,00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458681,67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602667,86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458670,36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602738,59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458647,25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602838,87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458616,97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602943,43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458582,96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602951,05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458639,61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602953,54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458687,26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602841,85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458709,56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602669,31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458833,93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602675,01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458859,59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602669,37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458861,47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602654,85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458844,29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602636,90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458809,48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602523,58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458839,74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602452,98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458858,47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602444,37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458860,92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602400,62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458872,76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602360,09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458883,77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602321,57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458894,03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602299,37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458899,55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602280,72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458904,60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602151,15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458939,34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602024,49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458926,17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602006,43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458924,17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601945,65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458954,46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601933,02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458960,75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601920,94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458966,78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601928,47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459015,40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601884,31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459001,45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601859,92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458993,19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601778,96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458965,78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601724,13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458995,56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601696,14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459008,93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601679,60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459016,83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601662,51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459017,56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601543,96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459022,61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601514,91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459119,93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601514,26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459122,11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601487,56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459063,56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601477,52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458992,99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601478,96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458992,52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601654,29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458935,86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601667,04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458942,63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601703,74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458933,16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601769,46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458915,54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601816,86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458902,57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601844,94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458894,02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601847,03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458893,38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601875,95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458885,85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601909,93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458877,01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601968,10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458858,03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602010,70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458832,64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602108,57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458811,80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602204,84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458793,89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602269,61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458781,49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602288,52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458777,78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602361,27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458767,53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602416,96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458748,61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602463,48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458732,87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602525,63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458718,80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4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602643,00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458681,67</w:t>
            </w:r>
          </w:p>
        </w:tc>
      </w:tr>
    </w:tbl>
    <w:p w:rsidR="00A77B3E">
      <w:pPr>
        <w:keepNext/>
        <w:keepLines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</w:p>
    <w:p w:rsidR="00A77B3E">
      <w:pPr>
        <w:keepNext/>
        <w:keepLines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</w:p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b w:val="0"/>
          <w:i w:val="0"/>
          <w:color w:val="000000"/>
          <w:u w:val="none"/>
          <w:vertAlign w:val="baseline"/>
        </w:rPr>
        <w:t> </w:t>
      </w:r>
    </w:p>
    <w:tbl>
      <w:tblPr>
        <w:tblW w:w="5000" w:type="pct"/>
        <w:tblCellMar>
          <w:top w:w="0" w:type="dxa"/>
          <w:left w:w="0" w:type="dxa"/>
          <w:bottom w:w="0" w:type="dxa"/>
          <w:right w:w="0" w:type="dxa"/>
        </w:tblCellMar>
      </w:tblPr>
      <w:tblGrid>
        <w:gridCol w:w="4933"/>
        <w:gridCol w:w="4933"/>
      </w:tblGrid>
      <w:tr>
        <w:tblPrEx>
          <w:tblW w:w="5000" w:type="pct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jc w:val="left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</w:p>
        </w:tc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spacing w:before="560" w:after="560"/>
              <w:ind w:left="1134" w:right="1134" w:firstLine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t>Regionalny Dyrektor Ochrony Środowiska w Bydgoszczy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b/>
                <w:i w:val="0"/>
              </w:rPr>
              <w:t>Szymon Kosmalski</w:t>
            </w:r>
          </w:p>
        </w:tc>
      </w:tr>
    </w:tbl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sectPr>
          <w:footerReference w:type="default" r:id="rId10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uzasadnienie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9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Na podstawie art. 13 </w:t>
      </w:r>
      <w:r>
        <w:rPr>
          <w:color w:val="000000"/>
          <w:szCs w:val="20"/>
          <w:shd w:val="clear" w:color="auto" w:fill="FFFFFF"/>
          <w:lang w:val="x-none" w:eastAsia="en-US" w:bidi="ar-SA"/>
        </w:rPr>
        <w:t>ust. </w:t>
      </w:r>
      <w:r>
        <w:rPr>
          <w:color w:val="000000"/>
          <w:szCs w:val="20"/>
          <w:shd w:val="clear" w:color="auto" w:fill="FFFFFF"/>
        </w:rPr>
        <w:t>3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 ustawy z dnia 16 kwietnia 2004 roku o ochronie przyrody </w:t>
      </w:r>
      <w:r>
        <w:rPr>
          <w:color w:val="000000"/>
          <w:sz w:val="22"/>
          <w:szCs w:val="20"/>
          <w:shd w:val="clear" w:color="auto" w:fill="FFFFFF"/>
          <w:lang w:val="x-none" w:eastAsia="en-US" w:bidi="ar-SA"/>
        </w:rPr>
        <w:t>(Dz. U. z 2022, poz. 916</w:t>
      </w:r>
      <w:r>
        <w:rPr>
          <w:color w:val="000000"/>
          <w:sz w:val="22"/>
          <w:szCs w:val="20"/>
          <w:shd w:val="clear" w:color="auto" w:fill="FFFFFF"/>
        </w:rPr>
        <w:t xml:space="preserve"> ze zm.</w:t>
      </w:r>
      <w:r>
        <w:rPr>
          <w:color w:val="000000"/>
          <w:sz w:val="22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 xml:space="preserve"> u</w:t>
      </w:r>
      <w:r>
        <w:rPr>
          <w:color w:val="000000"/>
          <w:szCs w:val="20"/>
          <w:shd w:val="clear" w:color="auto" w:fill="FFFFFF"/>
          <w:lang w:val="x-none" w:eastAsia="en-US" w:bidi="ar-SA"/>
        </w:rPr>
        <w:t>znanie za rezerwat przyrody następuje w drodze aktu prawa miejscowego w formie zarządzenia regionalnego dyrektora ochrony środowiska, które określa jego nazwę, położenie lub przebieg granicy i otulinę, jeżeli została wyznaczona, cele ochrony oraz rodzaj, typ i podtyp rezerwatu przyrody, a także sprawującego nadzór nad rezerwatem. Regionalny dyrektor ochrony środowiska, w drodze aktu prawa miejscowego w formie zarządzenia, po zasięgnięciu opinii regionalnej rady ochrony przyrody, może zwiększyć obszar rezerwatu przyrody, zmienić cele ochrony, a w razie bezpowrotnej utraty wartości przyrodniczych, dla których rezerwat został powołany - zmniejszyć obszar rezerwatu przyrody albo zlikwidować rezerwat przyrody.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9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Obecnie obowiązuje </w:t>
      </w:r>
      <w:r>
        <w:rPr>
          <w:color w:val="000000"/>
          <w:szCs w:val="20"/>
          <w:shd w:val="clear" w:color="auto" w:fill="FFFFFF"/>
        </w:rPr>
        <w:t>z</w:t>
      </w:r>
      <w:r>
        <w:rPr>
          <w:color w:val="000000"/>
          <w:szCs w:val="20"/>
          <w:shd w:val="clear" w:color="auto" w:fill="FFFFFF"/>
          <w:lang w:val="x-none" w:eastAsia="en-US" w:bidi="ar-SA"/>
        </w:rPr>
        <w:t>arządzeni</w:t>
      </w:r>
      <w:r>
        <w:rPr>
          <w:color w:val="000000"/>
          <w:szCs w:val="20"/>
          <w:shd w:val="clear" w:color="auto" w:fill="FFFFFF"/>
        </w:rPr>
        <w:t>e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Regionalnego Dyrektora Ochrony Środowiska w Bydgoszczy z dnia 20 czerwca 2016 r. w sprawie rezerwatu przyrody Zbocza Płutowskie (Dz. Urz. Woj. Kuj-Pom. poz. 2118)</w:t>
      </w:r>
      <w:r>
        <w:rPr>
          <w:color w:val="000000"/>
          <w:szCs w:val="20"/>
          <w:shd w:val="clear" w:color="auto" w:fill="FFFFFF"/>
        </w:rPr>
        <w:t xml:space="preserve">. Niniejsze zarządzenie obejmuje aktualizację przebiegu granicy rezerwatu na podstawie sporządzonej dokumentacji do planu ochrony dla rezerwatu przyrody Zbocza Płutowskie, przez firmę </w:t>
      </w:r>
      <w:r>
        <w:rPr>
          <w:color w:val="000000"/>
          <w:szCs w:val="20"/>
          <w:shd w:val="clear" w:color="auto" w:fill="FFFFFF"/>
        </w:rPr>
        <w:t>Vitis</w:t>
      </w:r>
      <w:r>
        <w:rPr>
          <w:color w:val="000000"/>
          <w:szCs w:val="20"/>
          <w:shd w:val="clear" w:color="auto" w:fill="FFFFFF"/>
        </w:rPr>
        <w:t xml:space="preserve"> Iwona Paszek, w 2021 roku, na zlecenie </w:t>
      </w:r>
      <w:r>
        <w:rPr>
          <w:color w:val="000000"/>
          <w:szCs w:val="20"/>
          <w:shd w:val="clear" w:color="auto" w:fill="FFFFFF"/>
          <w:lang w:val="x-none" w:eastAsia="en-US" w:bidi="ar-SA"/>
        </w:rPr>
        <w:t>Regionalnego Dyrektora Ochrony Środowiska w Bydgoszczy</w:t>
      </w:r>
      <w:r>
        <w:rPr>
          <w:color w:val="000000"/>
          <w:szCs w:val="20"/>
          <w:shd w:val="clear" w:color="auto" w:fill="FFFFFF"/>
        </w:rPr>
        <w:t>.</w:t>
      </w:r>
      <w:r>
        <w:rPr>
          <w:color w:val="000000"/>
          <w:szCs w:val="20"/>
          <w:shd w:val="clear" w:color="auto" w:fill="FFFFFF"/>
        </w:rPr>
        <w:t xml:space="preserve"> Zmianie ulegają załączniki określające przebieg granicy rezerwatu na mapie oraz o</w:t>
      </w:r>
      <w:r>
        <w:rPr>
          <w:color w:val="000000"/>
          <w:szCs w:val="20"/>
          <w:shd w:val="clear" w:color="auto" w:fill="FFFFFF"/>
          <w:lang w:val="x-none" w:eastAsia="en-US" w:bidi="ar-SA"/>
        </w:rPr>
        <w:t>pis granic</w:t>
      </w:r>
      <w:r>
        <w:rPr>
          <w:color w:val="000000"/>
          <w:szCs w:val="20"/>
          <w:shd w:val="clear" w:color="auto" w:fill="FFFFFF"/>
        </w:rPr>
        <w:t>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rezerwatu,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w postaci współrzędnych punktów ich załamania w układzie współrzędnych płaskich prostokątnych PL-1992</w:t>
      </w:r>
      <w:r>
        <w:rPr>
          <w:color w:val="000000"/>
          <w:szCs w:val="20"/>
          <w:shd w:val="clear" w:color="auto" w:fill="FFFFFF"/>
        </w:rPr>
        <w:t xml:space="preserve">. Różnica między przebiegiem granicy określonym w przedmiotowym zarządzeniu, a przebiegiem granicy określonym pierwotnie polega na tym, że aktualnie jest ona poprowadzona zgodnie z granicami aktualnych wydzieleń leśnych oraz działek ewidencyjnych wchodzących w skład rezerwatu. Poprzednio wyznaczona granica była poprowadzona w sposób niedopasowany do tych wydzieleń i </w:t>
      </w:r>
      <w:r>
        <w:rPr>
          <w:color w:val="000000"/>
          <w:szCs w:val="20"/>
          <w:shd w:val="clear" w:color="auto" w:fill="FFFFFF"/>
        </w:rPr>
        <w:t>działek ewidencyjnych wchodzących w skład rezerwatu.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9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 Niniejszym zarządzeniem uchylony został załącznik do zarządzenia </w:t>
      </w:r>
      <w:r>
        <w:rPr>
          <w:color w:val="000000"/>
          <w:szCs w:val="20"/>
          <w:shd w:val="clear" w:color="auto" w:fill="FFFFFF"/>
          <w:lang w:val="x-none" w:eastAsia="en-US" w:bidi="ar-SA"/>
        </w:rPr>
        <w:t>z dnia 20 czerwca 2016 r. w sprawie rezerwatu przyrody Zbocza Płutowskie</w:t>
      </w:r>
      <w:r>
        <w:rPr>
          <w:color w:val="000000"/>
          <w:szCs w:val="20"/>
          <w:shd w:val="clear" w:color="auto" w:fill="FFFFFF"/>
        </w:rPr>
        <w:t>,</w:t>
      </w:r>
      <w:r>
        <w:rPr>
          <w:color w:val="000000"/>
          <w:szCs w:val="20"/>
          <w:shd w:val="clear" w:color="auto" w:fill="FFFFFF"/>
        </w:rPr>
        <w:t xml:space="preserve"> zawierający wykaz oddziałów leśnych wchodzących w skład rezerwatu opracowany na podstawie nieakualnych planów urządzania lasu. W poprzednim zarządzeniu</w:t>
      </w:r>
      <w:r>
        <w:rPr>
          <w:color w:val="000000"/>
          <w:szCs w:val="20"/>
          <w:shd w:val="clear" w:color="auto" w:fill="FFFFFF"/>
        </w:rPr>
        <w:t xml:space="preserve"> powierzchnia rezerwatu przyrody była określona na podstawie powierzchni pododdziałów leśnych wchodzących w skład rezerwatu określonych w obecnie nieaktualnych planach urządzenia lasu i wynosiła 34,76 ha. Niniejsze zarządzenia zmienia powierzchnię rezerwatu na 34,70 ha, zmiana ta wynika z jej aktualnego obliczenia na podstawie nowych współrzędnych punktów załamania granicy.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9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ar-SA" w:eastAsia="ar-SA" w:bidi="ar-SA"/>
        </w:rPr>
        <w:t>P</w:t>
      </w:r>
      <w:r>
        <w:rPr>
          <w:color w:val="000000"/>
          <w:szCs w:val="20"/>
          <w:shd w:val="clear" w:color="auto" w:fill="FFFFFF"/>
        </w:rPr>
        <w:t>rojekt niniejszego zarządzenia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został zaopiniowan</w:t>
      </w:r>
      <w:r>
        <w:rPr>
          <w:color w:val="000000"/>
          <w:szCs w:val="20"/>
          <w:shd w:val="clear" w:color="auto" w:fill="FFFFFF"/>
        </w:rPr>
        <w:t xml:space="preserve">y bez uwag </w:t>
      </w:r>
      <w:r>
        <w:rPr>
          <w:color w:val="000000"/>
          <w:szCs w:val="20"/>
          <w:shd w:val="clear" w:color="auto" w:fill="FFFFFF"/>
          <w:lang w:val="ar-SA" w:eastAsia="ar-SA" w:bidi="ar-SA"/>
        </w:rPr>
        <w:t>przez zarządc</w:t>
      </w:r>
      <w:r>
        <w:rPr>
          <w:color w:val="000000"/>
          <w:szCs w:val="20"/>
          <w:shd w:val="clear" w:color="auto" w:fill="FFFFFF"/>
        </w:rPr>
        <w:t>ów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terenu </w:t>
      </w:r>
      <w:r>
        <w:rPr>
          <w:color w:val="000000"/>
          <w:szCs w:val="20"/>
          <w:shd w:val="clear" w:color="auto" w:fill="FFFFFF"/>
        </w:rPr>
        <w:t xml:space="preserve">rezerwatu 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Nadleśnictwo </w:t>
      </w:r>
      <w:r>
        <w:rPr>
          <w:color w:val="000000"/>
          <w:szCs w:val="20"/>
          <w:shd w:val="clear" w:color="auto" w:fill="FFFFFF"/>
        </w:rPr>
        <w:t xml:space="preserve">Jamy pismem z dnia 13 stycznia 2022 r., znak ZG.7212.1.2022 i 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Nadleśnictwo </w:t>
      </w:r>
      <w:r>
        <w:rPr>
          <w:color w:val="000000"/>
          <w:szCs w:val="20"/>
          <w:shd w:val="clear" w:color="auto" w:fill="FFFFFF"/>
        </w:rPr>
        <w:t>Toruń pismem z dnia 14 stycznia 2022 r., znak ZG.7212.2.2022.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Projekt zarządzenia został zaopiniowany </w:t>
      </w:r>
      <w:r>
        <w:rPr>
          <w:color w:val="000000"/>
          <w:szCs w:val="20"/>
          <w:shd w:val="clear" w:color="auto" w:fill="FFFFFF"/>
        </w:rPr>
        <w:t xml:space="preserve">pozytywnie </w:t>
      </w:r>
      <w:r>
        <w:rPr>
          <w:color w:val="000000"/>
          <w:szCs w:val="20"/>
          <w:shd w:val="clear" w:color="auto" w:fill="FFFFFF"/>
          <w:lang w:val="x-none" w:eastAsia="en-US" w:bidi="ar-SA"/>
        </w:rPr>
        <w:t>przez Regionalną Radę Ochrony Przyrody w Bydgoszczy</w:t>
      </w:r>
      <w:r>
        <w:rPr>
          <w:color w:val="000000"/>
          <w:szCs w:val="20"/>
          <w:shd w:val="clear" w:color="auto" w:fill="FFFFFF"/>
        </w:rPr>
        <w:t xml:space="preserve"> 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uchwałą </w:t>
      </w:r>
      <w:r>
        <w:rPr>
          <w:color w:val="000000"/>
          <w:szCs w:val="20"/>
          <w:shd w:val="clear" w:color="auto" w:fill="FFFFFF"/>
        </w:rPr>
        <w:t>n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r </w:t>
      </w:r>
      <w:r>
        <w:rPr>
          <w:color w:val="000000"/>
          <w:szCs w:val="20"/>
          <w:shd w:val="clear" w:color="auto" w:fill="FFFFFF"/>
        </w:rPr>
        <w:t>8/2022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z dnia </w:t>
      </w:r>
      <w:r>
        <w:rPr>
          <w:color w:val="000000"/>
          <w:szCs w:val="20"/>
          <w:shd w:val="clear" w:color="auto" w:fill="FFFFFF"/>
        </w:rPr>
        <w:t>10 sierpnia 2022 r.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Na podstawie art. 59 ust. 2 ustawy z dnia 23 stycznia 2009 r. o wojewodzie i administracji rządowej w województwie </w:t>
      </w:r>
      <w:r>
        <w:rPr>
          <w:color w:val="000000"/>
          <w:szCs w:val="20"/>
          <w:shd w:val="clear" w:color="auto" w:fill="FFFFFF"/>
          <w:lang w:val="x-none" w:eastAsia="en-US" w:bidi="ar-SA"/>
        </w:rPr>
        <w:t>(Dz. U. z 20</w:t>
      </w:r>
      <w:r>
        <w:rPr>
          <w:color w:val="000000"/>
          <w:szCs w:val="20"/>
          <w:shd w:val="clear" w:color="auto" w:fill="FFFFFF"/>
        </w:rPr>
        <w:t>22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 poz. </w:t>
      </w:r>
      <w:r>
        <w:rPr>
          <w:color w:val="000000"/>
          <w:szCs w:val="20"/>
          <w:shd w:val="clear" w:color="auto" w:fill="FFFFFF"/>
        </w:rPr>
        <w:t>135</w:t>
      </w:r>
      <w:r>
        <w:rPr>
          <w:color w:val="000000"/>
          <w:szCs w:val="20"/>
          <w:shd w:val="clear" w:color="auto" w:fill="FFFFFF"/>
        </w:rPr>
        <w:t xml:space="preserve"> ze zm.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r>
        <w:rPr>
          <w:color w:val="000000"/>
          <w:szCs w:val="20"/>
          <w:shd w:val="clear" w:color="auto" w:fill="FFFFFF"/>
        </w:rPr>
        <w:t xml:space="preserve">projekt zarządzenia </w:t>
      </w:r>
      <w:r>
        <w:rPr>
          <w:color w:val="000000"/>
          <w:szCs w:val="20"/>
          <w:shd w:val="clear" w:color="auto" w:fill="FFFFFF"/>
          <w:lang w:val="en-US" w:eastAsia="en-US" w:bidi="en-US"/>
        </w:rPr>
        <w:t>został uzgodniony przez Wojewodę Kujawsko-Pomorskiego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pismem znak: </w:t>
      </w:r>
      <w:r>
        <w:rPr>
          <w:color w:val="000000"/>
          <w:szCs w:val="20"/>
          <w:shd w:val="clear" w:color="auto" w:fill="FFFFFF"/>
        </w:rPr>
        <w:t>WIR.IX.710.46.2022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, z dnia </w:t>
      </w:r>
      <w:r>
        <w:rPr>
          <w:color w:val="000000"/>
          <w:szCs w:val="20"/>
          <w:shd w:val="clear" w:color="auto" w:fill="FFFFFF"/>
        </w:rPr>
        <w:t xml:space="preserve">8 września 2022 r. </w:t>
      </w:r>
    </w:p>
    <w:tbl>
      <w:tblPr>
        <w:tblStyle w:val="TableSimple1"/>
        <w:tblW w:w="8640" w:type="dxa"/>
        <w:tblInd w:w="93" w:type="dxa"/>
        <w:tblBorders>
          <w:top w:val="nil"/>
          <w:left w:val="nil"/>
          <w:bottom w:val="nil"/>
          <w:right w:val="nil"/>
        </w:tblBorders>
        <w:tblLook w:val="04A0"/>
      </w:tblPr>
      <w:tblGrid>
        <w:gridCol w:w="5081"/>
        <w:gridCol w:w="3559"/>
      </w:tblGrid>
      <w:tr>
        <w:tblPrEx>
          <w:tblW w:w="8640" w:type="dxa"/>
          <w:tblInd w:w="93" w:type="dxa"/>
          <w:tblBorders>
            <w:top w:val="nil"/>
            <w:left w:val="nil"/>
            <w:bottom w:val="nil"/>
            <w:right w:val="nil"/>
          </w:tblBorders>
          <w:tblLook w:val="04A0"/>
        </w:tblPrEx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120" w:afterAutospacing="0" w:line="240" w:lineRule="auto"/>
              <w:ind w:left="0" w:right="0" w:firstLine="0"/>
              <w:contextualSpacing w:val="0"/>
              <w:jc w:val="left"/>
              <w:rPr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szCs w:val="20"/>
              </w:rPr>
            </w:pPr>
            <w:r>
              <w:rPr>
                <w:szCs w:val="20"/>
                <w:u w:color="000000"/>
              </w:rPr>
              <w:fldChar w:fldCharType="begin"/>
            </w:r>
            <w:r>
              <w:rPr>
                <w:szCs w:val="20"/>
                <w:u w:color="000000"/>
              </w:rPr>
              <w:instrText>SIGNATURE_0_1_FUNCTION</w:instrText>
            </w:r>
            <w:r>
              <w:rPr>
                <w:szCs w:val="20"/>
                <w:u w:color="000000"/>
              </w:rPr>
              <w:fldChar w:fldCharType="separate"/>
            </w:r>
            <w:r>
              <w:rPr>
                <w:szCs w:val="20"/>
                <w:u w:color="000000"/>
              </w:rPr>
              <w:t xml:space="preserve">Regionalny Dyrektor </w:t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szCs w:val="20"/>
              </w:rPr>
            </w:pPr>
            <w:r>
              <w:rPr>
                <w:szCs w:val="20"/>
                <w:u w:color="000000"/>
              </w:rPr>
              <w:t xml:space="preserve">Ochrony Środowiska </w:t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szCs w:val="20"/>
              </w:rPr>
            </w:pPr>
            <w:r>
              <w:rPr>
                <w:szCs w:val="20"/>
                <w:u w:color="000000"/>
              </w:rPr>
              <w:t>w Bydgoszczy</w:t>
            </w:r>
            <w:r>
              <w:rPr>
                <w:szCs w:val="20"/>
                <w:u w:color="000000"/>
              </w:rPr>
              <w:fldChar w:fldCharType="end"/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szCs w:val="20"/>
              </w:rPr>
            </w:pPr>
          </w:p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szCs w:val="20"/>
              </w:rPr>
            </w:pPr>
            <w:r>
              <w:rPr>
                <w:szCs w:val="20"/>
                <w:u w:color="000000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szCs w:val="20"/>
              </w:rPr>
            </w:pPr>
            <w:r>
              <w:rPr>
                <w:szCs w:val="20"/>
                <w:u w:color="000000"/>
              </w:rPr>
              <w:fldChar w:fldCharType="begin"/>
            </w:r>
            <w:r>
              <w:rPr>
                <w:szCs w:val="20"/>
                <w:u w:color="000000"/>
              </w:rPr>
              <w:instrText>SIGNATURE_0_1_FIRSTNAME</w:instrText>
            </w:r>
            <w:r>
              <w:rPr>
                <w:szCs w:val="20"/>
                <w:u w:color="000000"/>
              </w:rPr>
              <w:fldChar w:fldCharType="separate"/>
            </w:r>
            <w:r>
              <w:rPr>
                <w:b/>
                <w:szCs w:val="20"/>
                <w:u w:color="000000"/>
              </w:rPr>
              <w:t xml:space="preserve">Szymon </w:t>
            </w:r>
            <w:r>
              <w:rPr>
                <w:szCs w:val="20"/>
                <w:u w:color="000000"/>
              </w:rPr>
              <w:fldChar w:fldCharType="end"/>
            </w:r>
            <w:r>
              <w:rPr>
                <w:szCs w:val="20"/>
                <w:u w:color="000000"/>
              </w:rPr>
              <w:fldChar w:fldCharType="begin"/>
            </w:r>
            <w:r>
              <w:rPr>
                <w:szCs w:val="20"/>
                <w:u w:color="000000"/>
              </w:rPr>
              <w:instrText>SIGNATURE_0_1_LASTNAME</w:instrText>
            </w:r>
            <w:r>
              <w:rPr>
                <w:szCs w:val="20"/>
                <w:u w:color="000000"/>
              </w:rPr>
              <w:fldChar w:fldCharType="separate"/>
            </w:r>
            <w:r>
              <w:rPr>
                <w:b/>
                <w:szCs w:val="20"/>
                <w:u w:color="000000"/>
              </w:rPr>
              <w:t>Kosmalski</w:t>
            </w:r>
            <w:r>
              <w:rPr>
                <w:szCs w:val="20"/>
                <w:u w:color="000000"/>
              </w:rPr>
              <w:fldChar w:fldCharType="end"/>
            </w:r>
          </w:p>
        </w:tc>
      </w:tr>
    </w:tbl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</w:p>
    <w:sectPr>
      <w:footerReference w:type="default" r:id="rId11"/>
      <w:type w:val="nextPage"/>
      <w:pgSz w:w="11907" w:h="16839" w:code="9"/>
      <w:pgMar w:top="1440" w:right="862" w:bottom="1440" w:left="14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60FD8468-5233-4E83-A5A7-069544966F0C.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60FD8468-5233-4E83-A5A7-069544966F0C.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60FD8468-5233-4E83-A5A7-069544966F0C.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403"/>
      <w:gridCol w:w="3202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403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60FD8468-5233-4E83-A5A7-069544966F0C. Uchwalony</w:t>
          </w:r>
        </w:p>
      </w:tc>
      <w:tc>
        <w:tcPr>
          <w:tcW w:w="3202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Simple1">
    <w:name w:val="Table Simple 1"/>
    <w:basedOn w:val="TableNormal"/>
    <w:rPr>
      <w:color w:val="000000"/>
      <w:sz w:val="22"/>
      <w:shd w:val="clear" w:color="auto" w:fill="FFFFFF"/>
      <w:lang w:val="x-none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footer" Target="footer4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footer" Target="footer1.xml" /><Relationship Id="rId5" Type="http://schemas.openxmlformats.org/officeDocument/2006/relationships/image" Target="media/image1.png" /><Relationship Id="rId6" Type="http://schemas.openxmlformats.org/officeDocument/2006/relationships/image" Target="Zalacznik40BBA8FE-A67A-46EF-B651-FFD883D15F71.jpg" TargetMode="External" /><Relationship Id="rId7" Type="http://schemas.openxmlformats.org/officeDocument/2006/relationships/image" Target="media/image2.png" /><Relationship Id="rId8" Type="http://schemas.openxmlformats.org/officeDocument/2006/relationships/image" Target="ZalacznikA974A189-80A7-426B-9B8B-64162391212A.jpg" TargetMode="External" /><Relationship Id="rId9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Regionalny Dyrektor Ochrony Środowiska w Bydgoszczy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z dnia 12 września 2022 r.</dc:title>
  <dc:subject>zmieniające zarządzenie w^sprawie rezerwatu przyrody „Zbocza Płutowskie”</dc:subject>
  <dc:creator>kleszczynska</dc:creator>
  <cp:lastModifiedBy>kleszczynska</cp:lastModifiedBy>
  <cp:revision>1</cp:revision>
  <dcterms:created xsi:type="dcterms:W3CDTF">2022-09-13T09:57:24Z</dcterms:created>
  <dcterms:modified xsi:type="dcterms:W3CDTF">2022-09-13T09:57:24Z</dcterms:modified>
  <cp:category>Akt prawny</cp:category>
</cp:coreProperties>
</file>