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73" w:rsidRDefault="000950BA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</w:p>
    <w:p w:rsidR="00385473" w:rsidRDefault="000950BA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B30F26" w:rsidRPr="00527B88" w:rsidRDefault="000950BA" w:rsidP="00B30F26">
      <w:pPr>
        <w:spacing w:line="360" w:lineRule="auto"/>
        <w:ind w:left="1416" w:right="-569" w:firstLine="708"/>
        <w:jc w:val="right"/>
        <w:rPr>
          <w:rFonts w:ascii="Calibri" w:hAnsi="Calibri"/>
        </w:rPr>
      </w:pPr>
      <w:r w:rsidRPr="00527B88">
        <w:rPr>
          <w:rFonts w:ascii="Calibri" w:hAnsi="Calibri"/>
        </w:rPr>
        <w:t>War</w:t>
      </w:r>
      <w:r>
        <w:rPr>
          <w:rFonts w:ascii="Calibri" w:hAnsi="Calibri"/>
        </w:rPr>
        <w:t>szawa</w:t>
      </w:r>
      <w:r>
        <w:rPr>
          <w:rFonts w:ascii="Calibri" w:hAnsi="Calibri"/>
        </w:rPr>
        <w:t xml:space="preserve">, </w:t>
      </w:r>
      <w:bookmarkStart w:id="0" w:name="ezdDataPodpisu"/>
      <w:r w:rsidRPr="00527B88">
        <w:rPr>
          <w:rFonts w:ascii="Calibri" w:hAnsi="Calibri"/>
        </w:rPr>
        <w:t>03 listopada 2020 r.</w:t>
      </w:r>
      <w:bookmarkEnd w:id="0"/>
    </w:p>
    <w:p w:rsidR="00385473" w:rsidRDefault="000950BA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0950BA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0950BA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647065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541528816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0950BA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0;margin-top:50.95pt;width:225pt;height:5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" filled="f" fillcolor="#bbe0e3" stroked="f">
                <v:textbox inset="0,0,0,0">
                  <w:txbxContent>
                    <w:p w:rsidR="00385473" w:rsidRPr="005C626A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541528816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0950B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F610A" w:rsidRPr="00527B88" w:rsidRDefault="000950BA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0950B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CF610A" w:rsidRPr="00527B88" w:rsidRDefault="000950B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 </w:t>
      </w: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WNP-I.4131.</w:t>
      </w:r>
      <w:r>
        <w:rPr>
          <w:rFonts w:ascii="Calibri" w:hAnsi="Calibri"/>
        </w:rPr>
        <w:t>161</w:t>
      </w:r>
      <w:r>
        <w:rPr>
          <w:rFonts w:ascii="Calibri" w:hAnsi="Calibri"/>
        </w:rPr>
        <w:t>.20</w:t>
      </w:r>
      <w:r>
        <w:rPr>
          <w:rFonts w:ascii="Calibri" w:hAnsi="Calibri"/>
        </w:rPr>
        <w:t>20</w:t>
      </w:r>
      <w:r>
        <w:rPr>
          <w:rFonts w:ascii="Calibri" w:hAnsi="Calibri"/>
        </w:rPr>
        <w:t>.MS</w:t>
      </w:r>
      <w:bookmarkEnd w:id="1"/>
    </w:p>
    <w:p w:rsidR="00CF610A" w:rsidRDefault="000950B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877895" w:rsidRDefault="000950BA" w:rsidP="00877895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Wójt Gminy Stare Babice</w:t>
      </w:r>
    </w:p>
    <w:p w:rsidR="00877895" w:rsidRDefault="000950BA" w:rsidP="00877895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ul. Rynek 32</w:t>
      </w:r>
    </w:p>
    <w:p w:rsidR="00877895" w:rsidRDefault="000950BA" w:rsidP="00877895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05-082 Stare Babice</w:t>
      </w:r>
    </w:p>
    <w:p w:rsidR="00877895" w:rsidRDefault="000950BA" w:rsidP="00877895">
      <w:pPr>
        <w:pStyle w:val="Nagwek1"/>
        <w:ind w:left="2832" w:firstLine="708"/>
        <w:rPr>
          <w:rFonts w:ascii="Calibri" w:hAnsi="Calibri"/>
          <w:sz w:val="25"/>
          <w:szCs w:val="25"/>
        </w:rPr>
      </w:pPr>
    </w:p>
    <w:p w:rsidR="00CF610A" w:rsidRDefault="000950B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0950B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0950BA" w:rsidP="006376DD">
      <w:pPr>
        <w:pStyle w:val="Nagwek1"/>
        <w:spacing w:line="360" w:lineRule="auto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2B42F1" w:rsidRDefault="000950BA" w:rsidP="006376DD">
      <w:pPr>
        <w:pStyle w:val="Tekstpodstawowy"/>
        <w:ind w:left="-426" w:right="-471" w:firstLine="710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</w:t>
      </w:r>
      <w:r w:rsidRPr="002B42F1">
        <w:rPr>
          <w:rFonts w:ascii="Calibri" w:hAnsi="Calibri" w:cs="Calibri"/>
          <w:sz w:val="24"/>
        </w:rPr>
        <w:t xml:space="preserve"> 1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>
        <w:rPr>
          <w:rFonts w:ascii="Calibri" w:hAnsi="Calibri" w:cs="Calibri"/>
          <w:sz w:val="24"/>
        </w:rPr>
        <w:t xml:space="preserve">   </w:t>
      </w:r>
      <w:r w:rsidRPr="002B42F1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</w:t>
      </w:r>
      <w:r w:rsidRPr="002B42F1">
        <w:rPr>
          <w:rFonts w:ascii="Calibri" w:hAnsi="Calibri" w:cs="Calibri"/>
          <w:sz w:val="24"/>
        </w:rPr>
        <w:t xml:space="preserve">samorządzie </w:t>
      </w:r>
      <w:r>
        <w:rPr>
          <w:rFonts w:ascii="Calibri" w:hAnsi="Calibri" w:cs="Calibri"/>
          <w:sz w:val="24"/>
        </w:rPr>
        <w:t>gminnym (Dz. U. z 20</w:t>
      </w:r>
      <w:r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>
        <w:rPr>
          <w:rFonts w:ascii="Calibri" w:hAnsi="Calibri" w:cs="Calibri"/>
          <w:sz w:val="24"/>
        </w:rPr>
        <w:t>713</w:t>
      </w:r>
      <w:r>
        <w:rPr>
          <w:rFonts w:ascii="Calibri" w:hAnsi="Calibri" w:cs="Calibri"/>
          <w:sz w:val="24"/>
        </w:rPr>
        <w:t>, z późn. zm.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0950B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6376DD" w:rsidRDefault="000950BA" w:rsidP="00877895">
      <w:pPr>
        <w:pStyle w:val="Tekstpodstawowy"/>
        <w:ind w:left="-426" w:right="-468"/>
        <w:rPr>
          <w:rFonts w:ascii="Calibri" w:hAnsi="Calibri" w:cs="Calibri"/>
          <w:b/>
          <w:sz w:val="24"/>
        </w:rPr>
      </w:pPr>
      <w:r>
        <w:rPr>
          <w:rFonts w:ascii="Calibri" w:hAnsi="Calibri"/>
          <w:bCs/>
          <w:sz w:val="24"/>
        </w:rPr>
        <w:t xml:space="preserve">zarządzenia – pisma z dnia 11 sierpnia 2020 r. w sprawie powierzenia pełnienia obowiązków </w:t>
      </w:r>
      <w:r>
        <w:rPr>
          <w:rFonts w:ascii="Calibri" w:hAnsi="Calibri"/>
          <w:bCs/>
          <w:sz w:val="24"/>
        </w:rPr>
        <w:t>Dyrektora Przedszkola w dniu 11 sierpnia 2020 r. Pani A</w:t>
      </w:r>
      <w:r>
        <w:rPr>
          <w:rFonts w:ascii="Calibri" w:hAnsi="Calibri"/>
          <w:bCs/>
          <w:sz w:val="24"/>
        </w:rPr>
        <w:t>. K</w:t>
      </w:r>
      <w:r>
        <w:rPr>
          <w:rFonts w:ascii="Calibri" w:hAnsi="Calibri"/>
          <w:bCs/>
          <w:sz w:val="24"/>
        </w:rPr>
        <w:t>.</w:t>
      </w:r>
    </w:p>
    <w:p w:rsidR="00877895" w:rsidRDefault="000950BA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</w:p>
    <w:p w:rsidR="00032C85" w:rsidRDefault="000950BA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  <w:r w:rsidRPr="00B30F26">
        <w:rPr>
          <w:rFonts w:ascii="Calibri" w:hAnsi="Calibri" w:cs="Calibri"/>
          <w:b/>
          <w:sz w:val="24"/>
        </w:rPr>
        <w:t>Uzasadnienie</w:t>
      </w:r>
    </w:p>
    <w:p w:rsidR="006376DD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14 września 2020 r. wpłynął do organu nadzoru wniosek z 8 września 2020 r. o wszczęcie post</w:t>
      </w:r>
      <w:r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powania nadzorczego w przedmiocie stwierdzenia nieważności zarządzenia Wójta Gminy Stare Babice z dnia 11 sierpnia 2020 r. w przedmiocie powierzenia pełnienia obowiązków dyrektora </w:t>
      </w:r>
      <w:r>
        <w:rPr>
          <w:rFonts w:asciiTheme="minorHAnsi" w:hAnsiTheme="minorHAnsi" w:cstheme="minorHAnsi"/>
        </w:rPr>
        <w:t xml:space="preserve">                         </w:t>
      </w:r>
      <w:r>
        <w:rPr>
          <w:rFonts w:asciiTheme="minorHAnsi" w:hAnsiTheme="minorHAnsi" w:cstheme="minorHAnsi"/>
        </w:rPr>
        <w:t>w Przedszkolu Publicznym w Bliznem Jasińskiego, zwa</w:t>
      </w:r>
      <w:r>
        <w:rPr>
          <w:rFonts w:asciiTheme="minorHAnsi" w:hAnsiTheme="minorHAnsi" w:cstheme="minorHAnsi"/>
        </w:rPr>
        <w:t xml:space="preserve">nego dalej </w:t>
      </w:r>
      <w:r w:rsidRPr="00877895">
        <w:rPr>
          <w:rFonts w:asciiTheme="minorHAnsi" w:hAnsiTheme="minorHAnsi" w:cstheme="minorHAnsi"/>
          <w:i/>
        </w:rPr>
        <w:t>Przedszkole</w:t>
      </w:r>
      <w:r>
        <w:rPr>
          <w:rFonts w:asciiTheme="minorHAnsi" w:hAnsiTheme="minorHAnsi" w:cstheme="minorHAnsi"/>
        </w:rPr>
        <w:t>.</w:t>
      </w:r>
    </w:p>
    <w:p w:rsidR="00877895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uzasadnienia przedmiotowego wniosku wynika, iż na dzień 11 sierpnia 2020 r. było obsadzone stanowisko dyrektora oraz wicedyrektora </w:t>
      </w:r>
      <w:r w:rsidRPr="00877895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. W wyniku rozstrzygniętego konkursu na dyrektora </w:t>
      </w:r>
      <w:r w:rsidRPr="00877895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 xml:space="preserve">zarządzeniem Wójta Gminy Stare Babice nr 134/2015 z dnia 18 sierpnia 2015 r. powierzono stanowisko dyrektora Pani Małgorzacie Siekierskiej na okres od 1 września 2015 r. do 31 sierpnia 2020 r. Jednocześnie funkcja wicedyrektora </w:t>
      </w:r>
      <w:r w:rsidRPr="00877895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została powierzo</w:t>
      </w:r>
      <w:r>
        <w:rPr>
          <w:rFonts w:asciiTheme="minorHAnsi" w:hAnsiTheme="minorHAnsi" w:cstheme="minorHAnsi"/>
        </w:rPr>
        <w:t>na od dnia 1 września 2014 r. Pani Marzenie Boreckiej.</w:t>
      </w:r>
    </w:p>
    <w:p w:rsidR="00877895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okresie od 20 lipca do 21 sierpnia dyrektor </w:t>
      </w:r>
      <w:r w:rsidRPr="00877895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przebywał na urlopie wypoczynkowym. Na swoje zastępstwo wyznaczył nauczycieli </w:t>
      </w:r>
      <w:r w:rsidRPr="0008381E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- Panią </w:t>
      </w:r>
      <w:r>
        <w:rPr>
          <w:rFonts w:asciiTheme="minorHAnsi" w:hAnsiTheme="minorHAnsi" w:cstheme="minorHAnsi"/>
        </w:rPr>
        <w:t>A. T.</w:t>
      </w:r>
      <w:r>
        <w:rPr>
          <w:rFonts w:asciiTheme="minorHAnsi" w:hAnsiTheme="minorHAnsi" w:cstheme="minorHAnsi"/>
        </w:rPr>
        <w:t xml:space="preserve"> (20 lipca – 31 lipca 2020 r.) i P</w:t>
      </w:r>
      <w:r>
        <w:rPr>
          <w:rFonts w:asciiTheme="minorHAnsi" w:hAnsiTheme="minorHAnsi" w:cstheme="minorHAnsi"/>
        </w:rPr>
        <w:t xml:space="preserve">anią </w:t>
      </w:r>
      <w:r>
        <w:rPr>
          <w:rFonts w:asciiTheme="minorHAnsi" w:hAnsiTheme="minorHAnsi" w:cstheme="minorHAnsi"/>
        </w:rPr>
        <w:lastRenderedPageBreak/>
        <w:t>A</w:t>
      </w:r>
      <w:r>
        <w:rPr>
          <w:rFonts w:asciiTheme="minorHAnsi" w:hAnsiTheme="minorHAnsi" w:cstheme="minorHAnsi"/>
        </w:rPr>
        <w:t>. K.</w:t>
      </w:r>
      <w:r>
        <w:rPr>
          <w:rFonts w:asciiTheme="minorHAnsi" w:hAnsiTheme="minorHAnsi" w:cstheme="minorHAnsi"/>
        </w:rPr>
        <w:t xml:space="preserve"> (3 sierpnia – 21 sierpnia 2020 r.). W ramach zastępstwa ww. nauczyciele nie byli uprawnie</w:t>
      </w:r>
      <w:r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 do nawiązywania (i rozwiązywania) stosunków pracy w </w:t>
      </w:r>
      <w:r w:rsidRPr="00877895">
        <w:rPr>
          <w:rFonts w:asciiTheme="minorHAnsi" w:hAnsiTheme="minorHAnsi" w:cstheme="minorHAnsi"/>
          <w:i/>
        </w:rPr>
        <w:t>Przedszkolu</w:t>
      </w:r>
      <w:r>
        <w:rPr>
          <w:rFonts w:asciiTheme="minorHAnsi" w:hAnsiTheme="minorHAnsi" w:cstheme="minorHAnsi"/>
        </w:rPr>
        <w:t xml:space="preserve">. </w:t>
      </w:r>
    </w:p>
    <w:p w:rsidR="00877895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Pismem z 16 września 2020 r. znak WNP-I.40.357.2020.MS organ nadzoru zwrócił się do Wójta Gmi</w:t>
      </w:r>
      <w:r>
        <w:rPr>
          <w:rFonts w:asciiTheme="minorHAnsi" w:hAnsiTheme="minorHAnsi" w:cstheme="minorHAnsi"/>
        </w:rPr>
        <w:t xml:space="preserve">ny Stare Babice z prośbą o udostępnienie zarządzenia lub innego dokumentu powierzającego pełnienie obowiązków  dyrektora w </w:t>
      </w:r>
      <w:r w:rsidRPr="00877895">
        <w:rPr>
          <w:rFonts w:asciiTheme="minorHAnsi" w:hAnsiTheme="minorHAnsi" w:cstheme="minorHAnsi"/>
          <w:i/>
        </w:rPr>
        <w:t>Przedszkolu</w:t>
      </w:r>
      <w:r>
        <w:rPr>
          <w:rFonts w:asciiTheme="minorHAnsi" w:hAnsiTheme="minorHAnsi" w:cstheme="minorHAnsi"/>
        </w:rPr>
        <w:t xml:space="preserve"> Pani A</w:t>
      </w:r>
      <w:r>
        <w:rPr>
          <w:rFonts w:asciiTheme="minorHAnsi" w:hAnsiTheme="minorHAnsi" w:cstheme="minorHAnsi"/>
        </w:rPr>
        <w:t>. K.</w:t>
      </w:r>
      <w:r>
        <w:rPr>
          <w:rFonts w:asciiTheme="minorHAnsi" w:hAnsiTheme="minorHAnsi" w:cstheme="minorHAnsi"/>
        </w:rPr>
        <w:t xml:space="preserve"> wraz ze szczegółowym uzasadnieniem okoliczności faktycznych i podstawy prawnej jego wydania. </w:t>
      </w:r>
    </w:p>
    <w:p w:rsidR="00877895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wyjaśnień</w:t>
      </w:r>
      <w:r>
        <w:rPr>
          <w:rFonts w:asciiTheme="minorHAnsi" w:hAnsiTheme="minorHAnsi" w:cstheme="minorHAnsi"/>
        </w:rPr>
        <w:t xml:space="preserve"> Wójt</w:t>
      </w:r>
      <w:r>
        <w:rPr>
          <w:rFonts w:asciiTheme="minorHAnsi" w:hAnsiTheme="minorHAnsi" w:cstheme="minorHAnsi"/>
        </w:rPr>
        <w:t>a Gminy Stare Babice</w:t>
      </w:r>
      <w:r>
        <w:rPr>
          <w:rFonts w:asciiTheme="minorHAnsi" w:hAnsiTheme="minorHAnsi" w:cstheme="minorHAnsi"/>
        </w:rPr>
        <w:t xml:space="preserve"> z 28 września 2020 r. (wpływ do Mazowieckiego Urzędu Wojewódzkiego 5 października 2020 r.) wynika, iż dokument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 mocy którego powierzono Pani A</w:t>
      </w:r>
      <w:r>
        <w:rPr>
          <w:rFonts w:asciiTheme="minorHAnsi" w:hAnsiTheme="minorHAnsi" w:cstheme="minorHAnsi"/>
        </w:rPr>
        <w:t>. K.</w:t>
      </w:r>
      <w:r>
        <w:rPr>
          <w:rFonts w:asciiTheme="minorHAnsi" w:hAnsiTheme="minorHAnsi" w:cstheme="minorHAnsi"/>
        </w:rPr>
        <w:t xml:space="preserve"> pełnienie obowiązków dyrektora </w:t>
      </w:r>
      <w:r w:rsidRPr="0056779D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został wydany w oparciu o art. 68 ust. 9 u</w:t>
      </w:r>
      <w:r>
        <w:rPr>
          <w:rFonts w:asciiTheme="minorHAnsi" w:hAnsiTheme="minorHAnsi" w:cstheme="minorHAnsi"/>
        </w:rPr>
        <w:t>stawy  dnia 14 grudnia 2016 r. Prawo oświatowe (Dz. U. z 2020 r. poz. 910, z późn. zm.),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(..)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w związku z nieobecnością Dyrektora Przedszkola w Bliznem Jasińskiego p. Małgorzaty Siekierskiej przebywającej na urlopie wypoczynkowym i Wicedyrektora p. Marzeny</w:t>
      </w:r>
      <w:r>
        <w:rPr>
          <w:rFonts w:asciiTheme="minorHAnsi" w:hAnsiTheme="minorHAnsi" w:cstheme="minorHAnsi"/>
          <w:i/>
        </w:rPr>
        <w:t xml:space="preserve"> Boreckiej przebywającej na urlopie wychowawczym.</w:t>
      </w:r>
    </w:p>
    <w:p w:rsidR="0056779D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Zgodnie ze wskazanym powyżej przepisem </w:t>
      </w:r>
      <w:r>
        <w:rPr>
          <w:rFonts w:asciiTheme="minorHAnsi" w:hAnsiTheme="minorHAnsi" w:cstheme="minorHAnsi"/>
          <w:i/>
        </w:rPr>
        <w:t xml:space="preserve">W przypadku nieobecności dyrektora szkoły lub placówki zastępuje go wicedyrektor, a w szkołach i placówkach, w których nie utworzono stanowiska wicedyrektora – inny </w:t>
      </w:r>
      <w:r>
        <w:rPr>
          <w:rFonts w:asciiTheme="minorHAnsi" w:hAnsiTheme="minorHAnsi" w:cstheme="minorHAnsi"/>
          <w:i/>
        </w:rPr>
        <w:t>nauczyciel tej szkoły lub placówki, wyznaczony przez organ prowadzący.</w:t>
      </w:r>
    </w:p>
    <w:p w:rsidR="0056779D" w:rsidRDefault="000950BA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Reasumując powyższy stan faktyczny, w ocenie organu nadzoru, dokument z 11 sierpnia 2020 r. wydany przez Wójta Gminy Stare Babice, powierzający pełnienie obowiązków dyrektora </w:t>
      </w:r>
      <w:r w:rsidRPr="0056779D">
        <w:rPr>
          <w:rFonts w:asciiTheme="minorHAnsi" w:hAnsiTheme="minorHAnsi" w:cstheme="minorHAnsi"/>
          <w:i/>
        </w:rPr>
        <w:t>Przedszkol</w:t>
      </w:r>
      <w:r w:rsidRPr="0056779D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</w:rPr>
        <w:t xml:space="preserve"> Pani A</w:t>
      </w:r>
      <w:r>
        <w:rPr>
          <w:rFonts w:asciiTheme="minorHAnsi" w:hAnsiTheme="minorHAnsi" w:cstheme="minorHAnsi"/>
        </w:rPr>
        <w:t>. K.</w:t>
      </w:r>
      <w:r>
        <w:rPr>
          <w:rFonts w:asciiTheme="minorHAnsi" w:hAnsiTheme="minorHAnsi" w:cstheme="minorHAnsi"/>
        </w:rPr>
        <w:t xml:space="preserve">, został wydany z rażącym naruszeniem prawa. </w:t>
      </w:r>
    </w:p>
    <w:p w:rsidR="0056779D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Literalna wykładnia art. 68 ust. 9 ustawy Prawo oświatowe prowadzi do konkluzji, iż w sytuacji powierzenia pełnienia obowiązków dyrektora, pierwszeństwo przypada bezwzględnie wicedyrektorowi szkoły </w:t>
      </w:r>
      <w:r>
        <w:rPr>
          <w:rFonts w:asciiTheme="minorHAnsi" w:hAnsiTheme="minorHAnsi" w:cstheme="minorHAnsi"/>
        </w:rPr>
        <w:t>lub placówki, a dopiero w sytuacji braku wicedyrektora, organ powierza je nauczycielowi tej szkoły. Podobne stanowisko wyrażone zostało w orzecznictwie sądów administracyjnych (</w:t>
      </w:r>
      <w:r w:rsidRPr="00514371">
        <w:rPr>
          <w:rFonts w:asciiTheme="minorHAnsi" w:hAnsiTheme="minorHAnsi" w:cstheme="minorHAnsi"/>
          <w:i/>
        </w:rPr>
        <w:t>vide</w:t>
      </w:r>
      <w:r>
        <w:rPr>
          <w:rFonts w:asciiTheme="minorHAnsi" w:hAnsiTheme="minorHAnsi" w:cstheme="minorHAnsi"/>
        </w:rPr>
        <w:t xml:space="preserve"> wyrok WSA z 29 stycznia 2008 r. sygn. akt IV SA/Wr 647/07, wyrok WSA z 27 </w:t>
      </w:r>
      <w:r>
        <w:rPr>
          <w:rFonts w:asciiTheme="minorHAnsi" w:hAnsiTheme="minorHAnsi" w:cstheme="minorHAnsi"/>
        </w:rPr>
        <w:t xml:space="preserve">marca 2008 r. sygn. akt II SA/Bk 177/08). </w:t>
      </w:r>
    </w:p>
    <w:p w:rsidR="00B940A1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Ponadto, należy wskazać, iż zgodnie z art. 63 ust. 13 ustawy Prawo oświatowe, do czasu powierzenia stanowiska dyrektora zgodnie z ust. 10 lub 12 organ prowadzący może powierzyć pełnienie obowiązków dyrektora szkoł</w:t>
      </w:r>
      <w:r>
        <w:rPr>
          <w:rFonts w:asciiTheme="minorHAnsi" w:hAnsiTheme="minorHAnsi" w:cstheme="minorHAnsi"/>
        </w:rPr>
        <w:t>y wicedyrektorowi, a w szkołach, w których nie ma wicedyrektora, nauczyciel</w:t>
      </w:r>
      <w:r>
        <w:rPr>
          <w:rFonts w:asciiTheme="minorHAnsi" w:hAnsiTheme="minorHAnsi" w:cstheme="minorHAnsi"/>
        </w:rPr>
        <w:t>owi</w:t>
      </w:r>
      <w:r>
        <w:rPr>
          <w:rFonts w:asciiTheme="minorHAnsi" w:hAnsiTheme="minorHAnsi" w:cstheme="minorHAnsi"/>
        </w:rPr>
        <w:t xml:space="preserve"> tej szkoły, jednak nie dłużej niż na okres 10 miesięcy. </w:t>
      </w:r>
    </w:p>
    <w:p w:rsidR="00B940A1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dzień 11 sierpnia 2020 r. stanowisko dyrektora, a także wicedyrektora </w:t>
      </w:r>
      <w:r w:rsidRPr="00B940A1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były formalnie obsadzone, a zatem n</w:t>
      </w:r>
      <w:r>
        <w:rPr>
          <w:rFonts w:asciiTheme="minorHAnsi" w:hAnsiTheme="minorHAnsi" w:cstheme="minorHAnsi"/>
        </w:rPr>
        <w:t xml:space="preserve">ie zaistniały okoliczności przewidziane zarówno w art. 63 ust. 13, </w:t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jak również w art. 68 ust. 9 ustawy Prawo oświatowe. Okoliczność zaś, że w dniu 11 sierpnia 2020 r. </w:t>
      </w:r>
      <w:r>
        <w:rPr>
          <w:rFonts w:asciiTheme="minorHAnsi" w:hAnsiTheme="minorHAnsi" w:cstheme="minorHAnsi"/>
        </w:rPr>
        <w:lastRenderedPageBreak/>
        <w:t xml:space="preserve">zarówno dyrektor, jak i wicedyrektor </w:t>
      </w:r>
      <w:r w:rsidRPr="00B940A1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były fizycznie nieobecne,</w:t>
      </w:r>
      <w:r>
        <w:rPr>
          <w:rFonts w:asciiTheme="minorHAnsi" w:hAnsiTheme="minorHAnsi" w:cstheme="minorHAnsi"/>
        </w:rPr>
        <w:t xml:space="preserve"> nie zmienia faktu, iż stanowiska te były utworzone i obsadzone. </w:t>
      </w:r>
    </w:p>
    <w:p w:rsidR="008049B0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Należy wskazać, iż zgodnie z jednolitym orzecznictwem judykatury, nadzorowi podlegają wszystkie zarządzenia wójta. Nie ma przy tym znaczenia nazwa, jakiej organ wykonawczy gminy użyje dla ok</w:t>
      </w:r>
      <w:r>
        <w:rPr>
          <w:rFonts w:asciiTheme="minorHAnsi" w:hAnsiTheme="minorHAnsi" w:cstheme="minorHAnsi"/>
        </w:rPr>
        <w:t>reślenia tej formy działania (</w:t>
      </w:r>
      <w:r w:rsidRPr="008049B0">
        <w:rPr>
          <w:rFonts w:asciiTheme="minorHAnsi" w:hAnsiTheme="minorHAnsi" w:cstheme="minorHAnsi"/>
          <w:i/>
        </w:rPr>
        <w:t>vide</w:t>
      </w:r>
      <w:r>
        <w:rPr>
          <w:rFonts w:asciiTheme="minorHAnsi" w:hAnsiTheme="minorHAnsi" w:cstheme="minorHAnsi"/>
        </w:rPr>
        <w:t xml:space="preserve"> wyrok WSA z 8 grudnia 2006 r. sygn. akt II SA/Wa 1278/06). Jak wskazał w wyroku Naczelny Sąd Administracyjny sygn. akt II OSK 500/08</w:t>
      </w:r>
      <w:r>
        <w:rPr>
          <w:rFonts w:asciiTheme="minorHAnsi" w:hAnsiTheme="minorHAnsi" w:cstheme="minorHAnsi"/>
          <w:i/>
        </w:rPr>
        <w:t xml:space="preserve"> Z treści art. 90 i art. 91 ustawy o samorządzie gminnym nie można zatem wywieść, że zarz</w:t>
      </w:r>
      <w:r>
        <w:rPr>
          <w:rFonts w:asciiTheme="minorHAnsi" w:hAnsiTheme="minorHAnsi" w:cstheme="minorHAnsi"/>
          <w:i/>
        </w:rPr>
        <w:t xml:space="preserve">ądzenie wójta (burmistrza, prezydenta miasta) poza porządkowymi, nie podlegają nadzorowi. </w:t>
      </w:r>
      <w:r>
        <w:rPr>
          <w:rFonts w:asciiTheme="minorHAnsi" w:hAnsiTheme="minorHAnsi" w:cstheme="minorHAnsi"/>
        </w:rPr>
        <w:t xml:space="preserve">Potwierdza to wyrok Naczelnego Sądu Administracyjnego (oz. </w:t>
      </w: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e Wrocławiu) z 16 września 2003 r. sygn. akt II SA/Wr 854/03, zgodnie z którym </w:t>
      </w:r>
      <w:r>
        <w:rPr>
          <w:rFonts w:asciiTheme="minorHAnsi" w:hAnsiTheme="minorHAnsi" w:cstheme="minorHAnsi"/>
          <w:i/>
        </w:rPr>
        <w:t>Każde zarządzenie wójta (bu</w:t>
      </w:r>
      <w:r>
        <w:rPr>
          <w:rFonts w:asciiTheme="minorHAnsi" w:hAnsiTheme="minorHAnsi" w:cstheme="minorHAnsi"/>
          <w:i/>
        </w:rPr>
        <w:t>rmistrza, prezydenta miasta) podlega nadzorowi.</w:t>
      </w:r>
    </w:p>
    <w:p w:rsidR="008049B0" w:rsidRDefault="000950BA" w:rsidP="002421C2">
      <w:pPr>
        <w:spacing w:line="360" w:lineRule="auto"/>
        <w:ind w:left="-426" w:right="-569" w:firstLine="710"/>
        <w:jc w:val="both"/>
        <w:rPr>
          <w:rStyle w:val="info-list-value-uzasadnienie"/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Ponadto, jak wskazał Naczelny Sąd Administracyjny w wyroku z 13 czerwca 2005 r. sygn. akt I OSK 69/05 </w:t>
      </w:r>
      <w:r>
        <w:rPr>
          <w:rFonts w:asciiTheme="minorHAnsi" w:hAnsiTheme="minorHAnsi" w:cstheme="minorHAnsi"/>
          <w:i/>
        </w:rPr>
        <w:t xml:space="preserve">(…) z powołanego art. 91 ust. 1 nie sposób wyprowadzić wniosku, iż jakieś akty organów gminy są wyłączone </w:t>
      </w:r>
      <w:r>
        <w:rPr>
          <w:rFonts w:asciiTheme="minorHAnsi" w:hAnsiTheme="minorHAnsi" w:cstheme="minorHAnsi"/>
          <w:i/>
        </w:rPr>
        <w:t>spod nadzoru wojewody</w:t>
      </w:r>
      <w:r w:rsidRPr="008049B0">
        <w:rPr>
          <w:rFonts w:asciiTheme="minorHAnsi" w:hAnsiTheme="minorHAnsi" w:cstheme="minorHAnsi"/>
          <w:i/>
        </w:rPr>
        <w:t xml:space="preserve">. </w:t>
      </w:r>
      <w:r w:rsidRPr="008049B0">
        <w:rPr>
          <w:rStyle w:val="info-list-value-uzasadnienie"/>
          <w:rFonts w:asciiTheme="minorHAnsi" w:hAnsiTheme="minorHAnsi" w:cstheme="minorHAnsi"/>
          <w:i/>
        </w:rPr>
        <w:t xml:space="preserve">Nadzór ten obejmuje bowiem zarówno akty normatywne </w:t>
      </w:r>
      <w:r>
        <w:rPr>
          <w:rStyle w:val="info-list-value-uzasadnienie"/>
          <w:rFonts w:asciiTheme="minorHAnsi" w:hAnsiTheme="minorHAnsi" w:cstheme="minorHAnsi"/>
          <w:i/>
        </w:rPr>
        <w:t xml:space="preserve">                         </w:t>
      </w:r>
      <w:r w:rsidRPr="008049B0">
        <w:rPr>
          <w:rStyle w:val="info-list-value-uzasadnienie"/>
          <w:rFonts w:asciiTheme="minorHAnsi" w:hAnsiTheme="minorHAnsi" w:cstheme="minorHAnsi"/>
          <w:i/>
        </w:rPr>
        <w:t xml:space="preserve">o charakterze powszechnie obowiązującym i wewnętrznym, jak i akty nienormatywne. Nie istnieje żaden powód, aby rozróżniać zarządzenia w znaczeniu materialny </w:t>
      </w:r>
      <w:r w:rsidRPr="008049B0">
        <w:rPr>
          <w:rStyle w:val="info-list-value-uzasadnienie"/>
          <w:rFonts w:asciiTheme="minorHAnsi" w:hAnsiTheme="minorHAnsi" w:cstheme="minorHAnsi"/>
          <w:i/>
        </w:rPr>
        <w:t>oraz takie, które, (…) - takiego charakteru prawnego nie posiadają. Okoliczność, że zarządzenie (…) ma charakter aktu wewnętrznego, nie odbiera organom nadzoru prawa do orzekania o nieważności takiego aktu.</w:t>
      </w:r>
    </w:p>
    <w:p w:rsidR="008049B0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miejscy warto również przytoczyć uchwałę Tr</w:t>
      </w:r>
      <w:r>
        <w:rPr>
          <w:rFonts w:asciiTheme="minorHAnsi" w:hAnsiTheme="minorHAnsi" w:cstheme="minorHAnsi"/>
        </w:rPr>
        <w:t xml:space="preserve">ybunału Konstytucyjnego z 27 września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1994 r. podjętą w sprawie o sygn. akt W 10/93, w której Trybunał wskazała, że </w:t>
      </w:r>
      <w:r w:rsidRPr="009C1656">
        <w:rPr>
          <w:rFonts w:asciiTheme="minorHAnsi" w:hAnsiTheme="minorHAnsi" w:cstheme="minorHAnsi"/>
          <w:i/>
        </w:rPr>
        <w:t>(…)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jeżeli akt woli organu gminy otrzymał formę prawną aktu władczego wydawanego na podstawi przepisów – m. in. kompetencyjnych – prawa a</w:t>
      </w:r>
      <w:r>
        <w:rPr>
          <w:rFonts w:asciiTheme="minorHAnsi" w:hAnsiTheme="minorHAnsi" w:cstheme="minorHAnsi"/>
          <w:i/>
        </w:rPr>
        <w:t xml:space="preserve">dministracyjnego, to niezależnie od charakteru kształtowania nim stosunków prawnych oraz ewentualnych skutków – także w dziedzinach regulowanych prawem cywilnym – podlega procedurze nadzoru zwanego administracyjnym. </w:t>
      </w:r>
    </w:p>
    <w:p w:rsidR="00877895" w:rsidRDefault="000950BA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Analogicznie zatem należy potraktować a</w:t>
      </w:r>
      <w:r>
        <w:rPr>
          <w:rFonts w:asciiTheme="minorHAnsi" w:hAnsiTheme="minorHAnsi" w:cstheme="minorHAnsi"/>
        </w:rPr>
        <w:t xml:space="preserve">kt powierzenia pełnienia obowiązków dyrektora </w:t>
      </w:r>
      <w:r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</w:rPr>
        <w:t>w niniejszej sprawie. Powierzenie pełnienia obowiązków dyrektora w Przedszkolu miało bowiem miejsce w gminnej placówce oświatowej, a zatem taki akt ma charakter publicznoprawny. Wobec tego, zarz</w:t>
      </w:r>
      <w:r>
        <w:rPr>
          <w:rFonts w:asciiTheme="minorHAnsi" w:hAnsiTheme="minorHAnsi" w:cstheme="minorHAnsi"/>
        </w:rPr>
        <w:t xml:space="preserve">ądzenie jest aktem w sprawie z zakresu administracji publicznej, podejmowanym na podstawie  przepisów prawa publicznego oraz w wykonaniu zadań publicznych przypisanych gminie. </w:t>
      </w:r>
    </w:p>
    <w:p w:rsidR="00877895" w:rsidRDefault="000950BA" w:rsidP="009C1656">
      <w:pPr>
        <w:spacing w:line="360" w:lineRule="auto"/>
        <w:ind w:left="-426" w:right="-569" w:firstLine="710"/>
        <w:jc w:val="both"/>
        <w:rPr>
          <w:rStyle w:val="info-list-value-uzasadnienie"/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Podkreślenia wymaga fakt, iż jedyną przesłanką uzasadniającą stwierdzenie niewa</w:t>
      </w:r>
      <w:r>
        <w:rPr>
          <w:rFonts w:asciiTheme="minorHAnsi" w:hAnsiTheme="minorHAnsi" w:cstheme="minorHAnsi"/>
        </w:rPr>
        <w:t>żności danego aktu wydanego przez organ samorządowy, jest sprzeczność uchwały lub zarządzenia z prawem. Sankcja nieważności danego aktu jest zastrzeżona dla istotnych naruszeń prawa, tj. takich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skutki naruszeń prawa nie mogą być tolerowane w demok</w:t>
      </w:r>
      <w:r>
        <w:rPr>
          <w:rFonts w:asciiTheme="minorHAnsi" w:hAnsiTheme="minorHAnsi" w:cstheme="minorHAnsi"/>
        </w:rPr>
        <w:t>ratycznym państwie prawa (</w:t>
      </w:r>
      <w:r w:rsidRPr="009C1656">
        <w:rPr>
          <w:rFonts w:asciiTheme="minorHAnsi" w:hAnsiTheme="minorHAnsi" w:cstheme="minorHAnsi"/>
          <w:i/>
        </w:rPr>
        <w:t>vide</w:t>
      </w:r>
      <w:r>
        <w:rPr>
          <w:rFonts w:asciiTheme="minorHAnsi" w:hAnsiTheme="minorHAnsi" w:cstheme="minorHAnsi"/>
        </w:rPr>
        <w:t xml:space="preserve"> wyrok NSA </w:t>
      </w: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lastRenderedPageBreak/>
        <w:t xml:space="preserve">z 18 października 2016 r. sygn. akt II GSK 1650/16). </w:t>
      </w:r>
      <w:r w:rsidRPr="009C1656">
        <w:rPr>
          <w:rStyle w:val="info-list-value-uzasadnienie"/>
          <w:rFonts w:asciiTheme="minorHAnsi" w:hAnsiTheme="minorHAnsi" w:cstheme="minorHAnsi"/>
          <w:i/>
        </w:rPr>
        <w:t xml:space="preserve">Orzeczenie o stwierdzeniu nieważności uchwały organu gminy przez wojewodę może więc być wydane tylko wtedy, gdy uchwała pozostaje w wyraźnej </w:t>
      </w:r>
      <w:r w:rsidRPr="009C1656">
        <w:rPr>
          <w:rStyle w:val="info-list-value-uzasadnienie"/>
          <w:rFonts w:asciiTheme="minorHAnsi" w:hAnsiTheme="minorHAnsi" w:cstheme="minorHAnsi"/>
          <w:i/>
        </w:rPr>
        <w:t>sprzeczności z określonym przepisem prawnym i gdy wynika to wprost z treści tego przepisu. W świetle art. 91 ust. 1 zd. 1 u.s.g. w związku z ust. 4 a contrario, sankcja nieważności uchwały lub zarządzenia organu gminy została zastrzeżona wyłącznie dla isto</w:t>
      </w:r>
      <w:r w:rsidRPr="009C1656">
        <w:rPr>
          <w:rStyle w:val="info-list-value-uzasadnienie"/>
          <w:rFonts w:asciiTheme="minorHAnsi" w:hAnsiTheme="minorHAnsi" w:cstheme="minorHAnsi"/>
          <w:i/>
        </w:rPr>
        <w:t>tnych naruszeń prawa. Do kategorii istotnych naruszeń prawa orzecznictwo zalicza naruszenia znaczące, jak np. naruszenie przepisów wyznaczających kompetencje do podejmowania uchwał, przepisów podstawy prawnej podejmowanych uchwał, przepisów ustrojowych, pr</w:t>
      </w:r>
      <w:r w:rsidRPr="009C1656">
        <w:rPr>
          <w:rStyle w:val="info-list-value-uzasadnienie"/>
          <w:rFonts w:asciiTheme="minorHAnsi" w:hAnsiTheme="minorHAnsi" w:cstheme="minorHAnsi"/>
          <w:i/>
        </w:rPr>
        <w:t>zepisów prawa materialnego - przez ich wadliwą wykładnię - oraz przepisów regulujących procedurę podejmowania uchwał.</w:t>
      </w:r>
    </w:p>
    <w:p w:rsidR="009C1656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Powierzając zatem pełnienie obowiązków dyrektora nauczycielowi </w:t>
      </w:r>
      <w:r w:rsidRPr="00B9750E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w sytuacji, gdy </w:t>
      </w:r>
      <w:r w:rsidRPr="003F1D37">
        <w:rPr>
          <w:rFonts w:asciiTheme="minorHAnsi" w:hAnsiTheme="minorHAnsi" w:cstheme="minorHAnsi"/>
          <w:i/>
        </w:rPr>
        <w:t>dyrektor w Przedszkolu był już powołany i pełni</w:t>
      </w:r>
      <w:r w:rsidRPr="003F1D37">
        <w:rPr>
          <w:rFonts w:asciiTheme="minorHAnsi" w:hAnsiTheme="minorHAnsi" w:cstheme="minorHAnsi"/>
          <w:i/>
        </w:rPr>
        <w:t>ł swoją funkcję, nie ulega wątpliwości, iż Wójt Gminy</w:t>
      </w:r>
      <w:r>
        <w:rPr>
          <w:rFonts w:asciiTheme="minorHAnsi" w:hAnsiTheme="minorHAnsi" w:cstheme="minorHAnsi"/>
        </w:rPr>
        <w:t xml:space="preserve"> Stare Babice naruszył przepisy wyznaczające kompetencję do wydania – jako organ prowadzący – zarządzenia w powyższym zakresie. Doszło zatem do istotnego naruszenia przepisów wyznaczających kompetencję d</w:t>
      </w:r>
      <w:r>
        <w:rPr>
          <w:rFonts w:asciiTheme="minorHAnsi" w:hAnsiTheme="minorHAnsi" w:cstheme="minorHAnsi"/>
        </w:rPr>
        <w:t>o podjęcia władczego aktu w postaci zarządzenia, co w pełni uzasadnia stwierdzenie nieważności kwestionowanego aktu. W ocenie organu nadzoru, Wójt Gminy Stare Babice dokonał</w:t>
      </w:r>
      <w:r>
        <w:rPr>
          <w:rFonts w:asciiTheme="minorHAnsi" w:hAnsiTheme="minorHAnsi" w:cstheme="minorHAnsi"/>
        </w:rPr>
        <w:t xml:space="preserve"> przy tym nieprawidłowej wykładni przepisów prawa materialnego, która w konsekwencj</w:t>
      </w:r>
      <w:r>
        <w:rPr>
          <w:rFonts w:asciiTheme="minorHAnsi" w:hAnsiTheme="minorHAnsi" w:cstheme="minorHAnsi"/>
        </w:rPr>
        <w:t xml:space="preserve">i doprowadziła do ustanowienia kolejnej osoby zarządzającej </w:t>
      </w:r>
      <w:r w:rsidRPr="00967619">
        <w:rPr>
          <w:rFonts w:asciiTheme="minorHAnsi" w:hAnsiTheme="minorHAnsi" w:cstheme="minorHAnsi"/>
          <w:i/>
        </w:rPr>
        <w:t>Przedszkolem</w:t>
      </w:r>
      <w:r>
        <w:rPr>
          <w:rFonts w:asciiTheme="minorHAnsi" w:hAnsiTheme="minorHAnsi" w:cstheme="minorHAnsi"/>
        </w:rPr>
        <w:t xml:space="preserve"> w sytuacji, w której powierzono już pełnienie funkcji dyrektora, a także utworzono stanowisko wicedyrektora.</w:t>
      </w:r>
    </w:p>
    <w:p w:rsidR="003F1D37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Podkreślenia wymaga również fakt, iż powierzenie pełnienia obowiązków </w:t>
      </w:r>
      <w:r>
        <w:rPr>
          <w:rFonts w:asciiTheme="minorHAnsi" w:hAnsiTheme="minorHAnsi" w:cstheme="minorHAnsi"/>
        </w:rPr>
        <w:t>dyrektora innemu pracownikowi szkoły lub placówki może mieć dalekosiężne, negatywne konsekwencje dla samej placówki. I z taką właśnie sytuacją mamy do czynienia w przedmiotowej sprawie.</w:t>
      </w:r>
    </w:p>
    <w:p w:rsidR="003F1D37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Jak wynika z wyjaśnień Wójta Gminy Stare Babice przesłanych organowi n</w:t>
      </w:r>
      <w:r>
        <w:rPr>
          <w:rFonts w:asciiTheme="minorHAnsi" w:hAnsiTheme="minorHAnsi" w:cstheme="minorHAnsi"/>
        </w:rPr>
        <w:t xml:space="preserve">adzoru pismem                    z 9 października 2020 r. (wpływ do Mazowieckiego Urzędu Wojewódzkiego w Warszawie 15 października 2020 r.) </w:t>
      </w:r>
      <w:r>
        <w:rPr>
          <w:rFonts w:asciiTheme="minorHAnsi" w:hAnsiTheme="minorHAnsi" w:cstheme="minorHAnsi"/>
          <w:i/>
        </w:rPr>
        <w:t xml:space="preserve">(…) w dniu 11.08.2020 r. pełniąca obowiązki dyrektora Przedszkola w Bliznem Jasińskiego Pani </w:t>
      </w:r>
      <w:r>
        <w:rPr>
          <w:rFonts w:asciiTheme="minorHAnsi" w:hAnsiTheme="minorHAnsi" w:cstheme="minorHAnsi"/>
          <w:i/>
        </w:rPr>
        <w:t>(…)</w:t>
      </w:r>
      <w:r>
        <w:rPr>
          <w:rFonts w:asciiTheme="minorHAnsi" w:hAnsiTheme="minorHAnsi" w:cstheme="minorHAnsi"/>
          <w:i/>
        </w:rPr>
        <w:t xml:space="preserve"> nawiązała stosunek </w:t>
      </w:r>
      <w:r>
        <w:rPr>
          <w:rFonts w:asciiTheme="minorHAnsi" w:hAnsiTheme="minorHAnsi" w:cstheme="minorHAnsi"/>
          <w:i/>
        </w:rPr>
        <w:t>pracy z nauczycielem</w:t>
      </w:r>
      <w:r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</w:p>
    <w:p w:rsidR="003F1D37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Zaistnienie powyższej sytuacji budzi szczególne wątpliwości organu nadzoru z powodu faktu, iż powierzenie pełnienia obowiązków dyrektora </w:t>
      </w:r>
      <w:r w:rsidRPr="003F1D37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zostało wydane na jeden dzień, tj. 11 sierpnia 2020 r. i właśnie w tym dniu nawiązan</w:t>
      </w:r>
      <w:r>
        <w:rPr>
          <w:rFonts w:asciiTheme="minorHAnsi" w:hAnsiTheme="minorHAnsi" w:cstheme="minorHAnsi"/>
        </w:rPr>
        <w:t xml:space="preserve">o stosunek pracy, który </w:t>
      </w:r>
      <w:r>
        <w:rPr>
          <w:rFonts w:asciiTheme="minorHAnsi" w:hAnsiTheme="minorHAnsi" w:cstheme="minorHAnsi"/>
        </w:rPr>
        <w:t>następnie</w:t>
      </w:r>
      <w:r>
        <w:rPr>
          <w:rFonts w:asciiTheme="minorHAnsi" w:hAnsiTheme="minorHAnsi" w:cstheme="minorHAnsi"/>
        </w:rPr>
        <w:t xml:space="preserve"> został wyznaczony przez Wójta Gminy Stare Babice na zastępstwo za dyrektora </w:t>
      </w:r>
      <w:r w:rsidRPr="003F1D37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pismem z 12 sierpnia 2020 r.</w:t>
      </w:r>
    </w:p>
    <w:p w:rsidR="003F1D37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Przedstawiony powyżej zbieg fatów skłania organ nadzoru do przyjęcia założenia, iż celowym działaniem ze strony Wójta Gminy Stare Babice było powierzenie pełnienia obowiązków dyrektora </w:t>
      </w:r>
      <w:r w:rsidRPr="003F1D37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Pani A</w:t>
      </w:r>
      <w:r>
        <w:rPr>
          <w:rFonts w:asciiTheme="minorHAnsi" w:hAnsiTheme="minorHAnsi" w:cstheme="minorHAnsi"/>
        </w:rPr>
        <w:t>. K.</w:t>
      </w:r>
      <w:r>
        <w:rPr>
          <w:rFonts w:asciiTheme="minorHAnsi" w:hAnsiTheme="minorHAnsi" w:cstheme="minorHAnsi"/>
        </w:rPr>
        <w:t xml:space="preserve"> (tylko na jeden dzień), której głównym zadaniem </w:t>
      </w:r>
      <w:r>
        <w:rPr>
          <w:rFonts w:asciiTheme="minorHAnsi" w:hAnsiTheme="minorHAnsi" w:cstheme="minorHAnsi"/>
        </w:rPr>
        <w:t xml:space="preserve">było </w:t>
      </w:r>
      <w:r>
        <w:rPr>
          <w:rFonts w:asciiTheme="minorHAnsi" w:hAnsiTheme="minorHAnsi" w:cstheme="minorHAnsi"/>
        </w:rPr>
        <w:t xml:space="preserve">dokonanie </w:t>
      </w:r>
      <w:r>
        <w:rPr>
          <w:rFonts w:asciiTheme="minorHAnsi" w:hAnsiTheme="minorHAnsi" w:cstheme="minorHAnsi"/>
        </w:rPr>
        <w:t>zatrudnieni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. </w:t>
      </w:r>
    </w:p>
    <w:p w:rsidR="003F1D37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Należy podkreślić, iż stwierdzenie nieważności zarządzenia wójta ma charakter deklaratoryjny, rodzi tym </w:t>
      </w:r>
      <w:r w:rsidRPr="003F1D37">
        <w:rPr>
          <w:rFonts w:asciiTheme="minorHAnsi" w:hAnsiTheme="minorHAnsi" w:cstheme="minorHAnsi"/>
        </w:rPr>
        <w:t>samym</w:t>
      </w:r>
      <w:r w:rsidRPr="003F1D37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(…) </w:t>
      </w:r>
      <w:r w:rsidRPr="003F1D37">
        <w:rPr>
          <w:rFonts w:asciiTheme="minorHAnsi" w:hAnsiTheme="minorHAnsi" w:cstheme="minorHAnsi"/>
          <w:i/>
        </w:rPr>
        <w:t>skutki ex tunc – z mocą wsteczną od daty podjęcia uchwały. Tym samym uchwała jest nieważna od chwili jej podjęci</w:t>
      </w:r>
      <w:r w:rsidRPr="003F1D37">
        <w:rPr>
          <w:rFonts w:asciiTheme="minorHAnsi" w:hAnsiTheme="minorHAnsi" w:cstheme="minorHAnsi"/>
          <w:i/>
        </w:rPr>
        <w:t xml:space="preserve">a, a zatem jest prawnie bezskuteczna. </w:t>
      </w:r>
      <w:r>
        <w:rPr>
          <w:rFonts w:asciiTheme="minorHAnsi" w:hAnsiTheme="minorHAnsi" w:cstheme="minorHAnsi"/>
        </w:rPr>
        <w:t>(</w:t>
      </w:r>
      <w:r w:rsidRPr="003F1D37">
        <w:rPr>
          <w:rFonts w:asciiTheme="minorHAnsi" w:hAnsiTheme="minorHAnsi" w:cstheme="minorHAnsi"/>
          <w:i/>
        </w:rPr>
        <w:t>vide</w:t>
      </w:r>
      <w:r>
        <w:rPr>
          <w:rFonts w:asciiTheme="minorHAnsi" w:hAnsiTheme="minorHAnsi" w:cstheme="minorHAnsi"/>
        </w:rPr>
        <w:t xml:space="preserve"> wyrok Trybunału Konstytucyjnego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z 9 grudnia 20003 r. sygn. akt P9/02).</w:t>
      </w:r>
    </w:p>
    <w:p w:rsidR="000A5788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miejscu należy szczególnie podkreślić, iż Pani Małgorzata Siekierska, jako ówczesny dyrektor </w:t>
      </w:r>
      <w:r w:rsidRPr="000A5788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, nie została poinformowana </w:t>
      </w:r>
      <w:r>
        <w:rPr>
          <w:rFonts w:asciiTheme="minorHAnsi" w:hAnsiTheme="minorHAnsi" w:cstheme="minorHAnsi"/>
        </w:rPr>
        <w:t xml:space="preserve">przez organ prowadzący o planowanym zatrudnieniu w placówce i nie miała jakiegokolwiek wpływu na fakt zawarcia umowy o pracę w </w:t>
      </w:r>
      <w:r w:rsidRPr="009B6007">
        <w:rPr>
          <w:rFonts w:asciiTheme="minorHAnsi" w:hAnsiTheme="minorHAnsi" w:cstheme="minorHAnsi"/>
          <w:i/>
        </w:rPr>
        <w:t>Przedszkolu</w:t>
      </w:r>
      <w:r>
        <w:rPr>
          <w:rFonts w:asciiTheme="minorHAnsi" w:hAnsiTheme="minorHAnsi" w:cstheme="minorHAnsi"/>
        </w:rPr>
        <w:t>. Ponadto nie dysponowała również</w:t>
      </w:r>
      <w:r>
        <w:rPr>
          <w:rFonts w:asciiTheme="minorHAnsi" w:hAnsiTheme="minorHAnsi" w:cstheme="minorHAnsi"/>
        </w:rPr>
        <w:t xml:space="preserve"> zawartą </w:t>
      </w:r>
      <w:r>
        <w:rPr>
          <w:rFonts w:asciiTheme="minorHAnsi" w:hAnsiTheme="minorHAnsi" w:cstheme="minorHAnsi"/>
        </w:rPr>
        <w:t>umową o pracę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jak również dokumentacją przedłożoną przez </w:t>
      </w:r>
      <w:r>
        <w:rPr>
          <w:rFonts w:asciiTheme="minorHAnsi" w:hAnsiTheme="minorHAnsi" w:cstheme="minorHAnsi"/>
        </w:rPr>
        <w:t xml:space="preserve">zatrudnianego </w:t>
      </w:r>
      <w:r>
        <w:rPr>
          <w:rFonts w:asciiTheme="minorHAnsi" w:hAnsiTheme="minorHAnsi" w:cstheme="minorHAnsi"/>
        </w:rPr>
        <w:t>prze</w:t>
      </w:r>
      <w:r>
        <w:rPr>
          <w:rFonts w:asciiTheme="minorHAnsi" w:hAnsiTheme="minorHAnsi" w:cstheme="minorHAnsi"/>
        </w:rPr>
        <w:t>d nawiązaniem stosunku pracy.</w:t>
      </w:r>
    </w:p>
    <w:p w:rsidR="009B6007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Reasumując powyższe rozważania, w oparciu o przedstawiony stan faktyczny oraz prawny, </w:t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w ocenie organu nadzoru, zasadne jest stwierdzenie nieważności przedmiotowego dokumentu z uwagi na </w:t>
      </w:r>
      <w:r>
        <w:rPr>
          <w:rFonts w:asciiTheme="minorHAnsi" w:hAnsiTheme="minorHAnsi" w:cstheme="minorHAnsi"/>
        </w:rPr>
        <w:t>brak</w:t>
      </w:r>
      <w:r>
        <w:rPr>
          <w:rFonts w:asciiTheme="minorHAnsi" w:hAnsiTheme="minorHAnsi" w:cstheme="minorHAnsi"/>
        </w:rPr>
        <w:t xml:space="preserve"> podstawy jego wydania</w:t>
      </w:r>
      <w:r>
        <w:rPr>
          <w:rFonts w:asciiTheme="minorHAnsi" w:hAnsiTheme="minorHAnsi" w:cstheme="minorHAnsi"/>
        </w:rPr>
        <w:t xml:space="preserve">, a także </w:t>
      </w:r>
      <w:r>
        <w:rPr>
          <w:rFonts w:asciiTheme="minorHAnsi" w:hAnsiTheme="minorHAnsi" w:cstheme="minorHAnsi"/>
        </w:rPr>
        <w:t>skutki prawne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jakie nastąpiły na skutek jego wydania.</w:t>
      </w:r>
    </w:p>
    <w:p w:rsidR="000D5BDC" w:rsidRPr="003F1D37" w:rsidRDefault="000950BA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marginesie organ nadzoru informuje, iż w treści zawiadomienia o wszczęciu postępowania nadzorczego w przedmiocie stwierdzenia nieważności zarządzenia – pism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z dnia 11 sierpnia 2020 r., zw</w:t>
      </w:r>
      <w:r>
        <w:rPr>
          <w:rFonts w:asciiTheme="minorHAnsi" w:hAnsiTheme="minorHAnsi" w:cstheme="minorHAnsi"/>
        </w:rPr>
        <w:t xml:space="preserve">rócono się do Wójta Gminy Stare Babice z prośbą o przesłanie oryginału wskazanego zarządzenia -  pisma. W odpowiedzi z 20 października 2020 r. (wpływ do Mazowieckiego Urzędu Wojewódzkiego </w:t>
      </w: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>w Warszawie 2 listopada 2020 r. znak RWOJ 2120.5.2020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Sekretarz Gminy</w:t>
      </w:r>
      <w:r>
        <w:rPr>
          <w:rFonts w:asciiTheme="minorHAnsi" w:hAnsiTheme="minorHAnsi" w:cstheme="minorHAnsi"/>
        </w:rPr>
        <w:t xml:space="preserve"> Stare Babice</w:t>
      </w:r>
      <w:r>
        <w:rPr>
          <w:rFonts w:asciiTheme="minorHAnsi" w:hAnsiTheme="minorHAnsi" w:cstheme="minorHAnsi"/>
        </w:rPr>
        <w:t xml:space="preserve"> poinformował, że przedmiotowe pismo nie było przez organ traktowane jako zarządzenie, a jedynie jako pełnomocnictwo do dokonania odpowiednich czynności. W związku z powyższym oryginał upoważnienia został wydany i jest w posiad</w:t>
      </w:r>
      <w:r>
        <w:rPr>
          <w:rFonts w:asciiTheme="minorHAnsi" w:hAnsiTheme="minorHAnsi" w:cstheme="minorHAnsi"/>
        </w:rPr>
        <w:t xml:space="preserve">aniu osoby upoważnionej. Natomiast Urząd Gminy Stare Babice jest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posiadaniu jedynie kopii udzielonego pełnomocnictwa, które uprzednio przekazał organowi nadzoru. </w:t>
      </w:r>
    </w:p>
    <w:p w:rsidR="0043566C" w:rsidRDefault="000950BA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Gminie</w:t>
      </w:r>
      <w:r w:rsidRPr="00325CA0">
        <w:rPr>
          <w:rFonts w:asciiTheme="minorHAnsi" w:hAnsiTheme="minorHAnsi" w:cstheme="minorHAnsi"/>
        </w:rPr>
        <w:t xml:space="preserve"> przysługuje skarga do Wojewódzkiego Sądu Adm</w:t>
      </w:r>
      <w:r w:rsidRPr="00325CA0">
        <w:rPr>
          <w:rFonts w:asciiTheme="minorHAnsi" w:hAnsiTheme="minorHAnsi" w:cstheme="minorHAnsi"/>
        </w:rPr>
        <w:t>inistracyjnego w Warszawie w terminie 30 dni od daty doręczenia, wnoszona za pośrednictwem organu, który skarżone orzeczenie wydał.</w:t>
      </w:r>
    </w:p>
    <w:p w:rsidR="005919CC" w:rsidRDefault="000950BA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Informu</w:t>
      </w:r>
      <w:r>
        <w:rPr>
          <w:rFonts w:asciiTheme="minorHAnsi" w:hAnsiTheme="minorHAnsi" w:cstheme="minorHAnsi"/>
        </w:rPr>
        <w:t>ję, że rozstrzygnięcie nadzorcze wstrzymuje wykonanie zarządzenia, z mocy prawa,                z dniem jego doręczen</w:t>
      </w:r>
      <w:r>
        <w:rPr>
          <w:rFonts w:asciiTheme="minorHAnsi" w:hAnsiTheme="minorHAnsi" w:cstheme="minorHAnsi"/>
        </w:rPr>
        <w:t>ia.</w:t>
      </w:r>
    </w:p>
    <w:p w:rsidR="00363507" w:rsidRDefault="000950BA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</w:p>
    <w:p w:rsidR="00363507" w:rsidRPr="00363507" w:rsidRDefault="000950BA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63507">
        <w:rPr>
          <w:rFonts w:asciiTheme="minorHAnsi" w:hAnsiTheme="minorHAnsi" w:cstheme="minorHAnsi"/>
          <w:i/>
        </w:rPr>
        <w:t>Konstanty Radziwiłł</w:t>
      </w:r>
    </w:p>
    <w:p w:rsidR="00363507" w:rsidRPr="00363507" w:rsidRDefault="000950BA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</w:t>
      </w:r>
      <w:r w:rsidRPr="00363507">
        <w:rPr>
          <w:rFonts w:asciiTheme="minorHAnsi" w:hAnsiTheme="minorHAnsi" w:cstheme="minorHAnsi"/>
          <w:i/>
        </w:rPr>
        <w:t>Wojewoda Mazowiecki</w:t>
      </w:r>
    </w:p>
    <w:p w:rsidR="005A42DB" w:rsidRPr="00325CA0" w:rsidRDefault="000950BA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</w:p>
    <w:sectPr w:rsidR="005A42DB" w:rsidRPr="00325CA0" w:rsidSect="00B24711">
      <w:footerReference w:type="defaul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BA" w:rsidRDefault="000950BA">
      <w:r>
        <w:separator/>
      </w:r>
    </w:p>
  </w:endnote>
  <w:endnote w:type="continuationSeparator" w:id="0">
    <w:p w:rsidR="000950BA" w:rsidRDefault="0009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0950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13AAE" w:rsidRDefault="000950BA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0950BA">
    <w:pPr>
      <w:pStyle w:val="Stopka"/>
      <w:jc w:val="right"/>
    </w:pPr>
  </w:p>
  <w:p w:rsidR="00813AAE" w:rsidRDefault="00095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BA" w:rsidRDefault="000950BA">
      <w:r>
        <w:separator/>
      </w:r>
    </w:p>
  </w:footnote>
  <w:footnote w:type="continuationSeparator" w:id="0">
    <w:p w:rsidR="000950BA" w:rsidRDefault="0009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4F0"/>
    <w:multiLevelType w:val="hybridMultilevel"/>
    <w:tmpl w:val="99BC69AC"/>
    <w:lvl w:ilvl="0" w:tplc="B3381CD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4752A0C2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BF268E18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B8FE941A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E2A57C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2E0FBC8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C4DEF9BA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2EFCA4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B9AA3C7E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2721F8D"/>
    <w:multiLevelType w:val="hybridMultilevel"/>
    <w:tmpl w:val="C7907C18"/>
    <w:lvl w:ilvl="0" w:tplc="E10A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63DB6" w:tentative="1">
      <w:start w:val="1"/>
      <w:numFmt w:val="lowerLetter"/>
      <w:lvlText w:val="%2."/>
      <w:lvlJc w:val="left"/>
      <w:pPr>
        <w:ind w:left="1440" w:hanging="360"/>
      </w:pPr>
    </w:lvl>
    <w:lvl w:ilvl="2" w:tplc="E86628B0" w:tentative="1">
      <w:start w:val="1"/>
      <w:numFmt w:val="lowerRoman"/>
      <w:lvlText w:val="%3."/>
      <w:lvlJc w:val="right"/>
      <w:pPr>
        <w:ind w:left="2160" w:hanging="180"/>
      </w:pPr>
    </w:lvl>
    <w:lvl w:ilvl="3" w:tplc="548299FE" w:tentative="1">
      <w:start w:val="1"/>
      <w:numFmt w:val="decimal"/>
      <w:lvlText w:val="%4."/>
      <w:lvlJc w:val="left"/>
      <w:pPr>
        <w:ind w:left="2880" w:hanging="360"/>
      </w:pPr>
    </w:lvl>
    <w:lvl w:ilvl="4" w:tplc="4B4C26FE" w:tentative="1">
      <w:start w:val="1"/>
      <w:numFmt w:val="lowerLetter"/>
      <w:lvlText w:val="%5."/>
      <w:lvlJc w:val="left"/>
      <w:pPr>
        <w:ind w:left="3600" w:hanging="360"/>
      </w:pPr>
    </w:lvl>
    <w:lvl w:ilvl="5" w:tplc="4D5E90A2" w:tentative="1">
      <w:start w:val="1"/>
      <w:numFmt w:val="lowerRoman"/>
      <w:lvlText w:val="%6."/>
      <w:lvlJc w:val="right"/>
      <w:pPr>
        <w:ind w:left="4320" w:hanging="180"/>
      </w:pPr>
    </w:lvl>
    <w:lvl w:ilvl="6" w:tplc="1C10F45C" w:tentative="1">
      <w:start w:val="1"/>
      <w:numFmt w:val="decimal"/>
      <w:lvlText w:val="%7."/>
      <w:lvlJc w:val="left"/>
      <w:pPr>
        <w:ind w:left="5040" w:hanging="360"/>
      </w:pPr>
    </w:lvl>
    <w:lvl w:ilvl="7" w:tplc="FE6278EA" w:tentative="1">
      <w:start w:val="1"/>
      <w:numFmt w:val="lowerLetter"/>
      <w:lvlText w:val="%8."/>
      <w:lvlJc w:val="left"/>
      <w:pPr>
        <w:ind w:left="5760" w:hanging="360"/>
      </w:pPr>
    </w:lvl>
    <w:lvl w:ilvl="8" w:tplc="42E489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4F"/>
    <w:rsid w:val="000950BA"/>
    <w:rsid w:val="004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DBD62-93F3-4CF1-AECF-1CF5108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8049B0"/>
  </w:style>
  <w:style w:type="character" w:styleId="Odwoaniedokomentarza">
    <w:name w:val="annotation reference"/>
    <w:basedOn w:val="Domylnaczcionkaakapitu"/>
    <w:uiPriority w:val="99"/>
    <w:semiHidden/>
    <w:unhideWhenUsed/>
    <w:rsid w:val="004E6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9F2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9F2"/>
    <w:rPr>
      <w:rFonts w:ascii="Times New Roman" w:eastAsia="MS Mincho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ED69-0ED4-43AB-AFBB-69D4C2B4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2020-07-01T11:07:00Z</cp:lastPrinted>
  <dcterms:created xsi:type="dcterms:W3CDTF">2020-11-04T10:10:00Z</dcterms:created>
  <dcterms:modified xsi:type="dcterms:W3CDTF">2020-11-04T10:10:00Z</dcterms:modified>
</cp:coreProperties>
</file>