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9C" w:rsidRPr="00791E9C" w:rsidRDefault="00791E9C" w:rsidP="00791E9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91E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Tabele - Zmiana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mierników oceny efektywności Programu dot. Zadania 1 i Zadania 2</w:t>
      </w:r>
    </w:p>
    <w:p w:rsidR="00791E9C" w:rsidRDefault="00791E9C" w:rsidP="005F1429"/>
    <w:p w:rsidR="005F1429" w:rsidRPr="00B16B40" w:rsidRDefault="005F1429" w:rsidP="00D029B7">
      <w:pPr>
        <w:pStyle w:val="KRNagwek"/>
        <w:numPr>
          <w:ilvl w:val="0"/>
          <w:numId w:val="2"/>
        </w:numPr>
      </w:pPr>
      <w:r w:rsidRPr="00B16B40">
        <w:t>Mierniki oceny efektywności Programu</w:t>
      </w:r>
    </w:p>
    <w:p w:rsidR="005F1429" w:rsidRPr="00B16B40" w:rsidRDefault="005F1429" w:rsidP="005F1429">
      <w:pPr>
        <w:spacing w:line="276" w:lineRule="auto"/>
        <w:ind w:right="-89"/>
        <w:rPr>
          <w:rFonts w:eastAsia="Times New Roman" w:cs="Calibri"/>
          <w:sz w:val="16"/>
          <w:szCs w:val="16"/>
        </w:rPr>
      </w:pPr>
      <w:r w:rsidRPr="00B16B40">
        <w:rPr>
          <w:rFonts w:eastAsia="Georgia" w:cs="Calibri"/>
          <w:b/>
          <w:noProof/>
          <w:color w:val="FF99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45085</wp:posOffset>
                </wp:positionV>
                <wp:extent cx="5798185" cy="0"/>
                <wp:effectExtent l="13970" t="8890" r="762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0562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3.55pt" to="474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" strokecolor="#f93" strokeweight=".16931mm"/>
            </w:pict>
          </mc:Fallback>
        </mc:AlternateContent>
      </w:r>
    </w:p>
    <w:p w:rsidR="005F1429" w:rsidRPr="00B16B40" w:rsidRDefault="005F1429" w:rsidP="005F1429">
      <w:pPr>
        <w:spacing w:line="276" w:lineRule="auto"/>
        <w:ind w:right="-89"/>
        <w:rPr>
          <w:rFonts w:eastAsia="Georgia" w:cs="Calibri"/>
          <w:sz w:val="24"/>
          <w:szCs w:val="24"/>
        </w:rPr>
      </w:pPr>
      <w:r w:rsidRPr="00B16B40">
        <w:rPr>
          <w:rFonts w:eastAsia="Georgia" w:cs="Calibri"/>
          <w:b/>
          <w:sz w:val="24"/>
          <w:szCs w:val="24"/>
        </w:rPr>
        <w:t>Skuteczność realizacji Programu,</w:t>
      </w:r>
      <w:r w:rsidRPr="00B16B40">
        <w:rPr>
          <w:rFonts w:eastAsia="Georgia" w:cs="Calibri"/>
          <w:sz w:val="24"/>
          <w:szCs w:val="24"/>
        </w:rPr>
        <w:t xml:space="preserve"> będzie oceniana na podstawie poniższych mierników.</w:t>
      </w:r>
    </w:p>
    <w:p w:rsidR="005F1429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</w:p>
    <w:p w:rsidR="005F1429" w:rsidRPr="00B16B40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  <w:r w:rsidRPr="00B16B40">
        <w:rPr>
          <w:rFonts w:eastAsia="Times New Roman" w:cs="Calibri"/>
          <w:sz w:val="24"/>
          <w:szCs w:val="24"/>
          <w:u w:val="single"/>
        </w:rPr>
        <w:t>Mierniki dot. zadania 1.</w:t>
      </w:r>
    </w:p>
    <w:p w:rsidR="005F1429" w:rsidRPr="00B16B40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</w:rPr>
      </w:pPr>
    </w:p>
    <w:p w:rsidR="005F1429" w:rsidRPr="00B16B40" w:rsidRDefault="005F1429" w:rsidP="005F1429">
      <w:pPr>
        <w:spacing w:line="276" w:lineRule="auto"/>
        <w:ind w:right="-89"/>
        <w:rPr>
          <w:rFonts w:eastAsia="Georgia" w:cs="Calibri"/>
          <w:b/>
          <w:sz w:val="24"/>
          <w:szCs w:val="24"/>
        </w:rPr>
      </w:pPr>
      <w:r w:rsidRPr="00B16B40">
        <w:rPr>
          <w:rFonts w:eastAsia="Georgia" w:cs="Calibri"/>
          <w:b/>
          <w:sz w:val="24"/>
          <w:szCs w:val="24"/>
        </w:rPr>
        <w:t>Koordynator centralny:</w:t>
      </w:r>
    </w:p>
    <w:p w:rsidR="005F1429" w:rsidRPr="00B16B40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120"/>
        <w:gridCol w:w="1420"/>
        <w:gridCol w:w="1400"/>
        <w:gridCol w:w="1560"/>
      </w:tblGrid>
      <w:tr w:rsidR="005F1429" w:rsidRPr="00B16B40" w:rsidTr="002438A6">
        <w:trPr>
          <w:trHeight w:val="1100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16"/>
              <w:jc w:val="center"/>
              <w:rPr>
                <w:rFonts w:eastAsia="Times New Roman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lp.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miernik</w:t>
            </w:r>
            <w:r w:rsidRPr="00B16B40">
              <w:rPr>
                <w:rStyle w:val="Odwoanieprzypisudolnego"/>
                <w:rFonts w:eastAsia="Georgia" w:cs="Calibri"/>
                <w:b/>
                <w:sz w:val="22"/>
              </w:rPr>
              <w:footnoteReference w:id="1"/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(2022)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(2023)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(2024)</w:t>
            </w:r>
          </w:p>
        </w:tc>
      </w:tr>
      <w:tr w:rsidR="005F1429" w:rsidRPr="00B16B40" w:rsidTr="002438A6">
        <w:trPr>
          <w:trHeight w:val="1284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1.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 xml:space="preserve">Liczba lokalnych ośrodków Kibice razem 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18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19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6253A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>
              <w:rPr>
                <w:rFonts w:eastAsia="Times New Roman" w:cs="Calibri"/>
                <w:sz w:val="22"/>
              </w:rPr>
              <w:t>19</w:t>
            </w:r>
          </w:p>
        </w:tc>
      </w:tr>
      <w:tr w:rsidR="005F1429" w:rsidRPr="00B16B40" w:rsidTr="002438A6">
        <w:trPr>
          <w:trHeight w:val="1284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2.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szkoleń dla koordynatorów lokalnych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 xml:space="preserve">Programu KIBICE RAZEM 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3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Georgia" w:cs="Calibri"/>
                <w:w w:val="92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3</w:t>
            </w:r>
          </w:p>
        </w:tc>
      </w:tr>
      <w:tr w:rsidR="005F1429" w:rsidRPr="00B16B40" w:rsidTr="002438A6">
        <w:trPr>
          <w:trHeight w:val="1369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D06508" w:rsidP="002438A6">
            <w:pPr>
              <w:spacing w:line="276" w:lineRule="auto"/>
              <w:jc w:val="center"/>
              <w:rPr>
                <w:rFonts w:eastAsia="Georgia" w:cs="Calibri"/>
                <w:b/>
                <w:w w:val="96"/>
                <w:sz w:val="22"/>
              </w:rPr>
            </w:pPr>
            <w:r>
              <w:rPr>
                <w:rFonts w:eastAsia="Georgia" w:cs="Calibri"/>
                <w:b/>
                <w:w w:val="96"/>
                <w:sz w:val="22"/>
              </w:rPr>
              <w:t>3.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wydarzeń o charakterze regionalnym lub ponadregionalnym zorganizowanych wspólnie przez dwa lub więcej ośrodków KIBICE RAZEM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18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18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w w:val="93"/>
                <w:sz w:val="22"/>
              </w:rPr>
            </w:pPr>
            <w:r w:rsidRPr="00B16B40">
              <w:rPr>
                <w:rFonts w:eastAsia="Georgia" w:cs="Calibri"/>
                <w:w w:val="93"/>
                <w:sz w:val="22"/>
              </w:rPr>
              <w:t>18</w:t>
            </w:r>
          </w:p>
        </w:tc>
      </w:tr>
      <w:tr w:rsidR="005F1429" w:rsidRPr="00B16B40" w:rsidTr="002438A6">
        <w:trPr>
          <w:trHeight w:val="1326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D06508" w:rsidP="002438A6">
            <w:pPr>
              <w:spacing w:line="276" w:lineRule="auto"/>
              <w:jc w:val="center"/>
              <w:rPr>
                <w:rFonts w:eastAsia="Georgia" w:cs="Calibri"/>
                <w:b/>
                <w:w w:val="95"/>
                <w:sz w:val="22"/>
              </w:rPr>
            </w:pPr>
            <w:r>
              <w:rPr>
                <w:rFonts w:eastAsia="Georgia" w:cs="Calibri"/>
                <w:b/>
                <w:w w:val="95"/>
                <w:sz w:val="22"/>
              </w:rPr>
              <w:t>4.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organizacji członkowskich wchodzących w skład Federacji Kibiców Niepełnosprawnych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15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w w:val="95"/>
                <w:sz w:val="22"/>
              </w:rPr>
            </w:pPr>
            <w:r w:rsidRPr="00B16B40">
              <w:rPr>
                <w:rFonts w:eastAsia="Georgia" w:cs="Calibri"/>
                <w:w w:val="95"/>
                <w:sz w:val="22"/>
              </w:rPr>
              <w:t>16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17</w:t>
            </w:r>
          </w:p>
        </w:tc>
      </w:tr>
      <w:tr w:rsidR="005F1429" w:rsidRPr="00B16B40" w:rsidTr="002438A6">
        <w:trPr>
          <w:trHeight w:val="1326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D06508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>
              <w:rPr>
                <w:rFonts w:eastAsia="Georgia" w:cs="Calibri"/>
                <w:b/>
                <w:w w:val="99"/>
                <w:sz w:val="22"/>
              </w:rPr>
              <w:t>5.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widzów z niepełnosprawnościami uczestnicząca w zorganizowanej formie w meczach piłki nożnej szczebla centralnego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3000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3600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4200</w:t>
            </w:r>
          </w:p>
        </w:tc>
      </w:tr>
      <w:tr w:rsidR="005F1429" w:rsidRPr="00B16B40" w:rsidTr="002438A6">
        <w:trPr>
          <w:trHeight w:val="1305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D06508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>
              <w:rPr>
                <w:rFonts w:eastAsia="Georgia" w:cs="Calibri"/>
                <w:b/>
                <w:w w:val="99"/>
                <w:sz w:val="22"/>
              </w:rPr>
              <w:t>6.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suma środków finansowych zewnętrznych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w stosunku do kwoty dotacji ministerstwa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&gt;100%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&gt;100%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&gt;100%</w:t>
            </w:r>
          </w:p>
        </w:tc>
      </w:tr>
    </w:tbl>
    <w:p w:rsidR="005F1429" w:rsidRPr="00B16B40" w:rsidRDefault="005F1429" w:rsidP="005F1429">
      <w:pPr>
        <w:spacing w:line="276" w:lineRule="auto"/>
        <w:rPr>
          <w:rFonts w:eastAsia="Times New Roman" w:cs="Calibri"/>
          <w:b/>
          <w:sz w:val="24"/>
          <w:szCs w:val="24"/>
        </w:rPr>
      </w:pPr>
    </w:p>
    <w:p w:rsidR="005F1429" w:rsidRPr="00B16B40" w:rsidRDefault="005F1429" w:rsidP="005F1429">
      <w:pPr>
        <w:spacing w:line="276" w:lineRule="auto"/>
        <w:rPr>
          <w:rFonts w:eastAsia="Georgia" w:cs="Calibri"/>
          <w:b/>
          <w:sz w:val="16"/>
        </w:rPr>
      </w:pPr>
      <w:r w:rsidRPr="00B16B40">
        <w:rPr>
          <w:rFonts w:eastAsia="Georgia" w:cs="Calibri"/>
          <w:b/>
          <w:sz w:val="24"/>
        </w:rPr>
        <w:t>Koordynatorzy lokalnych ośrodków:</w:t>
      </w:r>
    </w:p>
    <w:p w:rsidR="005F1429" w:rsidRPr="00B16B40" w:rsidRDefault="005F1429" w:rsidP="005F1429">
      <w:pPr>
        <w:spacing w:line="276" w:lineRule="auto"/>
        <w:rPr>
          <w:rFonts w:eastAsia="Times New Roman" w:cs="Calibri"/>
          <w:sz w:val="24"/>
          <w:szCs w:val="24"/>
        </w:rPr>
      </w:pPr>
    </w:p>
    <w:tbl>
      <w:tblPr>
        <w:tblW w:w="0" w:type="auto"/>
        <w:tblInd w:w="410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4265"/>
        <w:gridCol w:w="1275"/>
        <w:gridCol w:w="1400"/>
        <w:gridCol w:w="1560"/>
      </w:tblGrid>
      <w:tr w:rsidR="005F1429" w:rsidRPr="00B16B40" w:rsidTr="002438A6">
        <w:trPr>
          <w:trHeight w:val="805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lastRenderedPageBreak/>
              <w:t>lp.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miernik</w:t>
            </w:r>
            <w:r w:rsidRPr="00A9075D">
              <w:rPr>
                <w:b/>
                <w:sz w:val="24"/>
                <w:vertAlign w:val="superscript"/>
              </w:rPr>
              <w:footnoteReference w:id="2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(2022)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(2023)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B16B40">
              <w:rPr>
                <w:rFonts w:eastAsia="Georgia" w:cs="Calibri"/>
                <w:b/>
                <w:sz w:val="22"/>
              </w:rPr>
              <w:t>(2024)</w:t>
            </w:r>
          </w:p>
        </w:tc>
      </w:tr>
      <w:tr w:rsidR="005F1429" w:rsidRPr="00B16B40" w:rsidTr="002438A6">
        <w:trPr>
          <w:trHeight w:val="1075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1.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 xml:space="preserve">liczba organizacji realizujących projekty we współpracy z lokalnym ośrodkiem 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KIBICE 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12</w:t>
            </w:r>
          </w:p>
        </w:tc>
      </w:tr>
      <w:tr w:rsidR="005F1429" w:rsidRPr="00B16B40" w:rsidTr="002438A6">
        <w:trPr>
          <w:trHeight w:val="1115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2.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artykułów w prasie, relacji w mediach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oraz wpisów w mediach społecznościowych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na temat działań ośrodka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24</w:t>
            </w:r>
          </w:p>
        </w:tc>
      </w:tr>
      <w:tr w:rsidR="005F1429" w:rsidRPr="00B16B40" w:rsidTr="002438A6">
        <w:trPr>
          <w:trHeight w:val="1135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3.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artykułów na temat pracy ośrodka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opublikowanych przez koordynatorów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na stronie internetowej Programu KIBICE RAZEM oraz w mediach społecznościowych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48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48</w:t>
            </w:r>
          </w:p>
        </w:tc>
      </w:tr>
      <w:tr w:rsidR="005F1429" w:rsidRPr="00B16B40" w:rsidTr="002438A6">
        <w:trPr>
          <w:trHeight w:val="1291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4.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wniosków o dofinansowanie zewnętrzne złożonych samodzielnie lub w ramach partnerstwa przez lokalnego operatora Programu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</w:tr>
      <w:tr w:rsidR="005F1429" w:rsidRPr="00B16B40" w:rsidTr="002438A6">
        <w:trPr>
          <w:trHeight w:val="1056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5.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sponsorów pozyskanych przez koordynatorów lub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operatora lokalnego ośrodka KIBICE 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7</w:t>
            </w:r>
          </w:p>
        </w:tc>
      </w:tr>
      <w:tr w:rsidR="005F1429" w:rsidRPr="00B16B40" w:rsidTr="002438A6">
        <w:trPr>
          <w:trHeight w:val="774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6.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wolontariuszy współpracujących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z lokalnym ośrodkiem KIBICE 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9</w:t>
            </w:r>
          </w:p>
        </w:tc>
      </w:tr>
      <w:tr w:rsidR="005F1429" w:rsidRPr="00B16B40" w:rsidTr="002438A6">
        <w:trPr>
          <w:trHeight w:val="1325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7.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imprez sportowych zorganizowanych we współpracy ze stowarzyszeniem kibiców lub klubem dla co najmniej 30 uczestników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</w:tr>
      <w:tr w:rsidR="005F1429" w:rsidRPr="00B16B40" w:rsidTr="002438A6">
        <w:trPr>
          <w:trHeight w:val="779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8.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warsztatów dla kibiców podnoszących ich kompetencje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12</w:t>
            </w:r>
          </w:p>
        </w:tc>
      </w:tr>
      <w:tr w:rsidR="005F1429" w:rsidRPr="00B16B40" w:rsidTr="002438A6">
        <w:trPr>
          <w:trHeight w:val="1343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9.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imprez upamiętniających wydarzenia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ważne dla kibiców i historii klubu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zorganizowanych we współpracy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ze stowarzyszeniem kibiców lub klubem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</w:tr>
      <w:tr w:rsidR="005F1429" w:rsidRPr="00B16B40" w:rsidTr="002438A6">
        <w:trPr>
          <w:trHeight w:val="1396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10.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udział w inicjatywach wspólnych z udziałem dwóch lub większej ilości ośrodków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KIBICE 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</w:tr>
      <w:tr w:rsidR="005F1429" w:rsidRPr="00B16B40" w:rsidTr="002438A6">
        <w:trPr>
          <w:trHeight w:val="1082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11.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organizacja wyjść i wyjazdów na wydarzenia sportowe dla osób zagrożonych wykluczeniem społecznym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6</w:t>
            </w:r>
          </w:p>
        </w:tc>
      </w:tr>
      <w:tr w:rsidR="005F1429" w:rsidRPr="00B16B40" w:rsidTr="002438A6">
        <w:trPr>
          <w:trHeight w:val="772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12.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zrealizowanych akcji związanych z promocją symboli narodowych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1</w:t>
            </w:r>
          </w:p>
        </w:tc>
      </w:tr>
      <w:tr w:rsidR="005F1429" w:rsidRPr="00B16B40" w:rsidTr="002438A6">
        <w:trPr>
          <w:trHeight w:val="1054"/>
        </w:trPr>
        <w:tc>
          <w:tcPr>
            <w:tcW w:w="58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9"/>
                <w:sz w:val="22"/>
              </w:rPr>
            </w:pPr>
            <w:r w:rsidRPr="00B16B40">
              <w:rPr>
                <w:rFonts w:eastAsia="Georgia" w:cs="Calibri"/>
                <w:b/>
                <w:w w:val="99"/>
                <w:sz w:val="22"/>
              </w:rPr>
              <w:t>13.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liczba akcji charytatywnych organizowanych lub współorganizowanych</w:t>
            </w:r>
          </w:p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B16B40">
              <w:rPr>
                <w:rFonts w:eastAsia="Georgia" w:cs="Calibri"/>
                <w:sz w:val="22"/>
              </w:rPr>
              <w:t>przez ośrodek KIBICE 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B16B40">
              <w:rPr>
                <w:rFonts w:eastAsia="Times New Roman" w:cs="Calibri"/>
                <w:sz w:val="22"/>
              </w:rPr>
              <w:t>2</w:t>
            </w:r>
          </w:p>
        </w:tc>
      </w:tr>
    </w:tbl>
    <w:p w:rsidR="005F1429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</w:p>
    <w:p w:rsidR="005F1429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</w:p>
    <w:p w:rsidR="005F1429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</w:p>
    <w:p w:rsidR="005F1429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</w:p>
    <w:p w:rsidR="005F1429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</w:p>
    <w:p w:rsidR="005F1429" w:rsidRPr="00FB2AED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  <w:u w:val="single"/>
        </w:rPr>
      </w:pPr>
      <w:r w:rsidRPr="00FB2AED">
        <w:rPr>
          <w:rFonts w:eastAsia="Times New Roman" w:cs="Calibri"/>
          <w:sz w:val="24"/>
          <w:szCs w:val="24"/>
          <w:u w:val="single"/>
        </w:rPr>
        <w:t>Mierniki dot. zadania 2.</w:t>
      </w:r>
    </w:p>
    <w:p w:rsidR="005F1429" w:rsidRPr="00A9075D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</w:rPr>
      </w:pPr>
    </w:p>
    <w:p w:rsidR="005F1429" w:rsidRPr="00A9075D" w:rsidRDefault="005F1429" w:rsidP="005F1429">
      <w:pPr>
        <w:spacing w:line="276" w:lineRule="auto"/>
        <w:ind w:right="-89"/>
        <w:rPr>
          <w:rFonts w:eastAsia="Times New Roman" w:cs="Calibri"/>
          <w:sz w:val="24"/>
          <w:szCs w:val="24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120"/>
        <w:gridCol w:w="1420"/>
        <w:gridCol w:w="1400"/>
        <w:gridCol w:w="1560"/>
      </w:tblGrid>
      <w:tr w:rsidR="005F1429" w:rsidRPr="00A9075D" w:rsidTr="002438A6">
        <w:trPr>
          <w:trHeight w:val="1100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ind w:left="16"/>
              <w:jc w:val="center"/>
              <w:rPr>
                <w:rFonts w:eastAsia="Times New Roman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lp.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miernik</w:t>
            </w:r>
            <w:r w:rsidRPr="00A9075D">
              <w:rPr>
                <w:rStyle w:val="Odwoanieprzypisudolnego"/>
                <w:rFonts w:eastAsia="Georgia" w:cs="Calibri"/>
                <w:b/>
                <w:sz w:val="22"/>
              </w:rPr>
              <w:footnoteReference w:id="3"/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(2022)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(2023)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wartość</w:t>
            </w:r>
          </w:p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docelowa</w:t>
            </w:r>
          </w:p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sz w:val="22"/>
              </w:rPr>
              <w:t>(2024)</w:t>
            </w:r>
          </w:p>
        </w:tc>
      </w:tr>
      <w:tr w:rsidR="005F1429" w:rsidRPr="00A9075D" w:rsidTr="002438A6">
        <w:trPr>
          <w:trHeight w:val="1284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Times New Roman" w:cs="Calibri"/>
                <w:b/>
                <w:sz w:val="22"/>
              </w:rPr>
            </w:pPr>
            <w:r w:rsidRPr="00A9075D">
              <w:rPr>
                <w:rFonts w:eastAsia="Georgia" w:cs="Calibri"/>
                <w:b/>
                <w:w w:val="99"/>
                <w:sz w:val="22"/>
              </w:rPr>
              <w:t>1.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 w:rsidRPr="00A9075D">
              <w:rPr>
                <w:rFonts w:eastAsia="Georgia" w:cs="Calibri"/>
                <w:sz w:val="22"/>
              </w:rPr>
              <w:t>liczba zrealizowanych akcji związanych z promocją</w:t>
            </w:r>
            <w:r>
              <w:rPr>
                <w:rFonts w:eastAsia="Georgia" w:cs="Calibri"/>
                <w:sz w:val="22"/>
              </w:rPr>
              <w:t xml:space="preserve"> programu KIBICE </w:t>
            </w:r>
            <w:r>
              <w:rPr>
                <w:rFonts w:eastAsia="Georgia" w:cs="Calibri"/>
                <w:sz w:val="22"/>
              </w:rPr>
              <w:br/>
              <w:t>RAZEM 2022-24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>
              <w:rPr>
                <w:rFonts w:eastAsia="Times New Roman" w:cs="Calibri"/>
                <w:sz w:val="22"/>
              </w:rPr>
              <w:t>12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>
              <w:rPr>
                <w:rFonts w:eastAsia="Times New Roman" w:cs="Calibri"/>
                <w:sz w:val="22"/>
              </w:rPr>
              <w:t>15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Times New Roman" w:cs="Calibri"/>
                <w:sz w:val="22"/>
              </w:rPr>
            </w:pPr>
            <w:r>
              <w:rPr>
                <w:rFonts w:eastAsia="Times New Roman" w:cs="Calibri"/>
                <w:sz w:val="22"/>
              </w:rPr>
              <w:t>18</w:t>
            </w:r>
          </w:p>
        </w:tc>
      </w:tr>
      <w:tr w:rsidR="005F1429" w:rsidRPr="00A9075D" w:rsidTr="002438A6">
        <w:trPr>
          <w:trHeight w:val="1369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6"/>
                <w:sz w:val="22"/>
              </w:rPr>
            </w:pPr>
            <w:r w:rsidRPr="00A9075D">
              <w:rPr>
                <w:rFonts w:eastAsia="Georgia" w:cs="Calibri"/>
                <w:b/>
                <w:w w:val="96"/>
                <w:sz w:val="22"/>
              </w:rPr>
              <w:t>2.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 xml:space="preserve">Łączna liczba odsłon w </w:t>
            </w:r>
            <w:proofErr w:type="spellStart"/>
            <w:r>
              <w:rPr>
                <w:rFonts w:eastAsia="Georgia" w:cs="Calibri"/>
                <w:sz w:val="22"/>
              </w:rPr>
              <w:t>internecie</w:t>
            </w:r>
            <w:proofErr w:type="spellEnd"/>
            <w:r>
              <w:rPr>
                <w:rFonts w:eastAsia="Georgia" w:cs="Calibri"/>
                <w:sz w:val="22"/>
              </w:rPr>
              <w:t xml:space="preserve"> materiałów promocyjnych dotyczących programu 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>150 tyś.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>200 tyś.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w w:val="93"/>
                <w:sz w:val="22"/>
              </w:rPr>
            </w:pPr>
            <w:r>
              <w:rPr>
                <w:rFonts w:eastAsia="Georgia" w:cs="Calibri"/>
                <w:w w:val="93"/>
                <w:sz w:val="22"/>
              </w:rPr>
              <w:t>250 tyś.</w:t>
            </w:r>
          </w:p>
        </w:tc>
      </w:tr>
      <w:tr w:rsidR="005F1429" w:rsidRPr="00A9075D" w:rsidTr="002438A6">
        <w:trPr>
          <w:trHeight w:val="1307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7"/>
                <w:sz w:val="22"/>
              </w:rPr>
            </w:pPr>
            <w:r w:rsidRPr="00A9075D">
              <w:rPr>
                <w:rFonts w:eastAsia="Georgia" w:cs="Calibri"/>
                <w:b/>
                <w:w w:val="97"/>
                <w:sz w:val="22"/>
              </w:rPr>
              <w:t>3.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ind w:left="80"/>
              <w:rPr>
                <w:rFonts w:eastAsia="Georgia" w:cs="Calibri"/>
                <w:color w:val="000000"/>
                <w:sz w:val="22"/>
              </w:rPr>
            </w:pPr>
            <w:r w:rsidRPr="00B16B40">
              <w:rPr>
                <w:rFonts w:eastAsia="Georgia" w:cs="Calibri"/>
                <w:color w:val="000000"/>
                <w:sz w:val="22"/>
              </w:rPr>
              <w:t>liczba wydarzeń o charakterze międzynarodowym mających na celu wymianę dobrych praktyk oraz promocję Programu KIBICE RAZEM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color w:val="000000"/>
                <w:w w:val="88"/>
                <w:sz w:val="22"/>
              </w:rPr>
            </w:pPr>
            <w:r w:rsidRPr="00B16B40">
              <w:rPr>
                <w:rFonts w:eastAsia="Georgia" w:cs="Calibri"/>
                <w:color w:val="000000"/>
                <w:w w:val="88"/>
                <w:sz w:val="22"/>
              </w:rPr>
              <w:t>1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color w:val="000000"/>
                <w:sz w:val="22"/>
              </w:rPr>
            </w:pPr>
            <w:r w:rsidRPr="00B16B40">
              <w:rPr>
                <w:rFonts w:eastAsia="Georgia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B16B40" w:rsidRDefault="005F1429" w:rsidP="002438A6">
            <w:pPr>
              <w:spacing w:line="276" w:lineRule="auto"/>
              <w:jc w:val="center"/>
              <w:rPr>
                <w:rFonts w:eastAsia="Georgia" w:cs="Calibri"/>
                <w:color w:val="000000"/>
                <w:w w:val="88"/>
                <w:sz w:val="22"/>
              </w:rPr>
            </w:pPr>
            <w:r w:rsidRPr="00B16B40">
              <w:rPr>
                <w:rFonts w:eastAsia="Georgia" w:cs="Calibri"/>
                <w:color w:val="000000"/>
                <w:w w:val="88"/>
                <w:sz w:val="22"/>
              </w:rPr>
              <w:t>1</w:t>
            </w:r>
          </w:p>
        </w:tc>
      </w:tr>
      <w:tr w:rsidR="005F1429" w:rsidRPr="00A9075D" w:rsidTr="002438A6">
        <w:trPr>
          <w:trHeight w:val="1326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5"/>
                <w:sz w:val="22"/>
              </w:rPr>
            </w:pPr>
            <w:r w:rsidRPr="00A9075D">
              <w:rPr>
                <w:rFonts w:eastAsia="Georgia" w:cs="Calibri"/>
                <w:b/>
                <w:w w:val="95"/>
                <w:sz w:val="22"/>
              </w:rPr>
              <w:t>4.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 xml:space="preserve">Liczba meczów reprezentacji Polski seniorów na których podjęto działania promocyjne programu 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>3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w w:val="95"/>
                <w:sz w:val="22"/>
              </w:rPr>
            </w:pPr>
            <w:r>
              <w:rPr>
                <w:rFonts w:eastAsia="Georgia" w:cs="Calibri"/>
                <w:w w:val="95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>4</w:t>
            </w:r>
          </w:p>
        </w:tc>
      </w:tr>
      <w:tr w:rsidR="005F1429" w:rsidRPr="00A9075D" w:rsidTr="002438A6">
        <w:trPr>
          <w:trHeight w:val="1326"/>
        </w:trPr>
        <w:tc>
          <w:tcPr>
            <w:tcW w:w="5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b/>
                <w:w w:val="95"/>
                <w:sz w:val="22"/>
              </w:rPr>
            </w:pPr>
            <w:r>
              <w:rPr>
                <w:rFonts w:eastAsia="Georgia" w:cs="Calibri"/>
                <w:b/>
                <w:w w:val="95"/>
                <w:sz w:val="22"/>
              </w:rPr>
              <w:t>5.</w:t>
            </w:r>
          </w:p>
        </w:tc>
        <w:tc>
          <w:tcPr>
            <w:tcW w:w="41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ind w:left="80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 xml:space="preserve">Liczba działań lokalnych ośrodków objętych obsługą medialną </w:t>
            </w:r>
          </w:p>
        </w:tc>
        <w:tc>
          <w:tcPr>
            <w:tcW w:w="14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>18</w:t>
            </w:r>
          </w:p>
        </w:tc>
        <w:tc>
          <w:tcPr>
            <w:tcW w:w="14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5F1429" w:rsidP="002438A6">
            <w:pPr>
              <w:spacing w:line="276" w:lineRule="auto"/>
              <w:jc w:val="center"/>
              <w:rPr>
                <w:rFonts w:eastAsia="Georgia" w:cs="Calibri"/>
                <w:w w:val="95"/>
                <w:sz w:val="22"/>
              </w:rPr>
            </w:pPr>
            <w:r>
              <w:rPr>
                <w:rFonts w:eastAsia="Georgia" w:cs="Calibri"/>
                <w:w w:val="95"/>
                <w:sz w:val="22"/>
              </w:rPr>
              <w:t>19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5F1429" w:rsidRPr="00A9075D" w:rsidRDefault="00415486" w:rsidP="002438A6">
            <w:pPr>
              <w:spacing w:line="276" w:lineRule="auto"/>
              <w:jc w:val="center"/>
              <w:rPr>
                <w:rFonts w:eastAsia="Georgia" w:cs="Calibri"/>
                <w:sz w:val="22"/>
              </w:rPr>
            </w:pPr>
            <w:r>
              <w:rPr>
                <w:rFonts w:eastAsia="Georgia" w:cs="Calibri"/>
                <w:sz w:val="22"/>
              </w:rPr>
              <w:t>19</w:t>
            </w:r>
          </w:p>
        </w:tc>
      </w:tr>
    </w:tbl>
    <w:p w:rsidR="00424E9A" w:rsidRDefault="00424E9A">
      <w:bookmarkStart w:id="0" w:name="_GoBack"/>
      <w:bookmarkEnd w:id="0"/>
    </w:p>
    <w:sectPr w:rsidR="00424E9A" w:rsidSect="0036276A">
      <w:pgSz w:w="11900" w:h="16838"/>
      <w:pgMar w:top="787" w:right="1046" w:bottom="1418" w:left="1020" w:header="0" w:footer="0" w:gutter="0"/>
      <w:pgNumType w:start="1"/>
      <w:cols w:space="0" w:equalWidth="0">
        <w:col w:w="9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29" w:rsidRDefault="005F1429" w:rsidP="005F1429">
      <w:r>
        <w:separator/>
      </w:r>
    </w:p>
  </w:endnote>
  <w:endnote w:type="continuationSeparator" w:id="0">
    <w:p w:rsidR="005F1429" w:rsidRDefault="005F1429" w:rsidP="005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29" w:rsidRDefault="005F1429" w:rsidP="005F1429">
      <w:r>
        <w:separator/>
      </w:r>
    </w:p>
  </w:footnote>
  <w:footnote w:type="continuationSeparator" w:id="0">
    <w:p w:rsidR="005F1429" w:rsidRDefault="005F1429" w:rsidP="005F1429">
      <w:r>
        <w:continuationSeparator/>
      </w:r>
    </w:p>
  </w:footnote>
  <w:footnote w:id="1">
    <w:p w:rsidR="005F1429" w:rsidRDefault="005F1429" w:rsidP="005F1429">
      <w:pPr>
        <w:pStyle w:val="Tekstprzypisudolnego"/>
      </w:pPr>
      <w:r>
        <w:rPr>
          <w:rStyle w:val="Odwoanieprzypisudolnego"/>
        </w:rPr>
        <w:footnoteRef/>
      </w:r>
      <w:r>
        <w:t xml:space="preserve"> Wartości docelowe wszystkich mierników podano w ujęciu rocznym </w:t>
      </w:r>
    </w:p>
  </w:footnote>
  <w:footnote w:id="2">
    <w:p w:rsidR="005F1429" w:rsidRDefault="005F1429" w:rsidP="005F1429">
      <w:pPr>
        <w:pStyle w:val="Tekstprzypisudolnego"/>
      </w:pPr>
      <w:r>
        <w:rPr>
          <w:rStyle w:val="Odwoanieprzypisudolnego"/>
        </w:rPr>
        <w:footnoteRef/>
      </w:r>
      <w:r>
        <w:t xml:space="preserve"> Wartości docelowe wszystkich mierników podano w ujęciu rocznym</w:t>
      </w:r>
    </w:p>
  </w:footnote>
  <w:footnote w:id="3">
    <w:p w:rsidR="005F1429" w:rsidRDefault="005F1429" w:rsidP="005F1429">
      <w:pPr>
        <w:pStyle w:val="Tekstprzypisudolnego"/>
      </w:pPr>
      <w:r>
        <w:rPr>
          <w:rStyle w:val="Odwoanieprzypisudolnego"/>
        </w:rPr>
        <w:footnoteRef/>
      </w:r>
      <w:r>
        <w:t xml:space="preserve"> Wartości docelowe wszystkich mierników podano w ujęciu rocznym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7646"/>
    <w:multiLevelType w:val="hybridMultilevel"/>
    <w:tmpl w:val="656C68EC"/>
    <w:lvl w:ilvl="0" w:tplc="21D67E1C">
      <w:start w:val="13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EEF22B3"/>
    <w:multiLevelType w:val="hybridMultilevel"/>
    <w:tmpl w:val="FA6E0BD4"/>
    <w:lvl w:ilvl="0" w:tplc="356AAAC2">
      <w:start w:val="1"/>
      <w:numFmt w:val="upperRoman"/>
      <w:pStyle w:val="KRNagwek"/>
      <w:lvlText w:val="%1."/>
      <w:lvlJc w:val="right"/>
      <w:pPr>
        <w:ind w:left="785" w:hanging="360"/>
      </w:pPr>
      <w:rPr>
        <w:rFonts w:ascii="Calibri" w:hAnsi="Calibri" w:cs="Calibri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993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6CA74A">
      <w:start w:val="1"/>
      <w:numFmt w:val="lowerLetter"/>
      <w:pStyle w:val="KRNagwek2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29"/>
    <w:rsid w:val="00171021"/>
    <w:rsid w:val="00415486"/>
    <w:rsid w:val="00424E9A"/>
    <w:rsid w:val="005F1429"/>
    <w:rsid w:val="006253A9"/>
    <w:rsid w:val="00791E9C"/>
    <w:rsid w:val="00D029B7"/>
    <w:rsid w:val="00D06508"/>
    <w:rsid w:val="00E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3DA7"/>
  <w15:chartTrackingRefBased/>
  <w15:docId w15:val="{3207B32C-CED5-46EE-A6E9-FCBC0F4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42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F142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1429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F1429"/>
    <w:rPr>
      <w:vertAlign w:val="superscript"/>
    </w:rPr>
  </w:style>
  <w:style w:type="paragraph" w:customStyle="1" w:styleId="KRNagwek">
    <w:name w:val="KRNagłówek"/>
    <w:basedOn w:val="Normalny"/>
    <w:qFormat/>
    <w:rsid w:val="005F1429"/>
    <w:pPr>
      <w:numPr>
        <w:numId w:val="1"/>
      </w:numPr>
      <w:tabs>
        <w:tab w:val="left" w:pos="960"/>
      </w:tabs>
      <w:spacing w:line="276" w:lineRule="auto"/>
    </w:pPr>
    <w:rPr>
      <w:rFonts w:ascii="Georgia" w:eastAsia="Georgia" w:hAnsi="Georgia"/>
      <w:b/>
      <w:color w:val="FF9933"/>
      <w:sz w:val="26"/>
    </w:rPr>
  </w:style>
  <w:style w:type="paragraph" w:customStyle="1" w:styleId="KRNagwek2">
    <w:name w:val="KRNagłówek 2"/>
    <w:basedOn w:val="KRNagwek"/>
    <w:qFormat/>
    <w:rsid w:val="005F1429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Gierak</dc:creator>
  <cp:keywords/>
  <dc:description/>
  <cp:lastModifiedBy>Katarzyna Gierak</cp:lastModifiedBy>
  <cp:revision>8</cp:revision>
  <dcterms:created xsi:type="dcterms:W3CDTF">2024-02-07T12:08:00Z</dcterms:created>
  <dcterms:modified xsi:type="dcterms:W3CDTF">2024-05-27T10:23:00Z</dcterms:modified>
</cp:coreProperties>
</file>