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AC" w:rsidRDefault="00DF353D" w:rsidP="00DF353D">
      <w:pPr>
        <w:ind w:left="284" w:hanging="284"/>
        <w:jc w:val="center"/>
        <w:rPr>
          <w:b/>
          <w:lang w:val="pl-PL"/>
        </w:rPr>
      </w:pPr>
      <w:r w:rsidRPr="00DF353D">
        <w:rPr>
          <w:b/>
          <w:lang w:val="pl-PL"/>
        </w:rPr>
        <w:t>UNORMOWANIA</w:t>
      </w:r>
    </w:p>
    <w:p w:rsidR="00DF353D" w:rsidRPr="00DF353D" w:rsidRDefault="00DF353D" w:rsidP="00DF353D">
      <w:pPr>
        <w:ind w:left="284" w:hanging="284"/>
        <w:jc w:val="both"/>
        <w:rPr>
          <w:lang w:val="pl-PL"/>
        </w:rPr>
      </w:pPr>
      <w:r>
        <w:rPr>
          <w:lang w:val="pl-PL"/>
        </w:rPr>
        <w:t xml:space="preserve">1. </w:t>
      </w:r>
      <w:r w:rsidRPr="00DF353D">
        <w:rPr>
          <w:lang w:val="pl-PL"/>
        </w:rPr>
        <w:t>Unormowania, których zobowiązany będzie w szczególności przestrzegać Wykonawca przy r</w:t>
      </w:r>
      <w:r>
        <w:rPr>
          <w:lang w:val="pl-PL"/>
        </w:rPr>
        <w:t>ealizacji przedmiotu zamówienia:</w:t>
      </w:r>
    </w:p>
    <w:p w:rsidR="00DF353D" w:rsidRPr="00DF353D" w:rsidRDefault="00DF353D" w:rsidP="00DF353D">
      <w:pPr>
        <w:ind w:left="426" w:hanging="426"/>
        <w:jc w:val="both"/>
        <w:rPr>
          <w:lang w:val="pl-PL"/>
        </w:rPr>
      </w:pPr>
      <w:r w:rsidRPr="00DF353D">
        <w:rPr>
          <w:lang w:val="pl-PL"/>
        </w:rPr>
        <w:t>1)</w:t>
      </w:r>
      <w:r w:rsidRPr="00DF353D">
        <w:rPr>
          <w:lang w:val="pl-PL"/>
        </w:rPr>
        <w:tab/>
        <w:t xml:space="preserve">Podstawowe akty prawne: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 xml:space="preserve">- </w:t>
      </w:r>
      <w:r w:rsidRPr="00DF353D">
        <w:rPr>
          <w:lang w:val="pl-PL"/>
        </w:rPr>
        <w:tab/>
        <w:t xml:space="preserve">ustawa z dnia 28 września 1991 r. o lasach (tekst jedn.: Dz. U. z 2021 r. poz. 1275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ustawa z dnia 16 kwietnia 2004 r. o ochronie przyrody (tekst jedn.: Dz. U. z 2021 r. poz. 1098 ),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ustawa z dnia 13 lutego 2020 r. o ochronie roślin przed </w:t>
      </w:r>
      <w:proofErr w:type="spellStart"/>
      <w:r w:rsidRPr="00DF353D">
        <w:rPr>
          <w:lang w:val="pl-PL"/>
        </w:rPr>
        <w:t>agrofagami</w:t>
      </w:r>
      <w:proofErr w:type="spellEnd"/>
      <w:r w:rsidRPr="00DF353D">
        <w:rPr>
          <w:lang w:val="pl-PL"/>
        </w:rPr>
        <w:t xml:space="preserve"> (tekst jedn.: Dz. U.: z 2021 r. poz. 256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ustawa z dnia 25 lutego 2011 r. o substancjach chemicznych i ich mieszaninach (tekst jedn.: Dz. U. z 2020 r. poz. 2289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 xml:space="preserve">. zm.),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ustawa z dnia 21 grudnia 2000 r. o dozorze technicznym (tekst jedn.: Dz. U. z 2021 r. poz. 272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 xml:space="preserve">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 xml:space="preserve">- </w:t>
      </w:r>
      <w:r w:rsidRPr="00DF353D">
        <w:rPr>
          <w:lang w:val="pl-PL"/>
        </w:rPr>
        <w:tab/>
        <w:t xml:space="preserve">ustawa z dnia 8 marca 2013 r. o środkach ochrony roślin (tekst jedn.: Dz.U. z 2020 r. poz. 2097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Rolnictwa i Rozwoju Wsi z dnia 24 czerwca 2002 r. w sprawie bezpieczeństwa i higieny pracy przy stosowaniu i magazynowaniu środków ochrony roślin oraz nawozów mineralnych organiczno-mineralnych (Dz. U. z 2002 r. Nr 99, poz. 896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Gospodarki z dnia 30 października 2002 r. w sprawie minimalnych wymagań dotyczących bezpieczeństwa i higieny pracy w zakresie użytkowania maszyn przez pracowników podczas pracy (Dz. U. z 2002 r. Nr 191 poz. 1596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Pracy i Polityki Socjalnej z dnia 26 września 1997 r. w sprawie ogólnych przepisów bezpieczeństwa i higieny pracy (tekst jedn.: Dz. U. z 2003 r. Nr 169, poz. 1650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Ministra Ochrony Środowiska, Zasobów Naturalnyc</w:t>
      </w:r>
      <w:r>
        <w:rPr>
          <w:lang w:val="pl-PL"/>
        </w:rPr>
        <w:t xml:space="preserve">h </w:t>
      </w:r>
      <w:r w:rsidRPr="00DF353D">
        <w:rPr>
          <w:lang w:val="pl-PL"/>
        </w:rPr>
        <w:t xml:space="preserve">i Leśnictwa z dnia 6 stycznia 1998 r. w sprawie określenia wzoru znaku zakazu wstępu do lasu oraz zasad jego umieszczania (Dz. U. z 1998 r. Nr 11, poz. 39),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Rolnictwa i Rozwoju Wsi z dnia 8 maja 2013 r.  w sprawie szkoleń w zakresie środków ochrony roślin (Dz. U. z 2013 r. poz. 554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 xml:space="preserve">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Ministra Rolnictwa i Rozwoju Wsi z dnia 22 maja 2013 r. w sprawie sposobu postępowania przy stosowaniu i przechowywaniu środków ochrony roślin (Dz. U. z 2013 r. poz. 625),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lastRenderedPageBreak/>
        <w:t>-</w:t>
      </w:r>
      <w:r w:rsidRPr="00DF353D">
        <w:rPr>
          <w:lang w:val="pl-PL"/>
        </w:rPr>
        <w:tab/>
        <w:t>rozporządzenie Ministra Środowiska z dnia 24 sierpnia 2006 r. w sprawie bezpieczeństwa i higieny pracy przy wykonywaniu niektórych prac z zakresu gospodarki leśnej (Dz. U. z 2006 r. Nr 161, poz. 1141),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Środowiska z dnia 22 marca 2006 r. w sprawie szczegółowych zasad zabezpieczenia przeciwpożarowego lasów (Dz. U. z 2006 r. Nr 58, poz. 405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Spraw Wewnętrznych i Administracji z dnia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 xml:space="preserve">7 czerwca 2010 r. w sprawie ochrony przeciwpożarowej budynków, innych obiektów budowlanych i terenów (Dz. U. z 2010 r. Nr 109, poz. 719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Ministra Rolnictwa i Rozwoju Wsi z dnia 18 grudnia 2013 r. w sprawie wymagań dotyczących sprawności technicznej sprzętu przeznaczonego do stosowania środków ochrony roślin (tekst jedn.: Dz.U. z 2016 r. poz. 760),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rozporządzenie Ministra Rolnictwa i Rozwoju Wsi z dnia 13 grudnia 2013 r. w sprawie potwierdzania sprawności technicznej sprzętu przeznaczonego do stosowania środków ochrony roślin (tekst jedn.: Dz. U. z 2021 r. poz. 775 z </w:t>
      </w:r>
      <w:proofErr w:type="spellStart"/>
      <w:r w:rsidRPr="00DF353D">
        <w:rPr>
          <w:lang w:val="pl-PL"/>
        </w:rPr>
        <w:t>późn</w:t>
      </w:r>
      <w:proofErr w:type="spellEnd"/>
      <w:r w:rsidRPr="00DF353D">
        <w:rPr>
          <w:lang w:val="pl-PL"/>
        </w:rPr>
        <w:t>. zm.),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Rady Ministrów z dnia 1 lipca 2009 r. w sprawie ustalania okoliczności i przyczyn wypadków przy pracy (Dz. U. z 2009 r. Nr 105, poz. 870),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rozporządzenie Ministra Środowiska z dnia 18 grudnia 2017 r. w sprawie wymagań dobrej praktyki w zakresie gospodarki leśnej (Dz. U. z 2017 r. poz. 2408),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ustawa z dnia 26 czerwca 1974 r. – Kodeks pracy (</w:t>
      </w:r>
      <w:proofErr w:type="spellStart"/>
      <w:r w:rsidRPr="00DF353D">
        <w:rPr>
          <w:lang w:val="pl-PL"/>
        </w:rPr>
        <w:t>t.j</w:t>
      </w:r>
      <w:proofErr w:type="spellEnd"/>
      <w:r w:rsidRPr="00DF353D">
        <w:rPr>
          <w:lang w:val="pl-PL"/>
        </w:rPr>
        <w:t>. Dz.U. z 2020r.poz.1320 ze zm.).</w:t>
      </w:r>
    </w:p>
    <w:p w:rsidR="00DF353D" w:rsidRPr="00DF353D" w:rsidRDefault="00DF353D" w:rsidP="00DF353D">
      <w:pPr>
        <w:ind w:left="426" w:hanging="426"/>
        <w:jc w:val="both"/>
        <w:rPr>
          <w:lang w:val="pl-PL"/>
        </w:rPr>
      </w:pPr>
      <w:r w:rsidRPr="00DF353D">
        <w:rPr>
          <w:lang w:val="pl-PL"/>
        </w:rPr>
        <w:t>2)</w:t>
      </w:r>
      <w:r w:rsidRPr="00DF353D">
        <w:rPr>
          <w:lang w:val="pl-PL"/>
        </w:rPr>
        <w:tab/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„Zasady hodowli lasu” – wprowadzone zarządzeniem Nr 53 Dyrektora Generalnego Lasów Państwowych z dnia 21 listopada 2011 r.,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„Instrukcja ochrony lasu” – wprowadzona zarządzeniem nr 57 Dyrektora Generalnego Lasów Państwowych z dnia 22 listopada 2011 r.,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„Instrukcja bezpieczeństwa i higieny pracy przy wykonywaniu podstawowych prac z zakresu gospodarki leśnej” – wprowadzona zarządzeniem Nr 36 Dyrektora Generalnego Lasów Państwowych z dnia 20 kwietnia 2012 r.,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 xml:space="preserve">„Instrukcja ochrony przeciwpożarowej lasu” - wprowadzona zarządzeniem Nr 81 Dyrektora Generalnego Lasów Państwowych z dnia 23 grudnia 2019 r., 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t>-</w:t>
      </w:r>
      <w:r w:rsidRPr="00DF353D">
        <w:rPr>
          <w:lang w:val="pl-PL"/>
        </w:rPr>
        <w:tab/>
        <w:t>zarządzenie nr 40 Dyrektora Generalnego Lasów Państwowych z dnia 6 października 2011 r. w sprawie wprowadzenia ramowego wykazu prac wykonywanych przez co najmniej dwie osoby (</w:t>
      </w:r>
      <w:proofErr w:type="spellStart"/>
      <w:r w:rsidRPr="00DF353D">
        <w:rPr>
          <w:lang w:val="pl-PL"/>
        </w:rPr>
        <w:t>zn</w:t>
      </w:r>
      <w:proofErr w:type="spellEnd"/>
      <w:r w:rsidRPr="00DF353D">
        <w:rPr>
          <w:lang w:val="pl-PL"/>
        </w:rPr>
        <w:t xml:space="preserve">. </w:t>
      </w:r>
      <w:proofErr w:type="spellStart"/>
      <w:r w:rsidRPr="00DF353D">
        <w:rPr>
          <w:lang w:val="pl-PL"/>
        </w:rPr>
        <w:t>spr</w:t>
      </w:r>
      <w:proofErr w:type="spellEnd"/>
      <w:r w:rsidRPr="00DF353D">
        <w:rPr>
          <w:lang w:val="pl-PL"/>
        </w:rPr>
        <w:t>. GB-021-2/2011) oraz Zarządzenie nr 20 Dyrektora Regionalnej Dyrekcji Lasów Państwowych w Zielonej Górze z dnia 25 listopada 2010 roku w sprawie rodzajów prac, które powinny być wykonywane przez co najmniej dwie osoby (EI/B-0151-1/10),</w:t>
      </w:r>
    </w:p>
    <w:p w:rsidR="00DF353D" w:rsidRPr="00DF353D" w:rsidRDefault="00DF353D" w:rsidP="00DF353D">
      <w:pPr>
        <w:ind w:left="709" w:hanging="283"/>
        <w:jc w:val="both"/>
        <w:rPr>
          <w:lang w:val="pl-PL"/>
        </w:rPr>
      </w:pPr>
      <w:r w:rsidRPr="00DF353D">
        <w:rPr>
          <w:lang w:val="pl-PL"/>
        </w:rPr>
        <w:lastRenderedPageBreak/>
        <w:t>-</w:t>
      </w:r>
      <w:r w:rsidRPr="00DF353D">
        <w:rPr>
          <w:lang w:val="pl-PL"/>
        </w:rPr>
        <w:tab/>
        <w:t>zarządzenie nr 66 Dyrektora Generalnego Lasów Państwowych z dnia 7 listopada 2019 r. w sprawie wprowadzenia wytycznych pod nazwą „Zasady Użytkowania Lasu” w jednostkach organizacyjnych Lasów  Państwowych (znak: ZM.7603.13.2019),</w:t>
      </w:r>
    </w:p>
    <w:p w:rsidR="00DF353D" w:rsidRPr="00DF353D" w:rsidRDefault="00DF353D" w:rsidP="00DF353D">
      <w:pPr>
        <w:ind w:left="709" w:hanging="283"/>
        <w:jc w:val="both"/>
      </w:pPr>
      <w:r w:rsidRPr="00DF353D">
        <w:t xml:space="preserve">- </w:t>
      </w:r>
      <w:r w:rsidRPr="00DF353D">
        <w:tab/>
      </w:r>
      <w:proofErr w:type="spellStart"/>
      <w:r w:rsidRPr="00DF353D">
        <w:t>Zasady</w:t>
      </w:r>
      <w:proofErr w:type="spellEnd"/>
      <w:r w:rsidRPr="00DF353D">
        <w:t xml:space="preserve">, </w:t>
      </w:r>
      <w:proofErr w:type="spellStart"/>
      <w:r w:rsidRPr="00DF353D">
        <w:t>kryteria</w:t>
      </w:r>
      <w:proofErr w:type="spellEnd"/>
      <w:r w:rsidRPr="00DF353D">
        <w:t xml:space="preserve"> </w:t>
      </w:r>
      <w:proofErr w:type="spellStart"/>
      <w:r w:rsidRPr="00DF353D">
        <w:t>i</w:t>
      </w:r>
      <w:proofErr w:type="spellEnd"/>
      <w:r w:rsidRPr="00DF353D">
        <w:t xml:space="preserve"> </w:t>
      </w:r>
      <w:proofErr w:type="spellStart"/>
      <w:r w:rsidRPr="00DF353D">
        <w:t>standardy</w:t>
      </w:r>
      <w:proofErr w:type="spellEnd"/>
      <w:r w:rsidRPr="00DF353D">
        <w:t xml:space="preserve"> </w:t>
      </w:r>
      <w:proofErr w:type="spellStart"/>
      <w:r w:rsidRPr="00DF353D">
        <w:t>zrównoważonej</w:t>
      </w:r>
      <w:proofErr w:type="spellEnd"/>
      <w:r w:rsidRPr="00DF353D">
        <w:t xml:space="preserve"> </w:t>
      </w:r>
      <w:proofErr w:type="spellStart"/>
      <w:r w:rsidRPr="00DF353D">
        <w:t>gospodarki</w:t>
      </w:r>
      <w:proofErr w:type="spellEnd"/>
      <w:r w:rsidRPr="00DF353D">
        <w:t xml:space="preserve"> </w:t>
      </w:r>
      <w:proofErr w:type="spellStart"/>
      <w:r w:rsidRPr="00DF353D">
        <w:t>leśnej</w:t>
      </w:r>
      <w:proofErr w:type="spellEnd"/>
      <w:r w:rsidRPr="00DF353D">
        <w:t xml:space="preserve"> FSC (Forest Stewardship Council) </w:t>
      </w:r>
      <w:proofErr w:type="spellStart"/>
      <w:r w:rsidRPr="00DF353D">
        <w:t>oraz</w:t>
      </w:r>
      <w:proofErr w:type="spellEnd"/>
      <w:r w:rsidRPr="00DF353D">
        <w:t xml:space="preserve"> PEFC Council (</w:t>
      </w:r>
      <w:proofErr w:type="spellStart"/>
      <w:r w:rsidRPr="00DF353D">
        <w:t>Programme</w:t>
      </w:r>
      <w:proofErr w:type="spellEnd"/>
      <w:r w:rsidRPr="00DF353D">
        <w:t xml:space="preserve"> for the Endorsement of Forest Certification Schemes).</w:t>
      </w:r>
    </w:p>
    <w:p w:rsidR="00DF353D" w:rsidRPr="00DF353D" w:rsidRDefault="00DF353D" w:rsidP="00DF353D">
      <w:pPr>
        <w:ind w:left="426" w:hanging="426"/>
        <w:jc w:val="both"/>
        <w:rPr>
          <w:lang w:val="pl-PL"/>
        </w:rPr>
      </w:pPr>
      <w:r w:rsidRPr="00DF353D">
        <w:rPr>
          <w:lang w:val="pl-PL"/>
        </w:rPr>
        <w:t>3)</w:t>
      </w:r>
      <w:r w:rsidRPr="00DF353D">
        <w:rPr>
          <w:lang w:val="pl-PL"/>
        </w:rPr>
        <w:tab/>
        <w:t>Wykonawca obowiązany będzie przestrzegać przy realizacji przedmiotu zamówienia warunki techniczne na surowiec drzewny zgodnie z zarządzeniem nr 51 Dyrektora Generalnego Lasów Państwowych z dnia 30 września 2019 r. w sprawie wprowadzenia warunków technicznych stosowanych w obrocie surowcem drzewnym w Państwowym Gospodarstwie Leśnym Lasy Państwowe  z uwzględnieniem załącznika nr 1 wprowadzonego zarządzeniem nr 54 Dyrektora Generalnego Lasów Państwowych z dnia 30 września 2019 r. w sprawie aktualizacji zarządzenia nr 51 Dyrektora Generalnego Lasów Państwowych z dnia 30 września 2019 r. w sprawie wprowadzenia warunków technicznych stosowanych w obrocie surowcem drzewnym w Państwowym Gospodarstwie Leśnym Lasy Państwowe poprzez wprowadzenie erraty do treści jego załączników.</w:t>
      </w:r>
    </w:p>
    <w:p w:rsidR="00DF353D" w:rsidRPr="00DF353D" w:rsidRDefault="00DF353D" w:rsidP="00DF353D">
      <w:pPr>
        <w:ind w:left="426" w:hanging="426"/>
        <w:jc w:val="both"/>
        <w:rPr>
          <w:lang w:val="pl-PL"/>
        </w:rPr>
      </w:pPr>
      <w:r w:rsidRPr="00DF353D">
        <w:rPr>
          <w:lang w:val="pl-PL"/>
        </w:rPr>
        <w:t>Dokumenty wskazane w pkt 2 – 3 powyżej  są dostępne na s</w:t>
      </w:r>
      <w:r>
        <w:rPr>
          <w:lang w:val="pl-PL"/>
        </w:rPr>
        <w:t>tronie internetowej pod adresem:</w:t>
      </w:r>
    </w:p>
    <w:p w:rsidR="00DF353D" w:rsidRPr="00DF353D" w:rsidRDefault="00DF353D" w:rsidP="00DF353D">
      <w:pPr>
        <w:ind w:left="426" w:hanging="426"/>
        <w:jc w:val="both"/>
        <w:rPr>
          <w:lang w:val="pl-PL"/>
        </w:rPr>
      </w:pPr>
      <w:r w:rsidRPr="00DF353D">
        <w:rPr>
          <w:lang w:val="pl-PL"/>
        </w:rPr>
        <w:t>https://www.zielonagora.lasy.gov.pl/przetargi-zamowienia-zarzadzenia/-/asset_publisher/U7ezH1872LaD/content/przetarg-na-uslugi-lesne-2022#.YXauwp5BxUQ</w:t>
      </w:r>
    </w:p>
    <w:p w:rsidR="00DF353D" w:rsidRPr="00DF353D" w:rsidRDefault="00DF353D" w:rsidP="00DF353D">
      <w:pPr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Pr="00DF353D">
        <w:rPr>
          <w:lang w:val="pl-PL"/>
        </w:rPr>
        <w:t>Zasady ogólne realizacji przedmiotu zamówienia.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1)</w:t>
      </w:r>
      <w:r w:rsidRPr="00DF353D">
        <w:rPr>
          <w:lang w:val="pl-PL"/>
        </w:rPr>
        <w:tab/>
        <w:t xml:space="preserve">Wykonawca będzie wykonywał przedmiot zamówienia na podstawie pisemnych zleceń przekazywanych przez Przedstawicieli Zamawiającego („Zlecenie”). Treść Zlecenia określa umowa w sprawie zamówienia publicznego (Załącznik nr </w:t>
      </w:r>
      <w:r w:rsidR="00DF0614">
        <w:rPr>
          <w:lang w:val="pl-PL"/>
        </w:rPr>
        <w:t>6</w:t>
      </w:r>
      <w:r w:rsidRPr="00DF353D">
        <w:rPr>
          <w:lang w:val="pl-PL"/>
        </w:rPr>
        <w:t xml:space="preserve"> do </w:t>
      </w:r>
      <w:r w:rsidR="00DF0614">
        <w:rPr>
          <w:lang w:val="pl-PL"/>
        </w:rPr>
        <w:t>zapytania ofertowego</w:t>
      </w:r>
      <w:r w:rsidRPr="00DF353D">
        <w:rPr>
          <w:lang w:val="pl-PL"/>
        </w:rPr>
        <w:t xml:space="preserve">). 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2)</w:t>
      </w:r>
      <w:r w:rsidRPr="00DF353D">
        <w:rPr>
          <w:lang w:val="pl-PL"/>
        </w:rPr>
        <w:tab/>
        <w:t xml:space="preserve">Wykonawca będzie zobowiązany do uprzątnięcia pozostałości po pracach </w:t>
      </w:r>
      <w:proofErr w:type="spellStart"/>
      <w:r w:rsidRPr="00DF353D">
        <w:rPr>
          <w:lang w:val="pl-PL"/>
        </w:rPr>
        <w:t>pozyskaniowych</w:t>
      </w:r>
      <w:proofErr w:type="spellEnd"/>
      <w:r w:rsidRPr="00DF353D">
        <w:rPr>
          <w:lang w:val="pl-PL"/>
        </w:rPr>
        <w:t xml:space="preserve"> z dróg, linii podziału powierzchniowego, rowów, itp. obiektów oraz pozostałych odpadów po działalności własnej (śmieci, pustych opakowań, zużytych elementów maszyn, itp.).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3)</w:t>
      </w:r>
      <w:r w:rsidRPr="00DF353D">
        <w:rPr>
          <w:lang w:val="pl-PL"/>
        </w:rPr>
        <w:tab/>
        <w:t>Wykonawca będzie zobowiązany do stosowania oleju biodegradowalnego do smarowania układów tnących w ekspl</w:t>
      </w:r>
      <w:r>
        <w:rPr>
          <w:lang w:val="pl-PL"/>
        </w:rPr>
        <w:t xml:space="preserve">oatowanych piłach łańcuchowych </w:t>
      </w:r>
      <w:r w:rsidRPr="00DF353D">
        <w:rPr>
          <w:lang w:val="pl-PL"/>
        </w:rPr>
        <w:t>i głowicach tnących oraz zestawów do pochłaniania oleju w urządzeniach eksploatowanych na terenie lasów.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4)</w:t>
      </w:r>
      <w:r w:rsidRPr="00DF353D">
        <w:rPr>
          <w:lang w:val="pl-PL"/>
        </w:rPr>
        <w:tab/>
        <w:t>Do smarowania układów tnących w ekspl</w:t>
      </w:r>
      <w:r>
        <w:rPr>
          <w:lang w:val="pl-PL"/>
        </w:rPr>
        <w:t xml:space="preserve">oatowanych piłach łańcuchowych </w:t>
      </w:r>
      <w:r w:rsidRPr="00DF353D">
        <w:rPr>
          <w:lang w:val="pl-PL"/>
        </w:rPr>
        <w:t>i głowicach tnących Wykonawca będzie zobowiązany stosować olej biodegradowalny o parametrze biodegradacji nie gorszym niż 60%. Wymagane jest określenie biodegradowalności zgodnie z metodyką badań opisaną w Rozporządzeniu Komisji (WE) NR 440/2008 z dnia 30 maja 2008 r. w metodzie: OECD 301B lub OECD 301C lub OECD 301F, ustalająca metody badań zgodnie z rozporządzeniem (WE) nr 1907/2006 Parlamentu Europejskiego i Rady w sprawie rejestracji, oceny, udzielania zezwoleń i stosowanych ograniczeń w zakresie chemikaliów (REACH).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5)</w:t>
      </w:r>
      <w:r w:rsidRPr="00DF353D">
        <w:rPr>
          <w:lang w:val="pl-PL"/>
        </w:rPr>
        <w:tab/>
        <w:t>Wyznacznikiem szacunkowej ilości objętościowych lub wagowych zużywanego oleju biodegradowalnego do smarowania układów tnących w eksploatowanych piłach łańcuchowych i głowicach tnących będzie masa pozyskania w m3 wynikająca z Protokołów Odbioru Robót, przy uwzględnieniu poniższych norm:</w:t>
      </w:r>
    </w:p>
    <w:p w:rsidR="00DF353D" w:rsidRPr="00DF353D" w:rsidRDefault="00DF353D" w:rsidP="00DF353D">
      <w:pPr>
        <w:ind w:left="993" w:hanging="284"/>
        <w:jc w:val="both"/>
        <w:rPr>
          <w:lang w:val="pl-PL"/>
        </w:rPr>
      </w:pPr>
      <w:r w:rsidRPr="00DF353D">
        <w:rPr>
          <w:lang w:val="pl-PL"/>
        </w:rPr>
        <w:lastRenderedPageBreak/>
        <w:t xml:space="preserve">- </w:t>
      </w:r>
      <w:r w:rsidRPr="00DF353D">
        <w:rPr>
          <w:lang w:val="pl-PL"/>
        </w:rPr>
        <w:tab/>
        <w:t>przy użyciu pilarki wynosi 0,05 litra na 1 m3 pozyskiwanego drewna,</w:t>
      </w:r>
    </w:p>
    <w:p w:rsidR="00DF353D" w:rsidRPr="00DF353D" w:rsidRDefault="00DF353D" w:rsidP="00DF353D">
      <w:pPr>
        <w:ind w:left="993" w:hanging="284"/>
        <w:jc w:val="both"/>
        <w:rPr>
          <w:lang w:val="pl-PL"/>
        </w:rPr>
      </w:pPr>
      <w:r w:rsidRPr="00DF353D">
        <w:rPr>
          <w:lang w:val="pl-PL"/>
        </w:rPr>
        <w:t xml:space="preserve">- </w:t>
      </w:r>
      <w:r w:rsidRPr="00DF353D">
        <w:rPr>
          <w:lang w:val="pl-PL"/>
        </w:rPr>
        <w:tab/>
        <w:t>przy użyciu harwestera wynosi 0,02 litra na 1 m3 pozyskiwanego drewna.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6)</w:t>
      </w:r>
      <w:r w:rsidRPr="00DF353D">
        <w:rPr>
          <w:lang w:val="pl-PL"/>
        </w:rPr>
        <w:tab/>
        <w:t>Na każde żądanie Zamawiającego Wykonawca zobowiązany będzie przedstawić faktury zakupowe oleju wraz z „Kartą charakterystyki preparatu niebezpiecznego” potwierdzającego stopień biodegradowalności kupionego oleju, adekwatnie do ilości m3 pozyskanego drewna. Zamawiającemu służyć będzie prawo do weryfikacji olei używanych do smarowania układów tnących, a Wykonawca zobowiązany będzie udostępnić Zamawiającemu możliwość pobrania próbek oleju w ilości niezbędnej do przeprowadzenia badań jego parametrów. Koszty badań laboratoryjnych pokryją:</w:t>
      </w:r>
    </w:p>
    <w:p w:rsidR="00DF353D" w:rsidRPr="00DF353D" w:rsidRDefault="00DF353D" w:rsidP="00DF353D">
      <w:pPr>
        <w:ind w:left="993" w:hanging="284"/>
        <w:jc w:val="both"/>
        <w:rPr>
          <w:lang w:val="pl-PL"/>
        </w:rPr>
      </w:pPr>
      <w:r w:rsidRPr="00DF353D">
        <w:rPr>
          <w:lang w:val="pl-PL"/>
        </w:rPr>
        <w:t xml:space="preserve">- </w:t>
      </w:r>
      <w:r w:rsidRPr="00DF353D">
        <w:rPr>
          <w:lang w:val="pl-PL"/>
        </w:rPr>
        <w:tab/>
        <w:t xml:space="preserve">Zamawiający, jeżeli parametr biodegradowalności jest nie niższy niż 60% według metodyki badań jak wskazano powyżej, </w:t>
      </w:r>
    </w:p>
    <w:p w:rsidR="00DF353D" w:rsidRPr="00DF353D" w:rsidRDefault="00DF353D" w:rsidP="00DF353D">
      <w:pPr>
        <w:ind w:left="993" w:hanging="284"/>
        <w:jc w:val="both"/>
        <w:rPr>
          <w:lang w:val="pl-PL"/>
        </w:rPr>
      </w:pPr>
      <w:r w:rsidRPr="00DF353D">
        <w:rPr>
          <w:lang w:val="pl-PL"/>
        </w:rPr>
        <w:t xml:space="preserve">- </w:t>
      </w:r>
      <w:r w:rsidRPr="00DF353D">
        <w:rPr>
          <w:lang w:val="pl-PL"/>
        </w:rPr>
        <w:tab/>
        <w:t>Wykonawca, jeżeli parametr jest niższy niż 60% według metodyki badań jak wskazano powyżej.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7)</w:t>
      </w:r>
      <w:r w:rsidRPr="00DF353D">
        <w:rPr>
          <w:lang w:val="pl-PL"/>
        </w:rPr>
        <w:tab/>
        <w:t>Wykonawca zobowiązany jest do wyposażenia wszystkich maszyn, ciągników i urządzeń pracujących na powierzchniach leśnych w zestawy (sorbenty, maty sorpcyjne itp.) o chłonności umożliwiającej pochłonięcie rozlanego paliwa lub oleju oraz innych płynów 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  <w:r w:rsidRPr="00DF353D">
        <w:rPr>
          <w:lang w:val="pl-PL"/>
        </w:rPr>
        <w:t>8)</w:t>
      </w:r>
      <w:r w:rsidRPr="00DF353D">
        <w:rPr>
          <w:lang w:val="pl-PL"/>
        </w:rPr>
        <w:tab/>
        <w:t xml:space="preserve">Wykonawca obowiązany jest w trakcie realizacji przedmiotu zamówienia dokonać oznakowania pozycji zakazem wstępu zgodnie z art. 26 ustawy o lasach. W szczególności Wykonawca jest zobowiązany do właściwego oznaczenia tablicami ostrzegawczymi powierzchni, na których wykonywane będą prace obejmujące pozyskanie, zrywkę drewna i rozdrabnianie pozostałości pozrębowych oraz innych prac przewidzianych instrukcją wskazaną w pkt </w:t>
      </w:r>
      <w:r w:rsidR="00523D2D">
        <w:rPr>
          <w:lang w:val="pl-PL"/>
        </w:rPr>
        <w:t>1</w:t>
      </w:r>
      <w:r w:rsidRPr="00DF353D">
        <w:rPr>
          <w:lang w:val="pl-PL"/>
        </w:rPr>
        <w:t xml:space="preserve"> </w:t>
      </w:r>
      <w:proofErr w:type="spellStart"/>
      <w:r w:rsidRPr="00DF353D">
        <w:rPr>
          <w:lang w:val="pl-PL"/>
        </w:rPr>
        <w:t>ppkt</w:t>
      </w:r>
      <w:proofErr w:type="spellEnd"/>
      <w:r w:rsidRPr="00DF353D">
        <w:rPr>
          <w:lang w:val="pl-PL"/>
        </w:rPr>
        <w:t xml:space="preserve"> 2). </w:t>
      </w:r>
      <w:r w:rsidRPr="00DF353D">
        <w:rPr>
          <w:lang w:val="pl-PL"/>
        </w:rPr>
        <w:tab/>
      </w:r>
    </w:p>
    <w:p w:rsidR="00DF353D" w:rsidRPr="00DF353D" w:rsidRDefault="00DF353D" w:rsidP="00DF353D">
      <w:pPr>
        <w:ind w:left="709" w:hanging="425"/>
        <w:jc w:val="both"/>
        <w:rPr>
          <w:lang w:val="pl-PL"/>
        </w:rPr>
      </w:pPr>
    </w:p>
    <w:p w:rsidR="00DF353D" w:rsidRPr="00DF353D" w:rsidRDefault="00DF353D" w:rsidP="00DF353D">
      <w:pPr>
        <w:ind w:left="709"/>
        <w:jc w:val="both"/>
        <w:rPr>
          <w:lang w:val="pl-PL"/>
        </w:rPr>
      </w:pPr>
      <w:r w:rsidRPr="00DF353D">
        <w:rPr>
          <w:lang w:val="pl-PL"/>
        </w:rPr>
        <w:t>Drogi leśne, drogi publiczne, szlaki turystyczne (w szczególności rowerowe, piesze, konne i wodne) i inne obiekty komunikacyjne przebiegające przez powierzchnię roboczą należy na okres od chwili rozpoczęcia prac na pozycji do jej zwrotu zamknąć dla osób trzecich, w tym w szczególności dla ruchu publicznego. Zn</w:t>
      </w:r>
      <w:r w:rsidR="00523D2D">
        <w:rPr>
          <w:lang w:val="pl-PL"/>
        </w:rPr>
        <w:t>aki zakazujące wstępu do lasu n</w:t>
      </w:r>
      <w:bookmarkStart w:id="0" w:name="_GoBack"/>
      <w:bookmarkEnd w:id="0"/>
      <w:r w:rsidRPr="00DF353D">
        <w:rPr>
          <w:lang w:val="pl-PL"/>
        </w:rPr>
        <w:t>ależy ustawić przy drogach, szlakach i obiektach komunikacyjnych, nie bliżej niż 100 m od granicy pozycji, na której wykonywany jest przedmiot zamówienia. Znaki zakazu muszą być widoczne. Zakup tablic leży po stronie Zamawiającego. Lokalizacja tablic przed rozpoczęciem prac wymaga uzgodnienia z upoważnionym Przedstawicielem Zamawiającego.</w:t>
      </w:r>
    </w:p>
    <w:p w:rsidR="00DF353D" w:rsidRPr="00DF353D" w:rsidRDefault="00DF353D">
      <w:pPr>
        <w:ind w:left="709" w:hanging="425"/>
        <w:jc w:val="both"/>
        <w:rPr>
          <w:lang w:val="pl-PL"/>
        </w:rPr>
      </w:pPr>
    </w:p>
    <w:sectPr w:rsidR="00DF353D" w:rsidRPr="00DF3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A2"/>
    <w:rsid w:val="00370FAC"/>
    <w:rsid w:val="004D31A2"/>
    <w:rsid w:val="00523D2D"/>
    <w:rsid w:val="00DF0614"/>
    <w:rsid w:val="00D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A80B-4CA5-4D5F-9F1A-550929D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Belda</dc:creator>
  <cp:keywords/>
  <dc:description/>
  <cp:lastModifiedBy>Małgorzata Belda</cp:lastModifiedBy>
  <cp:revision>4</cp:revision>
  <dcterms:created xsi:type="dcterms:W3CDTF">2022-09-26T12:20:00Z</dcterms:created>
  <dcterms:modified xsi:type="dcterms:W3CDTF">2022-09-26T12:26:00Z</dcterms:modified>
</cp:coreProperties>
</file>