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25F9" w14:textId="7382D8C7" w:rsidR="00351FFC" w:rsidRDefault="005D5797">
      <w:pPr>
        <w:spacing w:after="225" w:line="240" w:lineRule="auto"/>
        <w:outlineLvl w:val="2"/>
        <w:rPr>
          <w:i/>
          <w:iCs/>
        </w:rPr>
      </w:pPr>
      <w:bookmarkStart w:id="0" w:name="_GoBack"/>
      <w:bookmarkEnd w:id="0"/>
      <w:r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 xml:space="preserve">OGŁOSZENIE O PISEMNYM PRZETARGU NIEOGRANICZONYM NA </w:t>
      </w:r>
      <w:r w:rsidR="00ED14BF"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>SPRZEDAŻ</w:t>
      </w:r>
      <w:r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 xml:space="preserve"> NIERUCHOMOŚCI (ZNAK SPRAWY: </w:t>
      </w:r>
      <w:r w:rsidR="00B070E1"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>PP/01/0</w:t>
      </w:r>
      <w:r w:rsidR="00C13B9C"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>7</w:t>
      </w:r>
      <w:r w:rsidR="00B070E1"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>/2023</w:t>
      </w:r>
      <w:r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>)</w:t>
      </w:r>
    </w:p>
    <w:p w14:paraId="506CA483" w14:textId="18FE9C08" w:rsidR="00351FFC" w:rsidRDefault="00351FFC">
      <w:pPr>
        <w:spacing w:after="0" w:line="240" w:lineRule="auto"/>
        <w:rPr>
          <w:noProof/>
          <w:lang w:eastAsia="pl-PL"/>
        </w:rPr>
      </w:pPr>
    </w:p>
    <w:p w14:paraId="7FF13235" w14:textId="77777777" w:rsidR="00B070E1" w:rsidRDefault="00B070E1">
      <w:pPr>
        <w:spacing w:after="0" w:line="240" w:lineRule="auto"/>
      </w:pPr>
    </w:p>
    <w:p w14:paraId="72F0145F" w14:textId="77777777" w:rsidR="00351FFC" w:rsidRDefault="005D5797">
      <w:pPr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Helvetica"/>
          <w:b/>
          <w:bCs/>
          <w:color w:val="000000"/>
          <w:sz w:val="21"/>
          <w:szCs w:val="21"/>
          <w:lang w:eastAsia="pl-PL"/>
        </w:rPr>
        <w:t>Termin:</w:t>
      </w:r>
    </w:p>
    <w:tbl>
      <w:tblPr>
        <w:tblW w:w="5612" w:type="dxa"/>
        <w:tblCellMar>
          <w:top w:w="120" w:type="dxa"/>
          <w:left w:w="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22"/>
        <w:gridCol w:w="3090"/>
      </w:tblGrid>
      <w:tr w:rsidR="00351FFC" w14:paraId="5A422634" w14:textId="77777777">
        <w:tc>
          <w:tcPr>
            <w:tcW w:w="2340" w:type="dxa"/>
            <w:tcBorders>
              <w:top w:val="single" w:sz="2" w:space="0" w:color="DDDDDD"/>
            </w:tcBorders>
            <w:shd w:val="clear" w:color="auto" w:fill="auto"/>
          </w:tcPr>
          <w:p w14:paraId="7F4A7818" w14:textId="77777777" w:rsidR="00351FFC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Zamieszczenia Data opublikowania na platformazakupowa.pl:</w:t>
            </w:r>
          </w:p>
        </w:tc>
        <w:tc>
          <w:tcPr>
            <w:tcW w:w="3271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66EE2D06" w14:textId="4B7F6D8C" w:rsidR="00351FFC" w:rsidRDefault="000B098C" w:rsidP="00ED14BF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04</w:t>
            </w:r>
            <w:r w:rsidR="005D579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.0</w:t>
            </w:r>
            <w:r w:rsidR="00C13B9C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5D579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.202</w:t>
            </w:r>
            <w:r w:rsidR="00ED14BF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51FFC" w14:paraId="5C99C462" w14:textId="77777777">
        <w:tc>
          <w:tcPr>
            <w:tcW w:w="2340" w:type="dxa"/>
            <w:tcBorders>
              <w:top w:val="single" w:sz="2" w:space="0" w:color="DDDDDD"/>
            </w:tcBorders>
            <w:shd w:val="clear" w:color="auto" w:fill="auto"/>
          </w:tcPr>
          <w:p w14:paraId="36C08FBA" w14:textId="77777777" w:rsidR="00351FFC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Składania:</w:t>
            </w:r>
          </w:p>
        </w:tc>
        <w:tc>
          <w:tcPr>
            <w:tcW w:w="3271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1456AF8F" w14:textId="4EA0AE16" w:rsidR="00351FFC" w:rsidRDefault="00B070E1" w:rsidP="00ED14BF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31</w:t>
            </w:r>
            <w:r w:rsidR="005D579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5D579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.202</w:t>
            </w:r>
            <w:r w:rsidR="00ED14BF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5D579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 xml:space="preserve"> 12:00:00</w:t>
            </w:r>
          </w:p>
        </w:tc>
      </w:tr>
      <w:tr w:rsidR="00351FFC" w14:paraId="4A78A4EB" w14:textId="77777777">
        <w:tc>
          <w:tcPr>
            <w:tcW w:w="2340" w:type="dxa"/>
            <w:tcBorders>
              <w:top w:val="single" w:sz="2" w:space="0" w:color="DDDDDD"/>
            </w:tcBorders>
            <w:shd w:val="clear" w:color="auto" w:fill="auto"/>
          </w:tcPr>
          <w:p w14:paraId="120FCFBA" w14:textId="77777777" w:rsidR="00351FFC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Tryb:</w:t>
            </w:r>
          </w:p>
        </w:tc>
        <w:tc>
          <w:tcPr>
            <w:tcW w:w="3271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03A0CA2C" w14:textId="77777777" w:rsidR="00351FFC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Ogłoszenie bez przyjmowania ofert/wniosków</w:t>
            </w:r>
          </w:p>
        </w:tc>
      </w:tr>
      <w:tr w:rsidR="00351FFC" w14:paraId="1A5317CB" w14:textId="77777777">
        <w:tc>
          <w:tcPr>
            <w:tcW w:w="2340" w:type="dxa"/>
            <w:tcBorders>
              <w:top w:val="single" w:sz="2" w:space="0" w:color="DDDDDD"/>
            </w:tcBorders>
            <w:shd w:val="clear" w:color="auto" w:fill="auto"/>
          </w:tcPr>
          <w:p w14:paraId="115BA849" w14:textId="77777777" w:rsidR="00351FFC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Rodzaj:</w:t>
            </w:r>
          </w:p>
        </w:tc>
        <w:tc>
          <w:tcPr>
            <w:tcW w:w="3271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0453B4FE" w14:textId="77777777" w:rsidR="00351FFC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Usługa</w:t>
            </w:r>
          </w:p>
        </w:tc>
      </w:tr>
    </w:tbl>
    <w:p w14:paraId="00C47DF9" w14:textId="77777777" w:rsidR="00351FFC" w:rsidRDefault="00351FFC">
      <w:pPr>
        <w:spacing w:after="150" w:line="315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0D2167EA" w14:textId="267DA32C" w:rsidR="00351FFC" w:rsidRDefault="005D5797">
      <w:pPr>
        <w:spacing w:after="150" w:line="315" w:lineRule="atLeast"/>
        <w:jc w:val="center"/>
        <w:rPr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OGŁOSZENIE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br/>
        <w:t>O PISEMNYM PRZETARGU NIEOGRANICZONYM NA ZAKUP NIERUCHOMOŚCI (ZNAK SPRAWY:</w:t>
      </w:r>
      <w:r w:rsidR="00351EE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 xml:space="preserve"> PP/01/0</w:t>
      </w:r>
      <w:r w:rsidR="00C13B9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7</w:t>
      </w:r>
      <w:r w:rsidR="00351EE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/2023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)</w:t>
      </w:r>
    </w:p>
    <w:p w14:paraId="559C4729" w14:textId="77777777" w:rsidR="00351FFC" w:rsidRDefault="005D5797">
      <w:pPr>
        <w:spacing w:after="150" w:line="276" w:lineRule="auto"/>
        <w:jc w:val="center"/>
        <w:rPr>
          <w:rFonts w:ascii="Arial" w:eastAsia="Times New Roman" w:hAnsi="Arial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 </w:t>
      </w:r>
    </w:p>
    <w:p w14:paraId="6762DC5A" w14:textId="77777777" w:rsidR="00351FFC" w:rsidRDefault="005D5797">
      <w:pPr>
        <w:spacing w:after="150" w:line="276" w:lineRule="auto"/>
        <w:ind w:left="737" w:hanging="73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Sprzedającego</w:t>
      </w:r>
    </w:p>
    <w:p w14:paraId="56AC52CB" w14:textId="77777777" w:rsidR="00351FFC" w:rsidRDefault="005D5797">
      <w:pPr>
        <w:spacing w:after="15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Sprzedającym jest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Geovita Spółka Akcyjna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 siedzibą w Jadwisinie, przy ul. Ogrodowej 31 (05–140 Jadwisin, gm. Serock), zarejestrowana w rejestrze przedsiębiorców prowadzonym przez Sąd Rejonowy dla m. st. Warszawy w Warszawie, XIV Wydział Gospodarczy Krajowego Rejestru Sądowego pod numerem KRS 0000425914, NIP 5262734680, REGON 015529186, kapitał zakładowy: 113.407.782,00 PLN (wniesiony w całości).</w:t>
      </w:r>
    </w:p>
    <w:p w14:paraId="2BF11761" w14:textId="77777777" w:rsidR="00351FFC" w:rsidRDefault="005D5797">
      <w:pPr>
        <w:spacing w:after="150" w:line="276" w:lineRule="auto"/>
        <w:ind w:left="135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5B1AB1B6" w14:textId="77777777" w:rsidR="00351FFC" w:rsidRDefault="005D5797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Informacje prawne</w:t>
      </w:r>
    </w:p>
    <w:p w14:paraId="2A208C47" w14:textId="77777777" w:rsidR="00351FFC" w:rsidRDefault="005D5797">
      <w:p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</w:t>
      </w:r>
      <w:r>
        <w:rPr>
          <w:rFonts w:ascii="Arial" w:eastAsia="Times New Roman" w:hAnsi="Arial" w:cs="Times New Roman"/>
          <w:b/>
          <w:bCs/>
          <w:color w:val="000000"/>
          <w:sz w:val="14"/>
          <w:szCs w:val="14"/>
          <w:lang w:eastAsia="pl-PL"/>
        </w:rPr>
        <w:t> 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Geovita S.A.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jest podmiotem prawa prywatnego. Przedmiotowe postępowanie nie podlega ustawie z dnia 11 września 2019 roku  Prawo zamówień publicznych (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Dz. U. 221, poz. 1129 ze zm.)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(dalej: PZP)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ustawie z dnia 21 sierpnia 1997 roku o gospodarce nieruchomościami (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Dz. U. 221, poz. 1899 ze zm.)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(dalej: UGN)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oraz Rozporządzeniu Rady Ministrów z dnia 14 września 2004 r. w sprawie sposobu i trybu przeprowadzania przetargów oraz rokowań na zbycie nieruchomości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(Dz. U. 2004, poz. 2108).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Jednakże celem zagwarantowania przejrzystości i poprawności prawej postępowania, niektóre przepisy w/w aktów prawnych stosuje się wprost.</w:t>
      </w:r>
    </w:p>
    <w:p w14:paraId="3DB24E9E" w14:textId="77777777" w:rsidR="00351FFC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Niniejsze postępowanie prowadzi się w języku polskim wyłącznie w formie pisemnej.</w:t>
      </w:r>
    </w:p>
    <w:p w14:paraId="7C7EE088" w14:textId="77777777" w:rsidR="00351FFC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Postępowanie przeprowadza się w sposób zapewniający zachowanie uczciwej konkurencji i równego traktowania uczestników, zgodnie z zasadami proporcjonalności i przejrzystości.</w:t>
      </w:r>
    </w:p>
    <w:p w14:paraId="2A78B925" w14:textId="77777777" w:rsidR="00351FFC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 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Sprzedający oświadcza, iż czynności związane z przygotowaniem oraz przeprowadzeniem postępowania wykonują osoby zapewniające bezstronność i obiektywizm.</w:t>
      </w:r>
    </w:p>
    <w:p w14:paraId="74637E1B" w14:textId="77777777" w:rsidR="00351FFC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5.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Sprzedający może odwołać postępowanie na każdym jego etapie bez podawania przyczyn.</w:t>
      </w:r>
    </w:p>
    <w:p w14:paraId="27E9BE75" w14:textId="77777777" w:rsidR="00351FFC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Sprzedaż nieruchomości objętych niniejszym postępowaniem uzależniona jest od przyszłego uprzedniego pozyskania przez Sprzedającego stosownych zgód korporacyjnych udzielanych przez organy Statutowe Spółki.</w:t>
      </w:r>
    </w:p>
    <w:p w14:paraId="4D3C50AA" w14:textId="77777777" w:rsidR="00351FFC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7.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Kupujący ponosi wszystkie koszty związane z zakupem nieruchomości, w tym koszty opłat za czynności notarialne.</w:t>
      </w:r>
    </w:p>
    <w:p w14:paraId="1DEF7283" w14:textId="77777777" w:rsidR="00351FFC" w:rsidRDefault="005D5797">
      <w:pPr>
        <w:spacing w:after="150" w:line="276" w:lineRule="auto"/>
        <w:ind w:left="135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0608BC86" w14:textId="77777777" w:rsidR="00351FFC" w:rsidRDefault="005D5797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III.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Etapy postępowania</w:t>
      </w:r>
    </w:p>
    <w:p w14:paraId="1835053F" w14:textId="77777777" w:rsidR="00351FFC" w:rsidRDefault="005D5797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Postępowanie prowadzone jest w formie pisemnego przetargu nieograniczonego i podzielone jest na etapy.</w:t>
      </w:r>
    </w:p>
    <w:p w14:paraId="45170DF0" w14:textId="77777777" w:rsidR="00351FFC" w:rsidRDefault="005D5797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Etap 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- część jawna przetargu z udziałem oferentów - tj. otwarcie ofert, odczytanie nazwisk (nazw) i adresów oferentów oraz proponowane ceny zakupu nieruchomości.</w:t>
      </w:r>
    </w:p>
    <w:p w14:paraId="207E980A" w14:textId="77777777" w:rsidR="00351FFC" w:rsidRDefault="005D5797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Etap II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– analiza ofert pod kątem zgodności z warunkami zawartymi w ogłoszeniu o przetargu i ocena ofert w oparciu o wskazane w warunkach przetargu kryteria oraz wybór najkorzystniejszej oferty.</w:t>
      </w:r>
    </w:p>
    <w:p w14:paraId="339B8808" w14:textId="77777777" w:rsidR="00351FFC" w:rsidRDefault="005D5797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Etap III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– przeprowadzenie aukcji wyłącznie w przypadku gdy w trakcie procedury przetargu kilku oferentów zaoferowało tę samą cenę.</w:t>
      </w:r>
    </w:p>
    <w:p w14:paraId="70BE70EC" w14:textId="77777777" w:rsidR="00351FFC" w:rsidRDefault="005D5797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</w:p>
    <w:p w14:paraId="54FEFBA7" w14:textId="77777777" w:rsidR="00351FFC" w:rsidRDefault="005D5797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IV.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Opis przedmiotu postępowania</w:t>
      </w:r>
    </w:p>
    <w:p w14:paraId="5509217D" w14:textId="77777777" w:rsidR="00351FFC" w:rsidRDefault="005D5797">
      <w:pPr>
        <w:spacing w:after="150" w:line="315" w:lineRule="atLeast"/>
        <w:ind w:left="397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Przedmiotem niniejszego postępowania jest łączna sprzedaż: </w:t>
      </w:r>
    </w:p>
    <w:p w14:paraId="5A56A0DC" w14:textId="014F0479" w:rsidR="00351FFC" w:rsidRDefault="005D5797">
      <w:pPr>
        <w:spacing w:after="150" w:line="315" w:lineRule="atLeast"/>
        <w:ind w:left="1215" w:hanging="36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prawa wieczystego użytkowania nieruchomości gruntowej zabudowanej, stanowiącej działkę ewidencyjną nr: 38/2 (obręb: 0010) o powierzchni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1,6995 ha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dla której Sąd Rejonowy w Pile, VI Wydział Ksiąg Wieczystych prowadzi księgę wieczystą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 numerze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KW: PO1I/00007254/1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4865F9B4" w14:textId="773F2B4B" w:rsidR="00351FFC" w:rsidRDefault="005D5797">
      <w:pPr>
        <w:spacing w:after="150" w:line="315" w:lineRule="atLeast"/>
        <w:ind w:left="1215" w:hanging="36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nieruchomości gruntowej zabudowanej  stanowiącej działki ewidencyjne nr: 42/5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 42/6 (obręb: 0010) o powierzchni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0,2049 ha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dla której Sąd Rejonowy w Pile, VI Wydział Ksiąg Wieczystych prowadzi księgę wieczystą o numerze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KW: PO1I/00007755/3.</w:t>
      </w:r>
    </w:p>
    <w:p w14:paraId="0B2949CF" w14:textId="2C1B6C2A" w:rsidR="00351FFC" w:rsidRDefault="005D5797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Nieruchomość znajduje się w miejscowości Piła w części Płotki, gmina Piła, powiat pilski, województwo wielkopolskie. Położona jest w odległości ok. 7 km od centrum Piły, ok. 88 km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od Bydgoszczy i ok. 100 km od Poznania. Otoczenie nieruchomości stanowią przede wszystkim obszary leśne, brak innych zabudowań. Nieruchomość oddalona jest o 500 m od plaży przy jeziorze Płotki i 700 m od jeziora Jeleniowego. Najbliższy budynek inny niż obiekty przy plaży znajduje się 2,7 km od nieruchomości, zaś najbliższa restauracja położona jest w odległości 3,5 km.</w:t>
      </w:r>
    </w:p>
    <w:p w14:paraId="4A012E64" w14:textId="77777777" w:rsidR="00351FFC" w:rsidRDefault="005D5797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Nieruchomość posiada dostęp do drogi publicznej od ul. Płotki. Droga krajowa nr 10 łącząca Piłę z Bydgoszczą i Szczecinem znajduje się w odległości ok. 3 km.</w:t>
      </w:r>
    </w:p>
    <w:p w14:paraId="2A5D81E7" w14:textId="38417DAD" w:rsidR="00351FFC" w:rsidRDefault="005D5797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Nieruchomość jest objęta miejscowym planem zagospodarowania przestrzennego, zgodnie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którym teren nieruchomości przeznaczony jest pod usługi turystyki (UT1), tereny infrastruktury technicznej: gazu (G), kanalizacji (K1) oraz wody (W1).</w:t>
      </w:r>
    </w:p>
    <w:p w14:paraId="604D5102" w14:textId="64CCE18F" w:rsidR="00351FFC" w:rsidRDefault="005D5797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terenie przedmiotowej nieruchomości znajduje się Centrum Konferencji i Rekreacji Geovita w Pile – Płotkach wraz z infrastrukturą i zapleczem noclegowym i gastronomicznym. Powierzchnia użytkowa kompleksu wynosi 2.911 m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pl-PL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Składają się na nią 3 kondygnacje oraz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 kondygnacja (budynek administracyjny oraz wypoczynkowy, wiata z częścią mieszkalną). Nadto w Hotelu znajdują się:</w:t>
      </w:r>
    </w:p>
    <w:p w14:paraId="1129AE9E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55 pokoi o łącznej liczbie miejsc noclegowych wynoszących 105.</w:t>
      </w:r>
    </w:p>
    <w:p w14:paraId="071CA4AA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Restauracja z barem, sala bankietowo – konferencyjna;</w:t>
      </w:r>
    </w:p>
    <w:p w14:paraId="70E5C940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 sal konferencyjnych.</w:t>
      </w:r>
    </w:p>
    <w:p w14:paraId="3A667EA2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Sauna.</w:t>
      </w:r>
    </w:p>
    <w:p w14:paraId="0914D35D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Siłownia.</w:t>
      </w:r>
    </w:p>
    <w:p w14:paraId="7EFD4756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Infrastruktura sportowa (boiska).</w:t>
      </w:r>
    </w:p>
    <w:p w14:paraId="55A6A30E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Chata grillowa.</w:t>
      </w:r>
    </w:p>
    <w:p w14:paraId="74CA30D1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Park linowy.</w:t>
      </w:r>
    </w:p>
    <w:p w14:paraId="0BBFAEE0" w14:textId="77777777" w:rsidR="00351FFC" w:rsidRDefault="005D5797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Specyfika działek przedstawia się następująco:</w:t>
      </w:r>
    </w:p>
    <w:p w14:paraId="53A47F0C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Działka 42/6 o powierzchni 174 m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pl-PL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całości porośnięta jest lasem.</w:t>
      </w:r>
    </w:p>
    <w:p w14:paraId="68AAC79F" w14:textId="77777777" w:rsidR="00351FFC" w:rsidRDefault="005D5797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Działki 38/2 i 42/5 posiadają nieregularny kształt zbliżony do prostokąta. Działka 38/2 posiada bezpośredni dostęp do asfaltowej drogi publicznej.</w:t>
      </w:r>
    </w:p>
    <w:p w14:paraId="7AB91DE9" w14:textId="77777777" w:rsidR="00351FFC" w:rsidRDefault="005D5797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Nieruchomość posiada dostęp do podstawowych mediów, tj. energii elektrycznej, sieci wodociągowej i kanalizacyjnej.</w:t>
      </w:r>
    </w:p>
    <w:p w14:paraId="2ABD7D37" w14:textId="77777777" w:rsidR="00351FFC" w:rsidRDefault="005D5797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terenie nieruchomości znajduje się sieć chodników i dróg wewnętrznych oraz szereg budowli takich jak: sieć oświetleniowa, linie kablowe średniego i niskiego napięcia, studnie głębinowe, drogi i place.</w:t>
      </w:r>
    </w:p>
    <w:p w14:paraId="42796D57" w14:textId="77777777" w:rsidR="00351FFC" w:rsidRDefault="005D5797">
      <w:pPr>
        <w:spacing w:after="150" w:line="315" w:lineRule="atLeast"/>
        <w:ind w:left="340" w:hanging="340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Nieruchomość otoczona jest ogrodzeniem z przęseł z prętów stalowych.</w:t>
      </w:r>
    </w:p>
    <w:p w14:paraId="47646B96" w14:textId="77777777" w:rsidR="00351FFC" w:rsidRDefault="00351FFC">
      <w:pPr>
        <w:spacing w:after="150" w:line="276" w:lineRule="auto"/>
        <w:ind w:left="495" w:hanging="360"/>
        <w:jc w:val="both"/>
        <w:rPr>
          <w:rFonts w:eastAsia="Times New Roman" w:cs="Helvetica"/>
          <w:color w:val="000000"/>
          <w:sz w:val="21"/>
          <w:szCs w:val="21"/>
          <w:lang w:eastAsia="pl-PL"/>
        </w:rPr>
      </w:pPr>
    </w:p>
    <w:p w14:paraId="7280302E" w14:textId="77777777" w:rsidR="00351FFC" w:rsidRDefault="005D5797">
      <w:pPr>
        <w:spacing w:after="15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Wadium</w:t>
      </w:r>
    </w:p>
    <w:p w14:paraId="3AC55AFC" w14:textId="6820FB29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Warunkiem udziału w postępowaniu jest wniesienie wadium w wysokości</w:t>
      </w:r>
      <w:r w:rsidRPr="00C13B9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C13B9C" w:rsidRPr="00C13B9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141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</w:t>
      </w:r>
      <w:r w:rsidR="00C13B9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00,00 PLN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 terminie 2 dni roboczych przed terminem składania ofert.</w:t>
      </w:r>
    </w:p>
    <w:p w14:paraId="40403C34" w14:textId="77777777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Wadium wpłaca się w pieniądzu przelewem na rachunek bankowy Sprzedającego o numerze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55 1240 6292 1111 0010 6683 8880.</w:t>
      </w:r>
    </w:p>
    <w:p w14:paraId="7B527BBE" w14:textId="558F69E0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Wadium należy wnieść najpóźniej do dnia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B65767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</w:t>
      </w:r>
      <w:r w:rsidR="00777CF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9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3B3E2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sierp</w:t>
      </w:r>
      <w:r w:rsidR="00B65767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nia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202</w:t>
      </w:r>
      <w:r w:rsidR="001D4F1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roku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 godziny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12:00.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Za datę wniesienia wadium uznaje się tym samym moment zaksięgowania środków na rachunku Sprzedającego.</w:t>
      </w:r>
    </w:p>
    <w:p w14:paraId="26621499" w14:textId="77777777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color w:val="000000"/>
          <w:highlight w:val="yellow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Niedopuszczalna jest zapłata wadium poprzez kompensatę wierzytelności przysługujących Nabywcy wobec Spółki.</w:t>
      </w:r>
    </w:p>
    <w:p w14:paraId="1BBCECB4" w14:textId="77777777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Wadium wniesione przez uczestnika postępowania, którego oferta zostanie wybrana jako najkorzystniejsza, zostanie zaliczone na poczet transakcji przeniesienia własności nieruchomości.</w:t>
      </w:r>
    </w:p>
    <w:p w14:paraId="39D174EE" w14:textId="77777777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Wadium wniesione przez uczestnika postępowania, którego oferta nie zostanie wybrana jako najkorzystniejsza, podlega zwrotowi bez odsetek w terminie 7 dni od dnia ogłoszenia wyników etapu II postępowania.</w:t>
      </w:r>
    </w:p>
    <w:p w14:paraId="337FA980" w14:textId="77777777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Sprzedający zatrzymuje wadium wraz z odsetkami, jeżeli uczestnik postępowania, którego oferta została wybrana:</w:t>
      </w:r>
    </w:p>
    <w:p w14:paraId="43966193" w14:textId="77777777" w:rsidR="00351FFC" w:rsidRDefault="005D5797">
      <w:pPr>
        <w:pStyle w:val="Akapitzlist"/>
        <w:numPr>
          <w:ilvl w:val="1"/>
          <w:numId w:val="4"/>
        </w:numPr>
        <w:spacing w:after="15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Odmówił podpisania umowy przedwstępnej sprzedaży na warunkach określonych w ofercie;</w:t>
      </w:r>
    </w:p>
    <w:p w14:paraId="7B2A2894" w14:textId="77777777" w:rsidR="00351FFC" w:rsidRDefault="005D5797">
      <w:pPr>
        <w:pStyle w:val="Akapitzlist"/>
        <w:numPr>
          <w:ilvl w:val="1"/>
          <w:numId w:val="4"/>
        </w:num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Zawarcie umowy stało się niemożliwe z przyczyn leżących po jego stronie.</w:t>
      </w:r>
    </w:p>
    <w:p w14:paraId="1B63B05A" w14:textId="391282D2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Sprzedający zatrzymuje wadium wraz z odsetkami, jeżeli uczestnik postępowania,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odpowiedzi na wezwanie do uzupełnienia braków formalnych oferty nie złożył oświadczeń lub dokumentów wymagalnych w postępowaniu, pełnomocnictwa lub nie wyraził zgody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poprawienie oczywistej omyłki pisarskiej w treści oferty.</w:t>
      </w:r>
    </w:p>
    <w:p w14:paraId="5A712677" w14:textId="77777777" w:rsidR="00351FFC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Sprzedający poinformuje na piśmie Oferenta o fakcie zaistnienia przesłanek do zatrzymania wpłaconego przez niego wadium.</w:t>
      </w:r>
    </w:p>
    <w:p w14:paraId="41DD7ECB" w14:textId="77777777" w:rsidR="00351FFC" w:rsidRDefault="005D5797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69560A3C" w14:textId="77777777" w:rsidR="00351FFC" w:rsidRDefault="005D5797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Minimalna cena nieruchomości</w:t>
      </w:r>
    </w:p>
    <w:p w14:paraId="24D38D7E" w14:textId="24DEECD0" w:rsidR="00351FFC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Sprzedający oświadcza, iż minimalna kwota zakupu nieruchomości nie może być niższa niż </w:t>
      </w:r>
      <w:r w:rsidR="00C13B9C" w:rsidRPr="00C13B9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</w:t>
      </w:r>
      <w:r w:rsidRPr="00C13B9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</w:t>
      </w:r>
      <w:r w:rsidR="00C13B9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83</w:t>
      </w:r>
      <w:r w:rsidR="00ED14B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</w:t>
      </w:r>
      <w:r w:rsidR="00ED14B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000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,00 PLN netto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(słownie: </w:t>
      </w:r>
      <w:r w:rsidR="00C13B9C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dwa miliony osiemset trzydzieści tysięcy złotych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00/100)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 –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Cena Wywoławcza.</w:t>
      </w:r>
    </w:p>
    <w:p w14:paraId="62E7F19D" w14:textId="77777777" w:rsidR="00351FFC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Uczestnik postępowania powinien złożyć ofertę na Formularzu ofertowym, stanowiącym załącznik nr 1 do niniejszego ogłoszenia.</w:t>
      </w:r>
    </w:p>
    <w:p w14:paraId="772D01E1" w14:textId="37AFA2AE" w:rsidR="00351FFC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przypadku uczestnika niebędącego osobą fizyczną, wraz z ofertą należy przedłożyć wypis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Centralnej Ewidencji i Informacji o Działalności Gospodarczej albo odpis aktualny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Krajowego Rejestru Sądowego.</w:t>
      </w:r>
    </w:p>
    <w:p w14:paraId="14ADF985" w14:textId="2F2447A8" w:rsidR="00351FFC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przypadku pełnomocnika podmiotu, o którym mowa w ust. 3 powyżej, wraz z ofertą należy przedłożyć aktualny dokument umocowania, uprawniający pełnomocnika do złożenia oferty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postępowaniu.</w:t>
      </w:r>
    </w:p>
    <w:p w14:paraId="714A22A1" w14:textId="77777777" w:rsidR="00351FFC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Wszelkie dokumenty sporządzone w języku obcym winny być przetłumaczone na język polski przez tłumacza przysięgłego.</w:t>
      </w:r>
    </w:p>
    <w:p w14:paraId="441F66FC" w14:textId="014739D1" w:rsidR="00351FFC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Kopie dokumentów, składane wraz ofertą, winny posiadać potwierdzenie za zgodność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oryginałem.</w:t>
      </w:r>
    </w:p>
    <w:p w14:paraId="03BEABFD" w14:textId="77777777" w:rsidR="00351FFC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Oferta oraz wszelkie dokumenty wraz z nią przedkładane winny być opatrzone podpisem uczestnika postępowania lub osoby przez niego umocowanej.</w:t>
      </w:r>
    </w:p>
    <w:p w14:paraId="44D8C59A" w14:textId="77777777" w:rsidR="00351FFC" w:rsidRDefault="005D5797">
      <w:pPr>
        <w:spacing w:after="150" w:line="276" w:lineRule="auto"/>
        <w:jc w:val="both"/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</w:p>
    <w:p w14:paraId="4B2183BB" w14:textId="77777777" w:rsidR="00351FFC" w:rsidRDefault="005D5797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VII.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Termin i miejsce składania ofert</w:t>
      </w:r>
    </w:p>
    <w:p w14:paraId="5FC76E27" w14:textId="11E213BB" w:rsidR="00351FFC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Uczestnik postępowania składa ofertę w terminie do </w:t>
      </w:r>
      <w:r w:rsidR="00B070E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31 sierpnia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bookmarkStart w:id="1" w:name="_Hlk98783579"/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pl-PL"/>
        </w:rPr>
        <w:t>202</w:t>
      </w:r>
      <w:r w:rsidR="0071766C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pl-PL"/>
        </w:rPr>
        <w:t>3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pl-PL"/>
        </w:rPr>
        <w:t xml:space="preserve"> roku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 godziny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12:00</w:t>
      </w:r>
      <w:bookmarkEnd w:id="1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00D9CA7A" w14:textId="71CE21E3" w:rsidR="00351FFC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Oferta wraz z załącznikami powinna zostać złożona w formie pisemnej, w zaklejonej kopercie z dopiskiem: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>„OFERTA W POSTĘPOWANIU NA ZAKUP NIERUCHOMOŚCI (ZNAK SPRAWY:</w:t>
      </w:r>
      <w:r w:rsidR="00B070E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>PP/01/0</w:t>
      </w:r>
      <w:r w:rsidR="00C13B9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>7</w:t>
      </w:r>
      <w:r w:rsidR="00B070E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>/2023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 xml:space="preserve">) – NIE OTWIERAĆ PRZED </w:t>
      </w:r>
      <w:bookmarkStart w:id="2" w:name="_Hlk98783601"/>
      <w:r w:rsidR="00B070E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>31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u w:val="single"/>
          <w:lang w:eastAsia="pl-PL"/>
        </w:rPr>
        <w:t>.0</w:t>
      </w:r>
      <w:r w:rsidR="00B070E1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u w:val="single"/>
          <w:lang w:eastAsia="pl-PL"/>
        </w:rPr>
        <w:t>8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u w:val="single"/>
          <w:lang w:eastAsia="pl-PL"/>
        </w:rPr>
        <w:t>.202</w:t>
      </w:r>
      <w:r w:rsidR="0071766C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u w:val="single"/>
          <w:lang w:eastAsia="pl-PL"/>
        </w:rPr>
        <w:t xml:space="preserve">3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>do godziny 12:</w:t>
      </w:r>
      <w:bookmarkEnd w:id="2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>30”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.</w:t>
      </w:r>
    </w:p>
    <w:p w14:paraId="3E396AE9" w14:textId="77777777" w:rsidR="00351FFC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Miejscem składania ofert jest recepcja Centrum Szkoleń i Konferencji Geovita w Jadwisinie, przy ul. Ogrodowej 31, 05–140 Jadwisin gm. Serock.</w:t>
      </w:r>
    </w:p>
    <w:p w14:paraId="3BC73627" w14:textId="72B2FB1F" w:rsidR="00351FFC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Otwarcie ofert nastąpi w Centrum Szkoleń i Konferencji Geovita w Jadwisinie, przy ulicy Ogrodowej 31, 05–140 Jadwisin gm. Serock, </w:t>
      </w:r>
      <w:bookmarkStart w:id="3" w:name="_Hlk98783625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dnia </w:t>
      </w:r>
      <w:r w:rsidR="00B070E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31 sierpnia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pl-PL"/>
        </w:rPr>
        <w:t>202</w:t>
      </w:r>
      <w:r w:rsidR="001D4F13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pl-PL"/>
        </w:rPr>
        <w:t>3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pl-PL"/>
        </w:rPr>
        <w:t xml:space="preserve"> roku o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godzinie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12:</w:t>
      </w:r>
      <w:bookmarkEnd w:id="3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30.</w:t>
      </w:r>
    </w:p>
    <w:p w14:paraId="64753C60" w14:textId="77777777" w:rsidR="00351FFC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Otwarcie ofert jest jawne. Wyniki otwarcia zostaną opublikowane na internetowej platformie zakupowej Wydzierżawiającego.</w:t>
      </w:r>
    </w:p>
    <w:p w14:paraId="009A1049" w14:textId="77777777" w:rsidR="00351FFC" w:rsidRDefault="005D5797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316F7917" w14:textId="77777777" w:rsidR="00351FFC" w:rsidRDefault="005D5797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VIII.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Kryteria oceny ofert – możliwość prowadzenia aukcji.</w:t>
      </w:r>
    </w:p>
    <w:p w14:paraId="1C854685" w14:textId="3207D722" w:rsidR="00351FFC" w:rsidRDefault="005D5797">
      <w:p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pl-PL"/>
        </w:rPr>
        <w:t>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Sprzedający oświadcza, iż uczestnik postępowania może zdobyć maksymalnie 100 pkt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ramach oceny oferty.</w:t>
      </w:r>
    </w:p>
    <w:p w14:paraId="3FEF0F28" w14:textId="77777777" w:rsidR="00351FFC" w:rsidRDefault="005D5797">
      <w:pPr>
        <w:spacing w:after="150" w:line="276" w:lineRule="auto"/>
        <w:ind w:left="340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pl-PL"/>
        </w:rPr>
        <w:t>    Zaoferowana kwota z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akupu stanowi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100 % kryterium oceny ofert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1254184" w14:textId="77777777" w:rsidR="00351FFC" w:rsidRDefault="005D5797">
      <w:pPr>
        <w:spacing w:after="150" w:line="276" w:lineRule="auto"/>
        <w:ind w:left="340" w:hanging="340"/>
        <w:jc w:val="both"/>
        <w:rPr>
          <w:color w:val="000000"/>
          <w:highlight w:val="yellow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gdy</w:t>
      </w:r>
      <w:r>
        <w:rPr>
          <w:rFonts w:ascii="Arial" w:eastAsia="Times New Roman" w:hAnsi="Arial" w:cs="Helvetica"/>
          <w:color w:val="666666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kilku oferentów zaoferowało tę samą cenę, prowadzący przetarg będzie  kontynuował postępowanie w formie aukcji, przy czym w przypadku obecności wszystkich oferentów, którzy będą brali udział w aukcji, za zgodą wszystkich oferentów, prowadzący przetarg może kontynuować postępowanie w formie aukcji w tym samym dniu.</w:t>
      </w:r>
    </w:p>
    <w:p w14:paraId="1D4F4E28" w14:textId="77777777" w:rsidR="00351FFC" w:rsidRDefault="005D5797">
      <w:pPr>
        <w:spacing w:after="150" w:line="276" w:lineRule="auto"/>
        <w:ind w:left="340" w:hanging="340"/>
        <w:jc w:val="both"/>
        <w:rPr>
          <w:color w:val="000000"/>
          <w:highlight w:val="yellow"/>
        </w:rPr>
      </w:pPr>
      <w:bookmarkStart w:id="4" w:name="__DdeLink__14997_3534942074"/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4. Do udziału w aukcji, o której mowa powyżej mogą zostać dopuszczone wyłącznie osoby, które:</w:t>
      </w:r>
      <w:bookmarkEnd w:id="4"/>
    </w:p>
    <w:p w14:paraId="067608E9" w14:textId="77777777" w:rsidR="00351FFC" w:rsidRDefault="005D5797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okazały dowód tożsamości,</w:t>
      </w:r>
    </w:p>
    <w:p w14:paraId="794084D8" w14:textId="782E0D0B" w:rsidR="00351FFC" w:rsidRDefault="005D5797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okazały dokument wykazujący ich prawidłowe umocowanie do składania oświadczeń woli </w:t>
      </w:r>
      <w:r w:rsidR="00B070E1"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              </w:t>
      </w: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w imieniu i na rzecz podmiotów, które wniosły wadium w trakcie aukcji;</w:t>
      </w:r>
    </w:p>
    <w:p w14:paraId="3B354722" w14:textId="77777777" w:rsidR="00351FFC" w:rsidRDefault="005D5797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podpisały Oświadczenie, że:</w:t>
      </w:r>
    </w:p>
    <w:p w14:paraId="05F6B627" w14:textId="77777777" w:rsidR="00351FFC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zapoznały się, akceptują i nie wnoszą zastrzeżeń do stanu prawnego i faktycznego przedmiotu postępowania; </w:t>
      </w:r>
    </w:p>
    <w:p w14:paraId="64B69EA1" w14:textId="77777777" w:rsidR="00351FFC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zapoznały się, akceptują  bez zastrzeżeń „Regulamin zbywania składników aktywów trwałych Spółki Geovita S.A. z siedzibą w Jadwisinie”; </w:t>
      </w:r>
    </w:p>
    <w:p w14:paraId="4CF063A0" w14:textId="77777777" w:rsidR="00351FFC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przyjmują bez zastrzeżeń warunki przetargu/aukcji; </w:t>
      </w:r>
    </w:p>
    <w:p w14:paraId="3D2AC27F" w14:textId="77777777" w:rsidR="00351FFC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zapoznały się z treścią ogłoszenia; </w:t>
      </w:r>
    </w:p>
    <w:p w14:paraId="2C746605" w14:textId="77777777" w:rsidR="00351FFC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w przypadku niewyrażenia przez organy statutowe  Sprzedającego zgód korporacyjnych niezbędnych do przeprowadzenia transakcji, nie będą wnosiły żadnych roszczeń do Spółki związanych z nie zawarciem umowy sprzedaży. </w:t>
      </w:r>
    </w:p>
    <w:p w14:paraId="087A862B" w14:textId="77777777" w:rsidR="00351FFC" w:rsidRDefault="005D5797">
      <w:pPr>
        <w:spacing w:after="15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5</w:t>
      </w: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. Postąpienie w aukcji, wynosi </w:t>
      </w:r>
      <w:r>
        <w:rPr>
          <w:rFonts w:ascii="Arial" w:eastAsia="Times New Roman" w:hAnsi="Arial" w:cs="Helvetica"/>
          <w:b/>
          <w:bCs/>
          <w:color w:val="000000"/>
          <w:sz w:val="21"/>
          <w:szCs w:val="21"/>
          <w:lang w:eastAsia="pl-PL"/>
        </w:rPr>
        <w:t xml:space="preserve">0,5% </w:t>
      </w: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Ceny Wywoławczej.</w:t>
      </w:r>
    </w:p>
    <w:p w14:paraId="5F79C383" w14:textId="77777777" w:rsidR="00351FFC" w:rsidRDefault="00351FFC">
      <w:pPr>
        <w:spacing w:after="150" w:line="276" w:lineRule="auto"/>
        <w:jc w:val="both"/>
        <w:rPr>
          <w:rFonts w:eastAsia="Times New Roman" w:cs="Helvetica"/>
          <w:color w:val="000000"/>
          <w:sz w:val="21"/>
          <w:szCs w:val="21"/>
          <w:lang w:eastAsia="pl-PL"/>
        </w:rPr>
      </w:pPr>
    </w:p>
    <w:p w14:paraId="5D4E52A7" w14:textId="77777777" w:rsidR="00351FFC" w:rsidRDefault="005D5797">
      <w:pPr>
        <w:spacing w:after="150" w:line="276" w:lineRule="auto"/>
        <w:ind w:left="737" w:hanging="73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IX.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Informacje dodatkowe</w:t>
      </w:r>
    </w:p>
    <w:p w14:paraId="20C5B73F" w14:textId="77777777" w:rsidR="00351FFC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Uczestnicy postępowania mogą (w zakresie pytań dotyczących treści niniejszego ogłoszenia) kontaktować się z wyznaczonym pracownikiem Sprzedającego za pomocą poczty elektronicznej lub pod wskazanym numerem telefonu.</w:t>
      </w:r>
    </w:p>
    <w:p w14:paraId="5C13B8E9" w14:textId="77777777" w:rsidR="00351FFC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Osobami kontaktowymi po stronie Sprzedającego są:</w:t>
      </w:r>
    </w:p>
    <w:p w14:paraId="7BA9B85B" w14:textId="77777777" w:rsidR="001D4F13" w:rsidRDefault="001D4F13" w:rsidP="001D4F13">
      <w:pPr>
        <w:pStyle w:val="Akapitzlist"/>
        <w:numPr>
          <w:ilvl w:val="1"/>
          <w:numId w:val="3"/>
        </w:numPr>
        <w:spacing w:after="150" w:line="276" w:lineRule="auto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Pani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Iwona Kakietek –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(mail: </w:t>
      </w:r>
      <w:r w:rsidRPr="005E2C7A">
        <w:rPr>
          <w:rStyle w:val="ListLabel16"/>
          <w:rFonts w:eastAsiaTheme="minorHAnsi"/>
          <w:color w:val="000000"/>
        </w:rPr>
        <w:t>iwona.kakietek@geovita.pl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; tel. </w:t>
      </w:r>
      <w:r w:rsidRPr="005E2C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601 811 557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).</w:t>
      </w:r>
    </w:p>
    <w:p w14:paraId="3912629C" w14:textId="77777777" w:rsidR="001D4F13" w:rsidRDefault="001D4F13" w:rsidP="001D4F13">
      <w:pPr>
        <w:pStyle w:val="Akapitzlist"/>
        <w:numPr>
          <w:ilvl w:val="1"/>
          <w:numId w:val="3"/>
        </w:numPr>
        <w:spacing w:after="150" w:line="276" w:lineRule="auto"/>
        <w:jc w:val="both"/>
      </w:pPr>
      <w:r w:rsidRPr="005E2C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Pan </w:t>
      </w:r>
      <w:r w:rsidRPr="005E2C7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Paweł Podlejski – </w:t>
      </w:r>
      <w:r w:rsidRPr="005E2C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(mail: </w:t>
      </w:r>
      <w:r>
        <w:rPr>
          <w:rStyle w:val="czeinternetowe"/>
          <w:rFonts w:ascii="Arial" w:eastAsia="Times New Roman" w:hAnsi="Arial" w:cs="Arial"/>
          <w:color w:val="000000"/>
          <w:sz w:val="21"/>
          <w:szCs w:val="21"/>
          <w:lang w:eastAsia="pl-PL"/>
        </w:rPr>
        <w:t>pawel.podlejski@phh.pl</w:t>
      </w:r>
      <w:r w:rsidRPr="005E2C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tel.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664</w:t>
      </w:r>
      <w:r w:rsidRPr="005E2C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125</w:t>
      </w:r>
      <w:r w:rsidRPr="005E2C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249</w:t>
      </w:r>
      <w:r w:rsidRPr="005E2C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).</w:t>
      </w:r>
    </w:p>
    <w:p w14:paraId="115DD5B7" w14:textId="603734D3" w:rsidR="00351FFC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Osoba kontaktowa po stronie Sprzedającego odpowie na wszelkie pytania uczestników postępowania lub osób zainteresowanych z zastrzeżeniem, iż zarówno przedmiot pytania jak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odpowiedź nie będą stanowiły czynu naruszającego rzetelność oraz obiektywność prowadzenia postępowania.</w:t>
      </w:r>
    </w:p>
    <w:p w14:paraId="57DC7531" w14:textId="77777777" w:rsidR="00351FFC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Nabycie nieruchomości będącej przedmiotem licytacji przez cudzoziemca w rozumieniu przepisów Ustawy z dnia 20 marca 1920 roku o nabywaniu nieruchomości przez cudzoziemców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(Dz.U.2017.2278 t.j. z dnia 2017.12.07)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wymagać będzie uprzedniego zezwolenia, które jest wydawane w drodze decyzji administracyjnej przez ministra właściwego do spraw wewnętrznych, jeżeli sprzeciwu nie wniesie Minister Obrony Narodowej, a w przypadku nieruchomości rolnych, jeżeli sprzeciwu również nie wniesie minister właściwy do spraw rozwoju wsi.</w:t>
      </w:r>
    </w:p>
    <w:p w14:paraId="3F88BCFB" w14:textId="77777777" w:rsidR="00351FFC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Strony transakcji sprzedaży nieruchomości mogą zrezygnować ze zwolnienia o którym mowa w ustawie o VAT i wybrać opodatkowanie dostawy budynków, budowli lub ich części, pod warunkiem, że dokonujący dostawy i nabywca budynku, budowli lub ich części:</w:t>
      </w:r>
    </w:p>
    <w:p w14:paraId="7BC6BD66" w14:textId="77777777" w:rsidR="00351FFC" w:rsidRDefault="005D5797">
      <w:pPr>
        <w:numPr>
          <w:ilvl w:val="0"/>
          <w:numId w:val="8"/>
        </w:numPr>
        <w:spacing w:after="150" w:line="276" w:lineRule="auto"/>
        <w:ind w:left="1215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są zarejestrowani jako podatnicy VAT czynni;</w:t>
      </w:r>
    </w:p>
    <w:p w14:paraId="125CF88E" w14:textId="77777777" w:rsidR="00351FFC" w:rsidRDefault="005D5797">
      <w:pPr>
        <w:numPr>
          <w:ilvl w:val="0"/>
          <w:numId w:val="8"/>
        </w:numPr>
        <w:spacing w:after="150" w:line="276" w:lineRule="auto"/>
        <w:ind w:left="1215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złożą, przed dniem dokonania dostawy tych obiektów właściwemu dla ich nabywcy naczelnikowi urzędu skarbowego, zgodne oświadczenie, że wybierają opodatkowanie dostawy budynku, budowli lub ich części.</w:t>
      </w:r>
    </w:p>
    <w:p w14:paraId="13B814DD" w14:textId="21401CB5" w:rsidR="00351FFC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Pani/Pana danych osobowych jest Geovita S.A. z siedzibą w Jadwisinie (Administrator), ul. Ogrodowa 31, 05 – 140 Jadwisin gm. Serock. Kontakt z Administratorem jest możliwy poprzez adres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e-mail </w:t>
      </w:r>
      <w:hyperlink r:id="rId8" w:history="1">
        <w:r w:rsidR="00C13B9C" w:rsidRPr="00DE46C3">
          <w:rPr>
            <w:rStyle w:val="Hipercze"/>
            <w:rFonts w:ascii="Arial" w:hAnsi="Arial" w:cs="Arial"/>
            <w:i/>
            <w:iCs/>
            <w:sz w:val="21"/>
            <w:szCs w:val="21"/>
            <w:lang w:eastAsia="pl-PL"/>
          </w:rPr>
          <w:t>rodo@geovita.pl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lub pisemnie na adres ul. Ogrodowa 31, 05 – 140 Jadwisin gm. Serock. Podane przez Panią/Pana dane osobowe są przetwarzane wyłącznie w celu prowadzenia z Panią/Panem korespondencji i załatwienia sprawy, której ona dotyczy oraz w celu ewentualnego ustalenia lub dochodzenia roszczeń lub obrony przed roszczeniami; podstawą prawną przetwarzania jest uzasadniony interes Administratora (art. 6 ust. 1 lit. f Rozporządzenia ogólnego o ochronie danych osobowych 2016/679 – RODO), polegający na prowadzeniu korespondencji z interesantami i załatwieniu zgłaszanych przez nich spraw. Pani/Pana dane osobowe są przekazywane podmiotom świadczącym na rzecz Administratora usługi związane z realizacją ww. celów, w tym przede wszystkim dostawcom systemów informatycznych oraz podmiotom świadczącym usługi niezbędne do obsługi Państwa sprawy. Pani/Pana dane będą przetwarzane przez okres prowadzenia korespondencji i załatwienia sprawy, której ona dotyczy. Okres przetwarzania może zostać każdorazowo przedłużony o okres przedawnienia roszczeń, jeżeli przetwarzanie Pani/Pana danych osobowych będzie niezbędne dla ustalenia lub dochodzenia ewentualnych roszczeń lub obrony przed takimi roszczeniami przez Administratora. Przysługuje Pani/Panu prawo dostępu do treści danych oraz żądania ich sprostowania, usunięcia, ograniczenia przetwarzania, prawo do przenoszenia danych oraz prawo wniesienia sprzeciwu względem przetwarzania danych. Przysługuje Pani/Panu także prawo wniesienia skargi do organu nadzorczego zajmującego się ochroną danych osobowych, gdy uzna Pani/Pan,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że przetwarzanie Pani/Pana danych osobowych narusza przepisy RODO. Przysługuje Pani/Panu także prawo sprzeciwu względem przetwarzania Pani/Pana danych osobowych </w:t>
      </w:r>
      <w:r w:rsidR="00B070E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przyczyn związanych z Pani/Pana szczególną sytuacją. Dane zostały przez Panią/Pana podane dobrowolnie.</w:t>
      </w:r>
    </w:p>
    <w:p w14:paraId="18051B62" w14:textId="77777777" w:rsidR="00351FFC" w:rsidRDefault="005D5797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16F841D1" w14:textId="77777777" w:rsidR="00351FFC" w:rsidRDefault="005D5797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Załączniki:</w:t>
      </w:r>
    </w:p>
    <w:p w14:paraId="4D019FC7" w14:textId="77777777" w:rsidR="00351FFC" w:rsidRDefault="005D5797">
      <w:pPr>
        <w:spacing w:after="150" w:line="276" w:lineRule="auto"/>
        <w:jc w:val="both"/>
        <w:rPr>
          <w:rFonts w:ascii="Arial" w:eastAsia="Times New Roman" w:hAnsi="Arial" w:cs="Times New Roman"/>
          <w:b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18"/>
          <w:szCs w:val="18"/>
          <w:lang w:eastAsia="pl-PL"/>
        </w:rPr>
        <w:t>Załącznik nr 1 - formularz ofertowy Piła Płotki.docx</w:t>
      </w:r>
    </w:p>
    <w:p w14:paraId="525B7F9E" w14:textId="77777777" w:rsidR="000573D6" w:rsidRDefault="000573D6" w:rsidP="000573D6">
      <w:pPr>
        <w:spacing w:after="150" w:line="276" w:lineRule="auto"/>
        <w:jc w:val="both"/>
        <w:rPr>
          <w:rFonts w:ascii="Arial" w:eastAsia="Times New Roman" w:hAnsi="Arial" w:cs="Times New Roman"/>
          <w:b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18"/>
          <w:szCs w:val="18"/>
          <w:lang w:eastAsia="pl-PL"/>
        </w:rPr>
        <w:t>Załącznik nr 2 - oświadczenie.docx</w:t>
      </w:r>
    </w:p>
    <w:p w14:paraId="1B3BA093" w14:textId="77777777" w:rsidR="000573D6" w:rsidRDefault="000573D6">
      <w:pPr>
        <w:spacing w:after="150" w:line="276" w:lineRule="auto"/>
        <w:jc w:val="both"/>
      </w:pPr>
    </w:p>
    <w:sectPr w:rsidR="000573D6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FE9F" w14:textId="77777777" w:rsidR="000A394E" w:rsidRDefault="000A394E">
      <w:pPr>
        <w:spacing w:after="0" w:line="240" w:lineRule="auto"/>
      </w:pPr>
      <w:r>
        <w:separator/>
      </w:r>
    </w:p>
  </w:endnote>
  <w:endnote w:type="continuationSeparator" w:id="0">
    <w:p w14:paraId="4185C0D9" w14:textId="77777777" w:rsidR="000A394E" w:rsidRDefault="000A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77557"/>
      <w:docPartObj>
        <w:docPartGallery w:val="Page Numbers (Bottom of Page)"/>
        <w:docPartUnique/>
      </w:docPartObj>
    </w:sdtPr>
    <w:sdtEndPr/>
    <w:sdtContent>
      <w:p w14:paraId="79066BB2" w14:textId="23131714" w:rsidR="00351FFC" w:rsidRDefault="005D5797">
        <w:pPr>
          <w:pStyle w:val="Stopka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215897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14:paraId="065E8234" w14:textId="77777777" w:rsidR="00351FFC" w:rsidRDefault="00351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010F" w14:textId="77777777" w:rsidR="000A394E" w:rsidRDefault="000A394E">
      <w:pPr>
        <w:spacing w:after="0" w:line="240" w:lineRule="auto"/>
      </w:pPr>
      <w:r>
        <w:separator/>
      </w:r>
    </w:p>
  </w:footnote>
  <w:footnote w:type="continuationSeparator" w:id="0">
    <w:p w14:paraId="7471D5F5" w14:textId="77777777" w:rsidR="000A394E" w:rsidRDefault="000A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EBD"/>
    <w:multiLevelType w:val="multilevel"/>
    <w:tmpl w:val="CC3CB81C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sz w:val="2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F7B"/>
    <w:multiLevelType w:val="multilevel"/>
    <w:tmpl w:val="D07019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675C09"/>
    <w:multiLevelType w:val="multilevel"/>
    <w:tmpl w:val="27B221B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E44A00"/>
    <w:multiLevelType w:val="multilevel"/>
    <w:tmpl w:val="36969090"/>
    <w:lvl w:ilvl="0">
      <w:start w:val="1"/>
      <w:numFmt w:val="decimal"/>
      <w:lvlText w:val="%1."/>
      <w:lvlJc w:val="left"/>
      <w:pPr>
        <w:ind w:left="495" w:hanging="360"/>
      </w:pPr>
      <w:rPr>
        <w:rFonts w:ascii="Helvetica" w:hAnsi="Helvetica" w:cs="Arial"/>
        <w:sz w:val="21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4267509"/>
    <w:multiLevelType w:val="multilevel"/>
    <w:tmpl w:val="7572191E"/>
    <w:lvl w:ilvl="0">
      <w:start w:val="1"/>
      <w:numFmt w:val="decimal"/>
      <w:lvlText w:val="%1."/>
      <w:lvlJc w:val="left"/>
      <w:pPr>
        <w:ind w:left="492" w:hanging="360"/>
      </w:pPr>
      <w:rPr>
        <w:rFonts w:ascii="Helvetica" w:hAnsi="Helvetica" w:cs="Arial"/>
        <w:sz w:val="21"/>
      </w:rPr>
    </w:lvl>
    <w:lvl w:ilvl="1">
      <w:start w:val="1"/>
      <w:numFmt w:val="lowerLetter"/>
      <w:lvlText w:val="%2."/>
      <w:lvlJc w:val="left"/>
      <w:pPr>
        <w:ind w:left="1212" w:hanging="360"/>
      </w:pPr>
      <w:rPr>
        <w:rFonts w:ascii="Helvetica" w:hAnsi="Helvetica" w:cs="Arial"/>
        <w:sz w:val="21"/>
      </w:r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461D1579"/>
    <w:multiLevelType w:val="multilevel"/>
    <w:tmpl w:val="F2C4D14A"/>
    <w:lvl w:ilvl="0">
      <w:start w:val="1"/>
      <w:numFmt w:val="decimal"/>
      <w:lvlText w:val="%1."/>
      <w:lvlJc w:val="left"/>
      <w:pPr>
        <w:ind w:left="630" w:hanging="360"/>
      </w:pPr>
      <w:rPr>
        <w:rFonts w:ascii="Helvetica" w:hAnsi="Helvetica" w:cs="Arial"/>
        <w:b w:val="0"/>
        <w:sz w:val="21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0175535"/>
    <w:multiLevelType w:val="multilevel"/>
    <w:tmpl w:val="2CF2BC66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sz w:val="21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0781E49"/>
    <w:multiLevelType w:val="multilevel"/>
    <w:tmpl w:val="FB7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8" w15:restartNumberingAfterBreak="0">
    <w:nsid w:val="7A655060"/>
    <w:multiLevelType w:val="multilevel"/>
    <w:tmpl w:val="72EA179C"/>
    <w:lvl w:ilvl="0">
      <w:start w:val="1"/>
      <w:numFmt w:val="decimal"/>
      <w:lvlText w:val="%1."/>
      <w:lvlJc w:val="left"/>
      <w:pPr>
        <w:ind w:left="492" w:hanging="360"/>
      </w:pPr>
      <w:rPr>
        <w:rFonts w:ascii="Helvetica" w:hAnsi="Helvetica" w:cs="Arial"/>
        <w:sz w:val="21"/>
      </w:rPr>
    </w:lvl>
    <w:lvl w:ilvl="1">
      <w:start w:val="1"/>
      <w:numFmt w:val="lowerLetter"/>
      <w:lvlText w:val="%2."/>
      <w:lvlJc w:val="left"/>
      <w:pPr>
        <w:ind w:left="1212" w:hanging="360"/>
      </w:pPr>
      <w:rPr>
        <w:rFonts w:ascii="Helvetica" w:hAnsi="Helvetica" w:cs="Arial"/>
        <w:sz w:val="21"/>
      </w:r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7B181C5F"/>
    <w:multiLevelType w:val="multilevel"/>
    <w:tmpl w:val="48A09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FC"/>
    <w:rsid w:val="000573D6"/>
    <w:rsid w:val="000A394E"/>
    <w:rsid w:val="000B098C"/>
    <w:rsid w:val="001D4F13"/>
    <w:rsid w:val="00215897"/>
    <w:rsid w:val="00351EE2"/>
    <w:rsid w:val="00351FFC"/>
    <w:rsid w:val="003B3E2C"/>
    <w:rsid w:val="00533AAD"/>
    <w:rsid w:val="005406A1"/>
    <w:rsid w:val="005D5797"/>
    <w:rsid w:val="00633DFC"/>
    <w:rsid w:val="0071766C"/>
    <w:rsid w:val="00762D5F"/>
    <w:rsid w:val="00777CFB"/>
    <w:rsid w:val="00867615"/>
    <w:rsid w:val="00AC66AB"/>
    <w:rsid w:val="00B059B3"/>
    <w:rsid w:val="00B070E1"/>
    <w:rsid w:val="00B65767"/>
    <w:rsid w:val="00C13B9C"/>
    <w:rsid w:val="00E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AA7C"/>
  <w15:docId w15:val="{E4E676C7-468A-4219-8359-CB981896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80429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8042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0429C"/>
    <w:rPr>
      <w:color w:val="0000FF"/>
      <w:u w:val="single"/>
    </w:rPr>
  </w:style>
  <w:style w:type="character" w:customStyle="1" w:styleId="highlight-text">
    <w:name w:val="highlight-text"/>
    <w:basedOn w:val="Domylnaczcionkaakapitu"/>
    <w:qFormat/>
    <w:rsid w:val="0080429C"/>
  </w:style>
  <w:style w:type="character" w:customStyle="1" w:styleId="sr-only">
    <w:name w:val="sr-only"/>
    <w:basedOn w:val="Domylnaczcionkaakapitu"/>
    <w:qFormat/>
    <w:rsid w:val="0080429C"/>
  </w:style>
  <w:style w:type="character" w:styleId="Pogrubienie">
    <w:name w:val="Strong"/>
    <w:basedOn w:val="Domylnaczcionkaakapitu"/>
    <w:uiPriority w:val="22"/>
    <w:qFormat/>
    <w:rsid w:val="0080429C"/>
    <w:rPr>
      <w:b/>
      <w:bCs/>
    </w:rPr>
  </w:style>
  <w:style w:type="character" w:customStyle="1" w:styleId="errorrow">
    <w:name w:val="errorrow"/>
    <w:basedOn w:val="Domylnaczcionkaakapitu"/>
    <w:qFormat/>
    <w:rsid w:val="0080429C"/>
  </w:style>
  <w:style w:type="character" w:customStyle="1" w:styleId="NagwekZnak">
    <w:name w:val="Nagłówek Znak"/>
    <w:basedOn w:val="Domylnaczcionkaakapitu"/>
    <w:link w:val="Nagwek"/>
    <w:uiPriority w:val="99"/>
    <w:qFormat/>
    <w:rsid w:val="00387D05"/>
  </w:style>
  <w:style w:type="character" w:customStyle="1" w:styleId="StopkaZnak">
    <w:name w:val="Stopka Znak"/>
    <w:basedOn w:val="Domylnaczcionkaakapitu"/>
    <w:link w:val="Stopka"/>
    <w:uiPriority w:val="99"/>
    <w:qFormat/>
    <w:rsid w:val="00387D05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6179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Helvetica" w:hAnsi="Helvetica" w:cs="Arial"/>
      <w:sz w:val="21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Helvetica" w:hAnsi="Helvetica" w:cs="Arial"/>
      <w:sz w:val="21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ascii="Arial" w:hAnsi="Arial" w:cs="Arial"/>
      <w:sz w:val="21"/>
    </w:rPr>
  </w:style>
  <w:style w:type="character" w:customStyle="1" w:styleId="ListLabel6">
    <w:name w:val="ListLabel 6"/>
    <w:qFormat/>
    <w:rPr>
      <w:rFonts w:ascii="Helvetica" w:hAnsi="Helvetica" w:cs="Arial"/>
      <w:sz w:val="21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ascii="Helvetica" w:hAnsi="Helvetica" w:cs="Arial"/>
      <w:sz w:val="21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</w:rPr>
  </w:style>
  <w:style w:type="character" w:customStyle="1" w:styleId="ListLabel15">
    <w:name w:val="ListLabel 15"/>
    <w:qFormat/>
    <w:rPr>
      <w:rFonts w:ascii="Helvetica" w:hAnsi="Helvetica" w:cs="Arial"/>
      <w:b/>
      <w:sz w:val="21"/>
    </w:rPr>
  </w:style>
  <w:style w:type="character" w:customStyle="1" w:styleId="ListLabel16">
    <w:name w:val="ListLabel 16"/>
    <w:qFormat/>
    <w:rPr>
      <w:rFonts w:ascii="Arial" w:eastAsia="Times New Roman" w:hAnsi="Arial" w:cs="Arial"/>
      <w:color w:val="337AB7"/>
      <w:sz w:val="21"/>
      <w:szCs w:val="21"/>
      <w:shd w:val="clear" w:color="auto" w:fill="FFFFFF"/>
      <w:lang w:eastAsia="pl-PL"/>
    </w:rPr>
  </w:style>
  <w:style w:type="character" w:customStyle="1" w:styleId="ListLabel17">
    <w:name w:val="ListLabel 17"/>
    <w:qFormat/>
    <w:rPr>
      <w:rFonts w:ascii="Arial" w:eastAsia="Times New Roman" w:hAnsi="Arial" w:cs="Arial"/>
      <w:sz w:val="21"/>
      <w:szCs w:val="21"/>
      <w:lang w:eastAsia="pl-PL"/>
    </w:rPr>
  </w:style>
  <w:style w:type="character" w:customStyle="1" w:styleId="ListLabel18">
    <w:name w:val="ListLabel 18"/>
    <w:qFormat/>
    <w:rPr>
      <w:rFonts w:ascii="Arial" w:eastAsia="Times New Roman" w:hAnsi="Arial" w:cs="Arial"/>
      <w:color w:val="666666"/>
      <w:sz w:val="21"/>
      <w:szCs w:val="21"/>
      <w:lang w:eastAsia="pl-P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ascii="Helvetica" w:hAnsi="Helvetica" w:cs="Arial"/>
      <w:sz w:val="21"/>
    </w:rPr>
  </w:style>
  <w:style w:type="character" w:customStyle="1" w:styleId="ListLabel20">
    <w:name w:val="ListLabel 20"/>
    <w:qFormat/>
    <w:rPr>
      <w:rFonts w:ascii="Helvetica" w:hAnsi="Helvetica" w:cs="Arial"/>
      <w:sz w:val="21"/>
    </w:rPr>
  </w:style>
  <w:style w:type="character" w:customStyle="1" w:styleId="ListLabel21">
    <w:name w:val="ListLabel 21"/>
    <w:qFormat/>
    <w:rPr>
      <w:rFonts w:ascii="Helvetica" w:hAnsi="Helvetica" w:cs="Arial"/>
      <w:sz w:val="21"/>
    </w:rPr>
  </w:style>
  <w:style w:type="character" w:customStyle="1" w:styleId="ListLabel22">
    <w:name w:val="ListLabel 22"/>
    <w:qFormat/>
    <w:rPr>
      <w:rFonts w:ascii="Helvetica" w:hAnsi="Helvetica" w:cs="Arial"/>
      <w:sz w:val="21"/>
    </w:rPr>
  </w:style>
  <w:style w:type="character" w:customStyle="1" w:styleId="ListLabel23">
    <w:name w:val="ListLabel 23"/>
    <w:qFormat/>
    <w:rPr>
      <w:rFonts w:ascii="Helvetica" w:hAnsi="Helvetica" w:cs="Arial"/>
      <w:sz w:val="21"/>
    </w:rPr>
  </w:style>
  <w:style w:type="character" w:customStyle="1" w:styleId="ListLabel24">
    <w:name w:val="ListLabel 24"/>
    <w:qFormat/>
    <w:rPr>
      <w:rFonts w:ascii="Helvetica" w:hAnsi="Helvetica" w:cs="Arial"/>
      <w:b/>
      <w:sz w:val="21"/>
    </w:rPr>
  </w:style>
  <w:style w:type="character" w:customStyle="1" w:styleId="ListLabel25">
    <w:name w:val="ListLabel 25"/>
    <w:qFormat/>
    <w:rPr>
      <w:rFonts w:ascii="Arial" w:eastAsia="Times New Roman" w:hAnsi="Arial" w:cs="Arial"/>
      <w:color w:val="000000"/>
      <w:sz w:val="21"/>
      <w:szCs w:val="21"/>
      <w:shd w:val="clear" w:color="auto" w:fill="FFFFFF"/>
      <w:lang w:eastAsia="pl-PL"/>
    </w:rPr>
  </w:style>
  <w:style w:type="character" w:customStyle="1" w:styleId="ListLabel26">
    <w:name w:val="ListLabel 26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27">
    <w:name w:val="ListLabel 27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Arial" w:hAnsi="Arial" w:cs="Arial"/>
      <w:sz w:val="21"/>
    </w:rPr>
  </w:style>
  <w:style w:type="character" w:customStyle="1" w:styleId="ListLabel29">
    <w:name w:val="ListLabel 29"/>
    <w:qFormat/>
    <w:rPr>
      <w:rFonts w:ascii="Helvetica" w:hAnsi="Helvetica" w:cs="Arial"/>
      <w:sz w:val="21"/>
    </w:rPr>
  </w:style>
  <w:style w:type="character" w:customStyle="1" w:styleId="ListLabel30">
    <w:name w:val="ListLabel 30"/>
    <w:qFormat/>
    <w:rPr>
      <w:rFonts w:ascii="Helvetica" w:hAnsi="Helvetica" w:cs="Arial"/>
      <w:sz w:val="21"/>
    </w:rPr>
  </w:style>
  <w:style w:type="character" w:customStyle="1" w:styleId="ListLabel31">
    <w:name w:val="ListLabel 31"/>
    <w:qFormat/>
    <w:rPr>
      <w:rFonts w:ascii="Helvetica" w:hAnsi="Helvetica" w:cs="Arial"/>
      <w:sz w:val="21"/>
    </w:rPr>
  </w:style>
  <w:style w:type="character" w:customStyle="1" w:styleId="ListLabel32">
    <w:name w:val="ListLabel 32"/>
    <w:qFormat/>
    <w:rPr>
      <w:rFonts w:ascii="Arial" w:hAnsi="Arial" w:cs="Arial"/>
      <w:sz w:val="21"/>
    </w:rPr>
  </w:style>
  <w:style w:type="character" w:customStyle="1" w:styleId="ListLabel33">
    <w:name w:val="ListLabel 33"/>
    <w:qFormat/>
    <w:rPr>
      <w:rFonts w:ascii="Helvetica" w:hAnsi="Helvetica" w:cs="Arial"/>
      <w:b/>
      <w:sz w:val="21"/>
    </w:rPr>
  </w:style>
  <w:style w:type="character" w:customStyle="1" w:styleId="ListLabel34">
    <w:name w:val="ListLabel 34"/>
    <w:qFormat/>
    <w:rPr>
      <w:rFonts w:ascii="Arial" w:hAnsi="Arial" w:cs="OpenSymbol"/>
      <w:sz w:val="21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ascii="Arial" w:eastAsia="Times New Roman" w:hAnsi="Arial" w:cs="Arial"/>
      <w:color w:val="000000"/>
      <w:sz w:val="21"/>
      <w:szCs w:val="21"/>
      <w:shd w:val="clear" w:color="auto" w:fill="FFFFFF"/>
      <w:lang w:eastAsia="pl-PL"/>
    </w:rPr>
  </w:style>
  <w:style w:type="character" w:customStyle="1" w:styleId="ListLabel44">
    <w:name w:val="ListLabel 44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45">
    <w:name w:val="ListLabel 45"/>
    <w:qFormat/>
    <w:rPr>
      <w:rFonts w:ascii="Arial" w:eastAsia="Times New Roman" w:hAnsi="Arial" w:cs="Arial"/>
      <w:i/>
      <w:iCs/>
      <w:color w:val="000000"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7D0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ctive">
    <w:name w:val="active"/>
    <w:basedOn w:val="Normalny"/>
    <w:qFormat/>
    <w:rsid w:val="008042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8042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08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7D05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3B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geovi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2B90-8C7E-492C-A73E-A905F11F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2171</Words>
  <Characters>13029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Dronszczyk</dc:creator>
  <dc:description/>
  <cp:lastModifiedBy>Blaszczak Anna</cp:lastModifiedBy>
  <cp:revision>2</cp:revision>
  <cp:lastPrinted>2023-07-04T06:59:00Z</cp:lastPrinted>
  <dcterms:created xsi:type="dcterms:W3CDTF">2023-07-06T14:03:00Z</dcterms:created>
  <dcterms:modified xsi:type="dcterms:W3CDTF">2023-07-06T14:03:00Z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