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789"/>
      </w:tblGrid>
      <w:tr w:rsidR="007D0E38" w:rsidRPr="00E608CB" w14:paraId="72BBA08B" w14:textId="77777777" w:rsidTr="00330DB6">
        <w:trPr>
          <w:trHeight w:val="2834"/>
        </w:trPr>
        <w:tc>
          <w:tcPr>
            <w:tcW w:w="2835" w:type="dxa"/>
            <w:shd w:val="clear" w:color="auto" w:fill="0F243E" w:themeFill="text2" w:themeFillShade="80"/>
          </w:tcPr>
          <w:p w14:paraId="4126BD22" w14:textId="77777777" w:rsidR="007D0E38" w:rsidRPr="00E608CB" w:rsidRDefault="007D0E38" w:rsidP="00330DB6">
            <w:pPr>
              <w:rPr>
                <w:rFonts w:asciiTheme="minorHAnsi" w:eastAsiaTheme="minorHAnsi" w:hAnsiTheme="minorHAnsi" w:cstheme="minorHAnsi"/>
                <w:color w:val="FFFFFF" w:themeColor="background1"/>
                <w:sz w:val="22"/>
                <w:szCs w:val="22"/>
              </w:rPr>
            </w:pPr>
            <w:bookmarkStart w:id="0" w:name="_Hlk135730747"/>
          </w:p>
          <w:p w14:paraId="063298A6" w14:textId="591E6E1F" w:rsidR="007D0E38" w:rsidRPr="00E608CB" w:rsidRDefault="00723DB1" w:rsidP="00330DB6">
            <w:pPr>
              <w:rPr>
                <w:rFonts w:asciiTheme="minorHAnsi" w:eastAsiaTheme="minorHAnsi" w:hAnsiTheme="minorHAnsi" w:cstheme="minorHAnsi"/>
                <w:color w:val="FFFFFF" w:themeColor="background1"/>
                <w:sz w:val="22"/>
                <w:szCs w:val="22"/>
              </w:rPr>
            </w:pPr>
            <w:r>
              <w:rPr>
                <w:rFonts w:asciiTheme="minorHAnsi" w:eastAsiaTheme="minorHAnsi" w:hAnsiTheme="minorHAnsi" w:cstheme="minorHAnsi"/>
                <w:color w:val="FFFFFF" w:themeColor="background1"/>
                <w:sz w:val="22"/>
                <w:szCs w:val="22"/>
                <w:lang w:val="pl"/>
              </w:rPr>
              <w:t>Data przyjęcia: 9 czerwca 2023 r.</w:t>
            </w:r>
          </w:p>
          <w:p w14:paraId="12E6BA8D" w14:textId="77777777" w:rsidR="007D0E38" w:rsidRPr="00E608CB" w:rsidRDefault="007D0E38" w:rsidP="00330DB6">
            <w:pPr>
              <w:rPr>
                <w:rFonts w:asciiTheme="minorHAnsi" w:eastAsiaTheme="minorHAnsi" w:hAnsiTheme="minorHAnsi" w:cstheme="minorHAnsi"/>
                <w:color w:val="FFFFFF" w:themeColor="background1"/>
                <w:sz w:val="22"/>
                <w:szCs w:val="22"/>
              </w:rPr>
            </w:pPr>
          </w:p>
          <w:p w14:paraId="388F7AC8" w14:textId="77777777" w:rsidR="007D0E38" w:rsidRPr="00E608CB" w:rsidRDefault="007D0E38" w:rsidP="00330DB6">
            <w:pPr>
              <w:rPr>
                <w:rFonts w:asciiTheme="minorHAnsi" w:eastAsiaTheme="minorHAnsi" w:hAnsiTheme="minorHAnsi" w:cstheme="minorHAnsi"/>
                <w:color w:val="FFFFFF" w:themeColor="background1"/>
                <w:sz w:val="22"/>
                <w:szCs w:val="22"/>
              </w:rPr>
            </w:pPr>
          </w:p>
          <w:p w14:paraId="73661009" w14:textId="77777777" w:rsidR="007D0E38" w:rsidRPr="00E608CB" w:rsidRDefault="007D0E38" w:rsidP="00330DB6">
            <w:pPr>
              <w:rPr>
                <w:rFonts w:asciiTheme="minorHAnsi" w:eastAsiaTheme="minorHAnsi" w:hAnsiTheme="minorHAnsi" w:cstheme="minorHAnsi"/>
                <w:color w:val="FFFFFF" w:themeColor="background1"/>
                <w:sz w:val="22"/>
                <w:szCs w:val="22"/>
              </w:rPr>
            </w:pPr>
          </w:p>
          <w:p w14:paraId="2D82311E" w14:textId="77777777" w:rsidR="007D0E38" w:rsidRPr="00E608CB" w:rsidRDefault="007D0E38" w:rsidP="007D0E38">
            <w:pPr>
              <w:jc w:val="center"/>
              <w:rPr>
                <w:rFonts w:asciiTheme="minorHAnsi" w:eastAsiaTheme="minorHAnsi" w:hAnsiTheme="minorHAnsi" w:cstheme="minorHAnsi"/>
                <w:color w:val="FFFFFF" w:themeColor="background1"/>
                <w:sz w:val="22"/>
                <w:szCs w:val="22"/>
              </w:rPr>
            </w:pPr>
          </w:p>
        </w:tc>
        <w:tc>
          <w:tcPr>
            <w:tcW w:w="8789" w:type="dxa"/>
            <w:vMerge w:val="restart"/>
            <w:shd w:val="clear" w:color="auto" w:fill="365F91" w:themeFill="accent1" w:themeFillShade="BF"/>
          </w:tcPr>
          <w:p w14:paraId="76A30B82" w14:textId="56AACD9B" w:rsidR="007D0E38" w:rsidRPr="004665EB" w:rsidRDefault="007D0E38" w:rsidP="00330DB6">
            <w:pPr>
              <w:ind w:left="459" w:right="731"/>
              <w:jc w:val="right"/>
              <w:rPr>
                <w:rFonts w:asciiTheme="minorHAnsi" w:eastAsiaTheme="minorEastAsia" w:hAnsiTheme="minorHAnsi" w:cstheme="minorBidi"/>
                <w:color w:val="FFFFFF" w:themeColor="background1"/>
                <w:sz w:val="48"/>
                <w:szCs w:val="72"/>
                <w:lang w:val="pl-PL"/>
              </w:rPr>
            </w:pPr>
          </w:p>
          <w:p w14:paraId="5DEEB5D9" w14:textId="3B63B786" w:rsidR="007D0E38" w:rsidRPr="004665EB" w:rsidRDefault="007D0E38" w:rsidP="00330DB6">
            <w:pPr>
              <w:ind w:left="459" w:right="731"/>
              <w:jc w:val="right"/>
              <w:rPr>
                <w:rFonts w:asciiTheme="minorHAnsi" w:eastAsiaTheme="minorEastAsia" w:hAnsiTheme="minorHAnsi" w:cstheme="minorBidi"/>
                <w:color w:val="FFFFFF" w:themeColor="background1"/>
                <w:sz w:val="22"/>
                <w:szCs w:val="34"/>
                <w:lang w:val="pl-PL"/>
              </w:rPr>
            </w:pPr>
          </w:p>
          <w:p w14:paraId="7B846984" w14:textId="77777777" w:rsidR="00F14B6A" w:rsidRPr="004665EB" w:rsidRDefault="00F14B6A" w:rsidP="00330DB6">
            <w:pPr>
              <w:ind w:left="459" w:right="731"/>
              <w:jc w:val="right"/>
              <w:rPr>
                <w:rFonts w:asciiTheme="minorHAnsi" w:eastAsiaTheme="minorEastAsia" w:hAnsiTheme="minorHAnsi" w:cstheme="minorBidi"/>
                <w:color w:val="FFFFFF" w:themeColor="background1"/>
                <w:sz w:val="22"/>
                <w:szCs w:val="34"/>
                <w:lang w:val="pl-PL"/>
              </w:rPr>
            </w:pPr>
          </w:p>
          <w:p w14:paraId="29C337BA" w14:textId="77777777" w:rsidR="007D0E38" w:rsidRPr="004665EB" w:rsidRDefault="007D0E38" w:rsidP="00330DB6">
            <w:pPr>
              <w:ind w:left="459" w:right="731"/>
              <w:jc w:val="right"/>
              <w:rPr>
                <w:rFonts w:asciiTheme="minorHAnsi" w:eastAsiaTheme="minorEastAsia" w:hAnsiTheme="minorHAnsi" w:cstheme="minorBidi"/>
                <w:color w:val="FFFFFF" w:themeColor="background1"/>
                <w:sz w:val="22"/>
                <w:szCs w:val="34"/>
                <w:lang w:val="pl-PL"/>
              </w:rPr>
            </w:pPr>
          </w:p>
          <w:p w14:paraId="413D91A5" w14:textId="30258D61" w:rsidR="007D0E38" w:rsidRPr="004665EB" w:rsidRDefault="004E09D5" w:rsidP="00330DB6">
            <w:pPr>
              <w:ind w:left="459" w:right="731"/>
              <w:jc w:val="right"/>
              <w:rPr>
                <w:rFonts w:asciiTheme="minorHAnsi" w:eastAsiaTheme="minorHAnsi" w:hAnsiTheme="minorHAnsi" w:cstheme="minorHAnsi"/>
                <w:b/>
                <w:color w:val="FFFFFF" w:themeColor="background1"/>
                <w:sz w:val="48"/>
                <w:szCs w:val="32"/>
                <w:lang w:val="pl-PL"/>
              </w:rPr>
            </w:pPr>
            <w:r>
              <w:rPr>
                <w:rFonts w:asciiTheme="minorHAnsi" w:eastAsiaTheme="minorHAnsi" w:hAnsiTheme="minorHAnsi" w:cstheme="minorHAnsi"/>
                <w:b/>
                <w:bCs/>
                <w:color w:val="FFFFFF" w:themeColor="background1"/>
                <w:sz w:val="48"/>
                <w:szCs w:val="32"/>
                <w:lang w:val="pl"/>
              </w:rPr>
              <w:t>PIĄTA RUNDA OCENY</w:t>
            </w:r>
          </w:p>
          <w:p w14:paraId="3613A086" w14:textId="7CEF7E10" w:rsidR="004E09D5" w:rsidRPr="004665EB" w:rsidRDefault="004E09D5" w:rsidP="00330DB6">
            <w:pPr>
              <w:ind w:left="459" w:right="731"/>
              <w:jc w:val="right"/>
              <w:rPr>
                <w:rFonts w:asciiTheme="minorHAnsi" w:eastAsiaTheme="minorEastAsia" w:hAnsiTheme="minorHAnsi" w:cstheme="minorBidi"/>
                <w:color w:val="FFFFFF" w:themeColor="background1"/>
                <w:sz w:val="28"/>
                <w:szCs w:val="34"/>
                <w:lang w:val="pl-PL"/>
              </w:rPr>
            </w:pPr>
            <w:r>
              <w:rPr>
                <w:rFonts w:asciiTheme="minorHAnsi" w:eastAsiaTheme="minorEastAsia" w:hAnsiTheme="minorHAnsi" w:cstheme="minorBidi"/>
                <w:color w:val="FFFFFF" w:themeColor="background1"/>
                <w:sz w:val="28"/>
                <w:szCs w:val="34"/>
                <w:lang w:val="pl"/>
              </w:rPr>
              <w:t>Zapobieganie korupcji i promowanie uczciwości w</w:t>
            </w:r>
          </w:p>
          <w:p w14:paraId="7A65A587" w14:textId="77777777" w:rsidR="004665EB" w:rsidRDefault="004E09D5" w:rsidP="00330DB6">
            <w:pPr>
              <w:ind w:left="459" w:right="731"/>
              <w:jc w:val="right"/>
              <w:rPr>
                <w:rFonts w:asciiTheme="minorHAnsi" w:eastAsiaTheme="minorEastAsia" w:hAnsiTheme="minorHAnsi" w:cstheme="minorBidi"/>
                <w:color w:val="FFFFFF" w:themeColor="background1"/>
                <w:sz w:val="28"/>
                <w:szCs w:val="34"/>
                <w:lang w:val="pl"/>
              </w:rPr>
            </w:pPr>
            <w:r>
              <w:rPr>
                <w:rFonts w:asciiTheme="minorHAnsi" w:eastAsiaTheme="minorEastAsia" w:hAnsiTheme="minorHAnsi" w:cstheme="minorBidi"/>
                <w:color w:val="FFFFFF" w:themeColor="background1"/>
                <w:sz w:val="28"/>
                <w:szCs w:val="34"/>
                <w:lang w:val="pl"/>
              </w:rPr>
              <w:t>instytucjach rządowych na szczeblu centralnym</w:t>
            </w:r>
          </w:p>
          <w:p w14:paraId="25B5312F" w14:textId="77777777" w:rsidR="004665EB" w:rsidRDefault="004E09D5" w:rsidP="00330DB6">
            <w:pPr>
              <w:ind w:left="459" w:right="731"/>
              <w:jc w:val="right"/>
              <w:rPr>
                <w:rFonts w:asciiTheme="minorHAnsi" w:eastAsiaTheme="minorEastAsia" w:hAnsiTheme="minorHAnsi" w:cstheme="minorBidi"/>
                <w:color w:val="FFFFFF" w:themeColor="background1"/>
                <w:sz w:val="28"/>
                <w:szCs w:val="34"/>
                <w:lang w:val="pl"/>
              </w:rPr>
            </w:pPr>
            <w:r>
              <w:rPr>
                <w:rFonts w:asciiTheme="minorHAnsi" w:eastAsiaTheme="minorEastAsia" w:hAnsiTheme="minorHAnsi" w:cstheme="minorBidi"/>
                <w:color w:val="FFFFFF" w:themeColor="background1"/>
                <w:sz w:val="28"/>
                <w:szCs w:val="34"/>
                <w:lang w:val="pl"/>
              </w:rPr>
              <w:t xml:space="preserve"> (najwyższe funkcje wykonawcze) </w:t>
            </w:r>
          </w:p>
          <w:p w14:paraId="652FCB0C" w14:textId="332CB1D7" w:rsidR="007D0E38" w:rsidRPr="004665EB" w:rsidRDefault="004E09D5" w:rsidP="004665EB">
            <w:pPr>
              <w:ind w:left="459" w:right="731"/>
              <w:jc w:val="right"/>
              <w:rPr>
                <w:rFonts w:asciiTheme="minorHAnsi" w:eastAsiaTheme="minorEastAsia" w:hAnsiTheme="minorHAnsi" w:cstheme="minorBidi"/>
                <w:color w:val="FFFFFF" w:themeColor="background1"/>
                <w:sz w:val="28"/>
                <w:szCs w:val="34"/>
                <w:lang w:val="pl-PL"/>
              </w:rPr>
            </w:pPr>
            <w:r>
              <w:rPr>
                <w:rFonts w:asciiTheme="minorHAnsi" w:eastAsiaTheme="minorEastAsia" w:hAnsiTheme="minorHAnsi" w:cstheme="minorBidi"/>
                <w:color w:val="FFFFFF" w:themeColor="background1"/>
                <w:sz w:val="28"/>
                <w:szCs w:val="34"/>
                <w:lang w:val="pl"/>
              </w:rPr>
              <w:t>i w organach ścigania</w:t>
            </w:r>
          </w:p>
          <w:p w14:paraId="758D6BA4" w14:textId="77777777" w:rsidR="007D0E38" w:rsidRPr="004665EB" w:rsidRDefault="007D0E38" w:rsidP="00330DB6">
            <w:pPr>
              <w:ind w:left="459" w:right="731"/>
              <w:jc w:val="right"/>
              <w:rPr>
                <w:rFonts w:asciiTheme="minorHAnsi" w:eastAsiaTheme="minorEastAsia" w:hAnsiTheme="minorHAnsi" w:cstheme="minorBidi"/>
                <w:color w:val="FFFFFF" w:themeColor="background1"/>
                <w:sz w:val="36"/>
                <w:szCs w:val="48"/>
                <w:lang w:val="pl-PL"/>
              </w:rPr>
            </w:pPr>
          </w:p>
          <w:p w14:paraId="4D675C14" w14:textId="77777777" w:rsidR="007D0E38" w:rsidRPr="004665EB" w:rsidRDefault="007D0E38" w:rsidP="00330DB6">
            <w:pPr>
              <w:ind w:left="459" w:right="731"/>
              <w:jc w:val="right"/>
              <w:rPr>
                <w:rFonts w:asciiTheme="minorHAnsi" w:eastAsiaTheme="minorEastAsia" w:hAnsiTheme="minorHAnsi" w:cstheme="minorBidi"/>
                <w:color w:val="FFFFFF" w:themeColor="background1"/>
                <w:sz w:val="36"/>
                <w:szCs w:val="48"/>
                <w:lang w:val="pl-PL"/>
              </w:rPr>
            </w:pPr>
          </w:p>
          <w:p w14:paraId="01ABFF0A" w14:textId="70E81D8F" w:rsidR="007D0E38" w:rsidRPr="004665EB" w:rsidRDefault="00330DB6" w:rsidP="00330DB6">
            <w:pPr>
              <w:ind w:left="459" w:right="731"/>
              <w:jc w:val="right"/>
              <w:rPr>
                <w:rFonts w:asciiTheme="minorHAnsi" w:eastAsiaTheme="minorHAnsi" w:hAnsiTheme="minorHAnsi" w:cstheme="minorHAnsi"/>
                <w:b/>
                <w:color w:val="FFFFFF" w:themeColor="background1"/>
                <w:sz w:val="48"/>
                <w:szCs w:val="32"/>
                <w:lang w:val="pl-PL"/>
              </w:rPr>
            </w:pPr>
            <w:r>
              <w:rPr>
                <w:rFonts w:asciiTheme="minorHAnsi" w:eastAsiaTheme="minorHAnsi" w:hAnsiTheme="minorHAnsi" w:cstheme="minorHAnsi"/>
                <w:b/>
                <w:bCs/>
                <w:color w:val="FFFFFF" w:themeColor="background1"/>
                <w:sz w:val="48"/>
                <w:szCs w:val="32"/>
                <w:lang w:val="pl"/>
              </w:rPr>
              <w:t>DRUGI RAPORT ZGODNOŚCI</w:t>
            </w:r>
          </w:p>
          <w:p w14:paraId="3E63CC12" w14:textId="77777777" w:rsidR="007D0E38" w:rsidRPr="004665EB" w:rsidRDefault="007D0E38" w:rsidP="00330DB6">
            <w:pPr>
              <w:ind w:left="459" w:right="731"/>
              <w:jc w:val="right"/>
              <w:rPr>
                <w:rFonts w:asciiTheme="minorHAnsi" w:eastAsiaTheme="minorEastAsia" w:hAnsiTheme="minorHAnsi" w:cstheme="minorBidi"/>
                <w:color w:val="FFFFFF" w:themeColor="background1"/>
                <w:sz w:val="36"/>
                <w:szCs w:val="48"/>
                <w:lang w:val="pl-PL"/>
              </w:rPr>
            </w:pPr>
          </w:p>
          <w:p w14:paraId="1598932E" w14:textId="77777777" w:rsidR="007D0E38" w:rsidRPr="004665EB" w:rsidRDefault="007D0E38" w:rsidP="00330DB6">
            <w:pPr>
              <w:ind w:left="459" w:right="731"/>
              <w:jc w:val="right"/>
              <w:rPr>
                <w:rFonts w:asciiTheme="minorHAnsi" w:eastAsiaTheme="minorEastAsia" w:hAnsiTheme="minorHAnsi" w:cstheme="minorBidi"/>
                <w:color w:val="FFFFFF" w:themeColor="background1"/>
                <w:sz w:val="36"/>
                <w:szCs w:val="48"/>
                <w:lang w:val="pl-PL"/>
              </w:rPr>
            </w:pPr>
          </w:p>
          <w:p w14:paraId="1952FE84" w14:textId="00439C32" w:rsidR="007D0E38" w:rsidRPr="00E608CB" w:rsidRDefault="00102CDA" w:rsidP="00330DB6">
            <w:pPr>
              <w:ind w:left="459" w:right="731"/>
              <w:jc w:val="right"/>
              <w:rPr>
                <w:rFonts w:asciiTheme="minorHAnsi" w:eastAsiaTheme="minorHAnsi" w:hAnsiTheme="minorHAnsi" w:cstheme="minorHAnsi"/>
                <w:b/>
                <w:color w:val="FBD4B4" w:themeColor="accent6" w:themeTint="66"/>
                <w:sz w:val="96"/>
                <w:szCs w:val="28"/>
              </w:rPr>
            </w:pPr>
            <w:r>
              <w:rPr>
                <w:rFonts w:asciiTheme="minorHAnsi" w:eastAsiaTheme="minorHAnsi" w:hAnsiTheme="minorHAnsi" w:cstheme="minorHAnsi"/>
                <w:b/>
                <w:bCs/>
                <w:color w:val="FBD4B4" w:themeColor="accent6" w:themeTint="66"/>
                <w:sz w:val="96"/>
                <w:szCs w:val="28"/>
                <w:lang w:val="pl"/>
              </w:rPr>
              <w:t>POLSKA</w:t>
            </w:r>
          </w:p>
          <w:p w14:paraId="1FFAC747" w14:textId="77777777" w:rsidR="007D0E38" w:rsidRPr="00E608CB" w:rsidRDefault="007D0E38" w:rsidP="007D0E38">
            <w:pPr>
              <w:ind w:left="459" w:right="734"/>
              <w:jc w:val="right"/>
              <w:rPr>
                <w:rFonts w:asciiTheme="minorHAnsi" w:eastAsiaTheme="minorEastAsia" w:hAnsiTheme="minorHAnsi" w:cstheme="minorBidi"/>
                <w:color w:val="FFFFFF" w:themeColor="background1"/>
                <w:sz w:val="22"/>
                <w:szCs w:val="34"/>
              </w:rPr>
            </w:pPr>
          </w:p>
        </w:tc>
      </w:tr>
      <w:tr w:rsidR="007D0E38" w:rsidRPr="00E608CB" w14:paraId="59A3FA27" w14:textId="77777777" w:rsidTr="00330DB6">
        <w:trPr>
          <w:trHeight w:val="2852"/>
        </w:trPr>
        <w:tc>
          <w:tcPr>
            <w:tcW w:w="2835" w:type="dxa"/>
            <w:shd w:val="clear" w:color="auto" w:fill="17365D" w:themeFill="text2" w:themeFillShade="BF"/>
          </w:tcPr>
          <w:p w14:paraId="230AE5B7" w14:textId="77777777" w:rsidR="007D0E38" w:rsidRPr="00E608CB" w:rsidRDefault="007D0E38" w:rsidP="003B02E4">
            <w:pPr>
              <w:rPr>
                <w:rFonts w:cstheme="minorHAnsi"/>
              </w:rPr>
            </w:pPr>
          </w:p>
        </w:tc>
        <w:tc>
          <w:tcPr>
            <w:tcW w:w="8789" w:type="dxa"/>
            <w:vMerge/>
            <w:shd w:val="clear" w:color="auto" w:fill="365F91" w:themeFill="accent1" w:themeFillShade="BF"/>
          </w:tcPr>
          <w:p w14:paraId="741B62A3" w14:textId="77777777" w:rsidR="007D0E38" w:rsidRPr="00E608CB" w:rsidRDefault="007D0E38" w:rsidP="003B02E4">
            <w:pPr>
              <w:ind w:left="459" w:right="876"/>
              <w:rPr>
                <w:rFonts w:cstheme="minorHAnsi"/>
              </w:rPr>
            </w:pPr>
          </w:p>
        </w:tc>
      </w:tr>
      <w:tr w:rsidR="007D0E38" w:rsidRPr="00E608CB" w14:paraId="72275895" w14:textId="77777777" w:rsidTr="00330DB6">
        <w:trPr>
          <w:trHeight w:val="2862"/>
        </w:trPr>
        <w:tc>
          <w:tcPr>
            <w:tcW w:w="2835" w:type="dxa"/>
            <w:shd w:val="clear" w:color="auto" w:fill="244061" w:themeFill="accent1" w:themeFillShade="80"/>
          </w:tcPr>
          <w:p w14:paraId="02C09C96" w14:textId="77777777" w:rsidR="007D0E38" w:rsidRPr="00E608CB" w:rsidRDefault="007D0E38" w:rsidP="003B02E4">
            <w:pPr>
              <w:rPr>
                <w:rFonts w:cstheme="minorHAnsi"/>
              </w:rPr>
            </w:pPr>
          </w:p>
        </w:tc>
        <w:tc>
          <w:tcPr>
            <w:tcW w:w="8789" w:type="dxa"/>
            <w:vMerge/>
            <w:shd w:val="clear" w:color="auto" w:fill="365F91" w:themeFill="accent1" w:themeFillShade="BF"/>
          </w:tcPr>
          <w:p w14:paraId="3243E7FB" w14:textId="77777777" w:rsidR="007D0E38" w:rsidRPr="00E608CB" w:rsidRDefault="007D0E38" w:rsidP="003B02E4">
            <w:pPr>
              <w:ind w:left="459" w:right="876"/>
              <w:rPr>
                <w:rFonts w:cstheme="minorHAnsi"/>
              </w:rPr>
            </w:pPr>
          </w:p>
        </w:tc>
      </w:tr>
      <w:tr w:rsidR="007D0E38" w:rsidRPr="00E608CB" w14:paraId="28DDC874" w14:textId="77777777" w:rsidTr="00330DB6">
        <w:tc>
          <w:tcPr>
            <w:tcW w:w="11624" w:type="dxa"/>
            <w:gridSpan w:val="2"/>
            <w:shd w:val="clear" w:color="auto" w:fill="DBE5F1" w:themeFill="accent1" w:themeFillTint="33"/>
          </w:tcPr>
          <w:p w14:paraId="6A7E3926" w14:textId="6795EFD9" w:rsidR="007D0E38" w:rsidRPr="00E608CB" w:rsidRDefault="006A5C6F" w:rsidP="003B02E4">
            <w:pPr>
              <w:ind w:left="459"/>
              <w:rPr>
                <w:rFonts w:cstheme="minorHAnsi"/>
              </w:rPr>
            </w:pPr>
            <w:r>
              <w:rPr>
                <w:noProof/>
                <w:lang w:val="pl"/>
              </w:rPr>
              <w:drawing>
                <wp:anchor distT="0" distB="0" distL="114300" distR="114300" simplePos="0" relativeHeight="251661312" behindDoc="0" locked="0" layoutInCell="1" allowOverlap="1" wp14:anchorId="509484EC" wp14:editId="2A3D58F4">
                  <wp:simplePos x="0" y="0"/>
                  <wp:positionH relativeFrom="column">
                    <wp:posOffset>-53975</wp:posOffset>
                  </wp:positionH>
                  <wp:positionV relativeFrom="paragraph">
                    <wp:posOffset>-3176</wp:posOffset>
                  </wp:positionV>
                  <wp:extent cx="7355296" cy="1590675"/>
                  <wp:effectExtent l="0" t="0" r="0" b="0"/>
                  <wp:wrapNone/>
                  <wp:docPr id="1" name="Picture 1" descr="C:\Users\pincemaille\AppData\Local\Microsoft\Windows\Temporary Internet Files\Content.Outlook\KAEAU5KC\shutterstock_5248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AppData\Local\Microsoft\Windows\Temporary Internet Files\Content.Outlook\KAEAU5KC\shutterstock_524851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6962" cy="159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34BBD" w14:textId="77777777" w:rsidR="007D0E38" w:rsidRPr="00E608CB" w:rsidRDefault="007D0E38" w:rsidP="003B02E4">
            <w:pPr>
              <w:ind w:left="459"/>
              <w:rPr>
                <w:rFonts w:cstheme="minorHAnsi"/>
              </w:rPr>
            </w:pPr>
          </w:p>
          <w:p w14:paraId="075D387A" w14:textId="77777777" w:rsidR="007D0E38" w:rsidRPr="00E608CB" w:rsidRDefault="007D0E38" w:rsidP="003B02E4">
            <w:pPr>
              <w:ind w:left="459"/>
              <w:rPr>
                <w:rFonts w:cstheme="minorHAnsi"/>
              </w:rPr>
            </w:pPr>
          </w:p>
          <w:p w14:paraId="1E4C573F" w14:textId="77777777" w:rsidR="007D0E38" w:rsidRPr="00E608CB" w:rsidRDefault="007D0E38" w:rsidP="003B02E4">
            <w:pPr>
              <w:ind w:left="459"/>
              <w:rPr>
                <w:rFonts w:cstheme="minorHAnsi"/>
              </w:rPr>
            </w:pPr>
          </w:p>
          <w:p w14:paraId="71BBC4D4" w14:textId="77777777" w:rsidR="007D0E38" w:rsidRPr="00E608CB" w:rsidRDefault="007D0E38" w:rsidP="003B02E4">
            <w:pPr>
              <w:ind w:left="459"/>
              <w:rPr>
                <w:rFonts w:cstheme="minorHAnsi"/>
              </w:rPr>
            </w:pPr>
          </w:p>
          <w:p w14:paraId="4B7AFB04" w14:textId="77777777" w:rsidR="007D0E38" w:rsidRPr="00E608CB" w:rsidRDefault="007D0E38" w:rsidP="003B02E4">
            <w:pPr>
              <w:ind w:left="459"/>
              <w:rPr>
                <w:rFonts w:cstheme="minorHAnsi"/>
              </w:rPr>
            </w:pPr>
          </w:p>
          <w:p w14:paraId="47FCA7FD" w14:textId="77777777" w:rsidR="007D0E38" w:rsidRPr="00E608CB" w:rsidRDefault="007D0E38" w:rsidP="003B02E4">
            <w:pPr>
              <w:ind w:left="459"/>
              <w:rPr>
                <w:rFonts w:cstheme="minorHAnsi"/>
              </w:rPr>
            </w:pPr>
          </w:p>
          <w:p w14:paraId="42C55F17" w14:textId="77777777" w:rsidR="007D0E38" w:rsidRPr="00E608CB" w:rsidRDefault="007D0E38" w:rsidP="003B02E4">
            <w:pPr>
              <w:ind w:left="459"/>
              <w:rPr>
                <w:rFonts w:cstheme="minorHAnsi"/>
              </w:rPr>
            </w:pPr>
          </w:p>
        </w:tc>
      </w:tr>
      <w:tr w:rsidR="007D0E38" w:rsidRPr="00E608CB" w14:paraId="61C32553" w14:textId="77777777" w:rsidTr="00330DB6">
        <w:tc>
          <w:tcPr>
            <w:tcW w:w="2835" w:type="dxa"/>
          </w:tcPr>
          <w:p w14:paraId="5F5FCE79" w14:textId="77777777" w:rsidR="007D0E38" w:rsidRPr="00E608CB" w:rsidRDefault="007D0E38" w:rsidP="003B02E4">
            <w:pPr>
              <w:rPr>
                <w:rFonts w:cstheme="minorHAnsi"/>
              </w:rPr>
            </w:pPr>
          </w:p>
        </w:tc>
        <w:tc>
          <w:tcPr>
            <w:tcW w:w="8789" w:type="dxa"/>
            <w:shd w:val="clear" w:color="auto" w:fill="auto"/>
          </w:tcPr>
          <w:p w14:paraId="7980EAF8" w14:textId="2C8AE592" w:rsidR="007D0E38" w:rsidRPr="00E608CB" w:rsidRDefault="007D0E38" w:rsidP="003B02E4">
            <w:pPr>
              <w:ind w:left="459" w:right="876" w:firstLine="317"/>
              <w:rPr>
                <w:rFonts w:cstheme="minorHAnsi"/>
              </w:rPr>
            </w:pPr>
          </w:p>
        </w:tc>
      </w:tr>
      <w:tr w:rsidR="007D0E38" w:rsidRPr="00A74AD8" w14:paraId="399ED31E" w14:textId="77777777" w:rsidTr="00330DB6">
        <w:tc>
          <w:tcPr>
            <w:tcW w:w="2835" w:type="dxa"/>
            <w:tcBorders>
              <w:right w:val="dashed" w:sz="4" w:space="0" w:color="auto"/>
            </w:tcBorders>
          </w:tcPr>
          <w:p w14:paraId="167BDD76" w14:textId="77777777" w:rsidR="007D0E38" w:rsidRPr="00E608CB" w:rsidRDefault="007D0E38" w:rsidP="003B02E4">
            <w:pPr>
              <w:rPr>
                <w:rFonts w:cstheme="minorHAnsi"/>
              </w:rPr>
            </w:pPr>
          </w:p>
          <w:p w14:paraId="28EBB875" w14:textId="77777777" w:rsidR="007D0E38" w:rsidRPr="00E608CB" w:rsidRDefault="007D0E38" w:rsidP="003B02E4">
            <w:pPr>
              <w:rPr>
                <w:rFonts w:cstheme="minorHAnsi"/>
              </w:rPr>
            </w:pPr>
          </w:p>
          <w:p w14:paraId="42A93698" w14:textId="77777777" w:rsidR="007D0E38" w:rsidRPr="00E608CB" w:rsidRDefault="007D0E38" w:rsidP="003B02E4">
            <w:pPr>
              <w:rPr>
                <w:rFonts w:cstheme="minorHAnsi"/>
              </w:rPr>
            </w:pPr>
          </w:p>
          <w:p w14:paraId="4D698216" w14:textId="77777777" w:rsidR="00330DB6" w:rsidRPr="00E608CB" w:rsidRDefault="00330DB6" w:rsidP="003B02E4">
            <w:pPr>
              <w:rPr>
                <w:rFonts w:cstheme="minorHAnsi"/>
              </w:rPr>
            </w:pPr>
          </w:p>
          <w:p w14:paraId="03C318BD" w14:textId="77777777" w:rsidR="00330DB6" w:rsidRPr="00E608CB" w:rsidRDefault="00330DB6" w:rsidP="003B02E4">
            <w:pPr>
              <w:rPr>
                <w:rFonts w:cstheme="minorHAnsi"/>
              </w:rPr>
            </w:pPr>
          </w:p>
          <w:p w14:paraId="76ABC066" w14:textId="77777777" w:rsidR="00330DB6" w:rsidRPr="00E608CB" w:rsidRDefault="00330DB6" w:rsidP="003B02E4">
            <w:pPr>
              <w:rPr>
                <w:rFonts w:cstheme="minorHAnsi"/>
              </w:rPr>
            </w:pPr>
          </w:p>
          <w:p w14:paraId="5F3A8CD4" w14:textId="77777777" w:rsidR="00330DB6" w:rsidRPr="00E608CB" w:rsidRDefault="00330DB6" w:rsidP="003B02E4">
            <w:pPr>
              <w:rPr>
                <w:rFonts w:cstheme="minorHAnsi"/>
              </w:rPr>
            </w:pPr>
          </w:p>
          <w:p w14:paraId="0D5E8765" w14:textId="77777777" w:rsidR="00330DB6" w:rsidRPr="00E608CB" w:rsidRDefault="00330DB6" w:rsidP="003B02E4">
            <w:pPr>
              <w:rPr>
                <w:rFonts w:cstheme="minorHAnsi"/>
              </w:rPr>
            </w:pPr>
          </w:p>
          <w:p w14:paraId="1AAE3F93" w14:textId="77777777" w:rsidR="00330DB6" w:rsidRPr="00E608CB" w:rsidRDefault="00330DB6" w:rsidP="003B02E4">
            <w:pPr>
              <w:rPr>
                <w:rFonts w:cstheme="minorHAnsi"/>
              </w:rPr>
            </w:pPr>
          </w:p>
          <w:p w14:paraId="76102A01" w14:textId="7E7CF41F" w:rsidR="00330DB6" w:rsidRPr="00E608CB" w:rsidRDefault="00330DB6" w:rsidP="003B02E4">
            <w:pPr>
              <w:rPr>
                <w:rFonts w:cstheme="minorHAnsi"/>
              </w:rPr>
            </w:pPr>
          </w:p>
        </w:tc>
        <w:tc>
          <w:tcPr>
            <w:tcW w:w="8789" w:type="dxa"/>
            <w:tcBorders>
              <w:left w:val="dashed" w:sz="4" w:space="0" w:color="auto"/>
            </w:tcBorders>
            <w:shd w:val="clear" w:color="auto" w:fill="auto"/>
          </w:tcPr>
          <w:p w14:paraId="6A32F042" w14:textId="77777777" w:rsidR="00154204" w:rsidRPr="004665EB" w:rsidRDefault="00154204" w:rsidP="00330DB6">
            <w:pPr>
              <w:ind w:left="459" w:right="734" w:firstLine="317"/>
              <w:rPr>
                <w:rFonts w:asciiTheme="minorHAnsi" w:eastAsiaTheme="minorHAnsi" w:hAnsiTheme="minorHAnsi" w:cstheme="minorHAnsi"/>
                <w:sz w:val="28"/>
                <w:szCs w:val="28"/>
                <w:lang w:val="pl-PL"/>
              </w:rPr>
            </w:pPr>
          </w:p>
          <w:p w14:paraId="258628C2" w14:textId="77777777" w:rsidR="00154204" w:rsidRPr="004665EB" w:rsidRDefault="00154204" w:rsidP="00330DB6">
            <w:pPr>
              <w:ind w:left="459" w:right="734" w:firstLine="317"/>
              <w:rPr>
                <w:rFonts w:asciiTheme="minorHAnsi" w:eastAsiaTheme="minorHAnsi" w:hAnsiTheme="minorHAnsi" w:cstheme="minorHAnsi"/>
                <w:sz w:val="28"/>
                <w:szCs w:val="28"/>
                <w:lang w:val="pl-PL"/>
              </w:rPr>
            </w:pPr>
          </w:p>
          <w:p w14:paraId="0A1131EF" w14:textId="29C9BD0D" w:rsidR="00154204" w:rsidRPr="004665EB" w:rsidRDefault="00154204" w:rsidP="00330DB6">
            <w:pPr>
              <w:ind w:left="459" w:right="734" w:firstLine="317"/>
              <w:rPr>
                <w:rFonts w:asciiTheme="minorHAnsi" w:eastAsiaTheme="minorHAnsi" w:hAnsiTheme="minorHAnsi" w:cstheme="minorHAnsi"/>
                <w:sz w:val="28"/>
                <w:szCs w:val="28"/>
                <w:lang w:val="pl-PL"/>
              </w:rPr>
            </w:pPr>
          </w:p>
          <w:p w14:paraId="3B665C9C" w14:textId="77777777" w:rsidR="00330DB6" w:rsidRPr="004665EB" w:rsidRDefault="00330DB6" w:rsidP="00330DB6">
            <w:pPr>
              <w:ind w:left="459" w:right="734" w:firstLine="317"/>
              <w:rPr>
                <w:rFonts w:asciiTheme="minorHAnsi" w:eastAsiaTheme="minorHAnsi" w:hAnsiTheme="minorHAnsi" w:cstheme="minorHAnsi"/>
                <w:sz w:val="28"/>
                <w:szCs w:val="28"/>
                <w:lang w:val="pl-PL"/>
              </w:rPr>
            </w:pPr>
          </w:p>
          <w:p w14:paraId="65286FD5" w14:textId="784F9905" w:rsidR="007D0E38" w:rsidRPr="004665EB" w:rsidRDefault="00723DB1" w:rsidP="00C930D2">
            <w:pPr>
              <w:ind w:left="459" w:right="734" w:firstLine="317"/>
              <w:jc w:val="right"/>
              <w:rPr>
                <w:rFonts w:asciiTheme="minorHAnsi" w:eastAsiaTheme="minorHAnsi" w:hAnsiTheme="minorHAnsi" w:cstheme="minorHAnsi"/>
                <w:sz w:val="28"/>
                <w:szCs w:val="28"/>
                <w:lang w:val="pl-PL"/>
              </w:rPr>
            </w:pPr>
            <w:r>
              <w:rPr>
                <w:rFonts w:asciiTheme="minorHAnsi" w:eastAsiaTheme="minorHAnsi" w:hAnsiTheme="minorHAnsi" w:cstheme="minorHAnsi"/>
                <w:sz w:val="28"/>
                <w:szCs w:val="28"/>
                <w:lang w:val="pl"/>
              </w:rPr>
              <w:t>Dokument przyjęty przez GRECO</w:t>
            </w:r>
          </w:p>
          <w:p w14:paraId="5B5727CD" w14:textId="5251F043" w:rsidR="00154204" w:rsidRPr="004665EB" w:rsidRDefault="00330DB6" w:rsidP="00387B58">
            <w:pPr>
              <w:ind w:left="172" w:right="734"/>
              <w:jc w:val="right"/>
              <w:rPr>
                <w:rFonts w:asciiTheme="minorHAnsi" w:eastAsiaTheme="minorHAnsi" w:hAnsiTheme="minorHAnsi" w:cstheme="minorHAnsi"/>
                <w:sz w:val="28"/>
                <w:szCs w:val="28"/>
                <w:lang w:val="pl-PL"/>
              </w:rPr>
            </w:pPr>
            <w:r>
              <w:rPr>
                <w:rFonts w:asciiTheme="minorHAnsi" w:eastAsiaTheme="minorHAnsi" w:hAnsiTheme="minorHAnsi" w:cstheme="minorHAnsi"/>
                <w:sz w:val="28"/>
                <w:szCs w:val="28"/>
                <w:lang w:val="pl"/>
              </w:rPr>
              <w:t>na 94. posiedzeniu plenarnym (Strasburg, 5–9 czerwca 2023 r.)</w:t>
            </w:r>
          </w:p>
        </w:tc>
      </w:tr>
    </w:tbl>
    <w:p w14:paraId="1D15F21A" w14:textId="77777777" w:rsidR="007D0E38" w:rsidRPr="004665EB" w:rsidRDefault="007D0E38" w:rsidP="007D0E38">
      <w:pPr>
        <w:tabs>
          <w:tab w:val="left" w:pos="10773"/>
        </w:tabs>
        <w:rPr>
          <w:rFonts w:cstheme="minorHAnsi"/>
          <w:lang w:val="pl-PL"/>
        </w:rPr>
      </w:pPr>
      <w:r>
        <w:rPr>
          <w:b/>
          <w:bCs/>
          <w:noProof/>
          <w:sz w:val="32"/>
          <w:szCs w:val="18"/>
          <w:lang w:val="pl"/>
        </w:rPr>
        <w:drawing>
          <wp:anchor distT="0" distB="0" distL="114300" distR="114300" simplePos="0" relativeHeight="251662336" behindDoc="1" locked="0" layoutInCell="1" allowOverlap="1" wp14:anchorId="0C617B3D" wp14:editId="4AAA3422">
            <wp:simplePos x="0" y="0"/>
            <wp:positionH relativeFrom="margin">
              <wp:posOffset>2921635</wp:posOffset>
            </wp:positionH>
            <wp:positionV relativeFrom="paragraph">
              <wp:posOffset>147320</wp:posOffset>
            </wp:positionV>
            <wp:extent cx="4286250" cy="1581150"/>
            <wp:effectExtent l="0" t="0" r="0" b="0"/>
            <wp:wrapNone/>
            <wp:docPr id="6" name="Picture 6"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pl"/>
        </w:rPr>
        <w:br w:type="page"/>
      </w:r>
    </w:p>
    <w:p w14:paraId="6DF59EDE" w14:textId="77777777" w:rsidR="007D0E38" w:rsidRPr="004665EB" w:rsidRDefault="007D0E38" w:rsidP="007D0E38">
      <w:pPr>
        <w:pStyle w:val="Nagwek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s>
        <w:ind w:left="284" w:right="243"/>
        <w:jc w:val="center"/>
        <w:rPr>
          <w:rFonts w:asciiTheme="minorHAnsi" w:hAnsiTheme="minorHAnsi"/>
          <w:color w:val="0F243E" w:themeColor="text2" w:themeShade="80"/>
          <w:sz w:val="22"/>
          <w:szCs w:val="30"/>
          <w:lang w:val="pl-PL"/>
        </w:rPr>
        <w:sectPr w:rsidR="007D0E38" w:rsidRPr="004665EB" w:rsidSect="003B02E4">
          <w:footerReference w:type="default" r:id="rId11"/>
          <w:pgSz w:w="11906" w:h="16838" w:code="9"/>
          <w:pgMar w:top="232" w:right="238" w:bottom="232" w:left="232" w:header="567" w:footer="0" w:gutter="0"/>
          <w:cols w:space="708"/>
          <w:titlePg/>
          <w:docGrid w:linePitch="360"/>
        </w:sectPr>
      </w:pPr>
    </w:p>
    <w:p w14:paraId="02DC992C" w14:textId="6D4383D1" w:rsidR="00787268" w:rsidRPr="00E608CB" w:rsidRDefault="00787268" w:rsidP="002126D2">
      <w:pPr>
        <w:pStyle w:val="Normalrappo"/>
        <w:tabs>
          <w:tab w:val="clear" w:pos="-720"/>
          <w:tab w:val="left" w:pos="567"/>
        </w:tabs>
        <w:suppressAutoHyphens w:val="0"/>
        <w:contextualSpacing/>
        <w:rPr>
          <w:rFonts w:asciiTheme="minorHAnsi" w:hAnsiTheme="minorHAnsi" w:cstheme="minorHAnsi"/>
          <w:b/>
          <w:bCs/>
          <w:spacing w:val="0"/>
          <w:szCs w:val="24"/>
        </w:rPr>
      </w:pPr>
      <w:r>
        <w:rPr>
          <w:rFonts w:asciiTheme="minorHAnsi" w:hAnsiTheme="minorHAnsi" w:cstheme="minorHAnsi"/>
          <w:b/>
          <w:bCs/>
          <w:szCs w:val="24"/>
          <w:lang w:val="pl"/>
        </w:rPr>
        <w:lastRenderedPageBreak/>
        <w:t>I.</w:t>
      </w:r>
      <w:r>
        <w:rPr>
          <w:rFonts w:asciiTheme="minorHAnsi" w:hAnsiTheme="minorHAnsi" w:cstheme="minorHAnsi"/>
          <w:b/>
          <w:bCs/>
          <w:szCs w:val="24"/>
          <w:lang w:val="pl"/>
        </w:rPr>
        <w:tab/>
      </w:r>
      <w:r>
        <w:rPr>
          <w:rFonts w:asciiTheme="minorHAnsi" w:hAnsiTheme="minorHAnsi" w:cstheme="minorHAnsi"/>
          <w:b/>
          <w:bCs/>
          <w:szCs w:val="24"/>
          <w:u w:val="single"/>
          <w:lang w:val="pl"/>
        </w:rPr>
        <w:t>WPROWADZENIE</w:t>
      </w:r>
      <w:r>
        <w:rPr>
          <w:rFonts w:asciiTheme="minorHAnsi" w:hAnsiTheme="minorHAnsi" w:cstheme="minorHAnsi"/>
          <w:szCs w:val="24"/>
          <w:lang w:val="pl"/>
        </w:rPr>
        <w:t xml:space="preserve"> </w:t>
      </w:r>
    </w:p>
    <w:p w14:paraId="63ECDD76" w14:textId="77777777" w:rsidR="00787268" w:rsidRPr="00E608CB" w:rsidRDefault="00787268" w:rsidP="002126D2">
      <w:pPr>
        <w:tabs>
          <w:tab w:val="left" w:pos="567"/>
        </w:tabs>
        <w:contextualSpacing/>
        <w:jc w:val="both"/>
        <w:rPr>
          <w:rFonts w:asciiTheme="minorHAnsi" w:hAnsiTheme="minorHAnsi" w:cstheme="minorHAnsi"/>
        </w:rPr>
      </w:pPr>
    </w:p>
    <w:p w14:paraId="10F8E5B8" w14:textId="76757E8A" w:rsidR="00135ABF" w:rsidRPr="004665EB" w:rsidRDefault="004E09D5" w:rsidP="002126D2">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lang w:val="pl"/>
        </w:rPr>
        <w:t xml:space="preserve">Przedmiotem piątej rundy oceny GRECO jest „Zapobieganie korupcji i promowanie uczciwości w instytucjach rządowych na szczeblu centralnym (osoby, którym powierzono najwyższe funkcje wykonawcze, inaczej PTEF, ang. </w:t>
      </w:r>
      <w:r>
        <w:rPr>
          <w:rFonts w:asciiTheme="minorHAnsi" w:hAnsiTheme="minorHAnsi" w:cstheme="minorHAnsi"/>
          <w:i/>
          <w:iCs/>
          <w:lang w:val="pl"/>
        </w:rPr>
        <w:t>persons entrusted with top executif functions</w:t>
      </w:r>
      <w:r>
        <w:rPr>
          <w:rFonts w:asciiTheme="minorHAnsi" w:hAnsiTheme="minorHAnsi" w:cstheme="minorHAnsi"/>
          <w:lang w:val="pl"/>
        </w:rPr>
        <w:t>) i w organach ścigania”</w:t>
      </w:r>
    </w:p>
    <w:p w14:paraId="379172E6" w14:textId="77777777" w:rsidR="00135ABF" w:rsidRPr="004665EB" w:rsidRDefault="00135ABF" w:rsidP="00135ABF">
      <w:pPr>
        <w:contextualSpacing/>
        <w:jc w:val="both"/>
        <w:rPr>
          <w:rFonts w:asciiTheme="minorHAnsi" w:hAnsiTheme="minorHAnsi" w:cstheme="minorHAnsi"/>
          <w:lang w:val="pl-PL"/>
        </w:rPr>
      </w:pPr>
    </w:p>
    <w:p w14:paraId="61F1BE17" w14:textId="0F39C00D" w:rsidR="00787268" w:rsidRPr="004665EB" w:rsidRDefault="004E09D5" w:rsidP="002126D2">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lang w:val="pl"/>
        </w:rPr>
        <w:t xml:space="preserve">Niniejszy </w:t>
      </w:r>
      <w:r>
        <w:rPr>
          <w:rFonts w:asciiTheme="minorHAnsi" w:hAnsiTheme="minorHAnsi" w:cstheme="minorHAnsi"/>
          <w:u w:val="single"/>
          <w:lang w:val="pl"/>
        </w:rPr>
        <w:t>drugi raport zgodności</w:t>
      </w:r>
      <w:r>
        <w:rPr>
          <w:rFonts w:asciiTheme="minorHAnsi" w:hAnsiTheme="minorHAnsi" w:cstheme="minorHAnsi"/>
          <w:lang w:val="pl"/>
        </w:rPr>
        <w:t xml:space="preserve"> zawiera ocenę środków przyjętych przez władze polskie w celu wdrożenia zaleceń wydanych w </w:t>
      </w:r>
      <w:hyperlink r:id="rId12" w:history="1">
        <w:r>
          <w:rPr>
            <w:rStyle w:val="Hipercze"/>
            <w:rFonts w:asciiTheme="minorHAnsi" w:hAnsiTheme="minorHAnsi" w:cstheme="minorHAnsi"/>
            <w:lang w:val="pl"/>
          </w:rPr>
          <w:t>raporcie ewaluacyjnym z piątej rundy oceny dotyczącym Polski</w:t>
        </w:r>
      </w:hyperlink>
      <w:r>
        <w:rPr>
          <w:rFonts w:asciiTheme="minorHAnsi" w:hAnsiTheme="minorHAnsi" w:cstheme="minorHAnsi"/>
          <w:lang w:val="pl"/>
        </w:rPr>
        <w:t>, który przyjęto na 81. posiedzeniu plenarnym GRECO (7</w:t>
      </w:r>
      <w:r w:rsidR="004665EB">
        <w:rPr>
          <w:rFonts w:asciiTheme="minorHAnsi" w:hAnsiTheme="minorHAnsi" w:cstheme="minorHAnsi"/>
          <w:lang w:val="pl"/>
        </w:rPr>
        <w:t> </w:t>
      </w:r>
      <w:r>
        <w:rPr>
          <w:rFonts w:asciiTheme="minorHAnsi" w:hAnsiTheme="minorHAnsi" w:cstheme="minorHAnsi"/>
          <w:lang w:val="pl"/>
        </w:rPr>
        <w:t>grudnia</w:t>
      </w:r>
      <w:r w:rsidR="004665EB">
        <w:rPr>
          <w:rFonts w:asciiTheme="minorHAnsi" w:hAnsiTheme="minorHAnsi" w:cstheme="minorHAnsi"/>
          <w:lang w:val="pl"/>
        </w:rPr>
        <w:t> </w:t>
      </w:r>
      <w:r>
        <w:rPr>
          <w:rFonts w:asciiTheme="minorHAnsi" w:hAnsiTheme="minorHAnsi" w:cstheme="minorHAnsi"/>
          <w:lang w:val="pl"/>
        </w:rPr>
        <w:t>2018</w:t>
      </w:r>
      <w:r w:rsidR="004665EB">
        <w:rPr>
          <w:rFonts w:asciiTheme="minorHAnsi" w:hAnsiTheme="minorHAnsi" w:cstheme="minorHAnsi"/>
          <w:lang w:val="pl"/>
        </w:rPr>
        <w:t> </w:t>
      </w:r>
      <w:r>
        <w:rPr>
          <w:rFonts w:asciiTheme="minorHAnsi" w:hAnsiTheme="minorHAnsi" w:cstheme="minorHAnsi"/>
          <w:lang w:val="pl"/>
        </w:rPr>
        <w:t xml:space="preserve">r.) i opublikowano 28 stycznia 2019 r. Odpowiedni </w:t>
      </w:r>
      <w:hyperlink r:id="rId13" w:history="1">
        <w:r>
          <w:rPr>
            <w:rStyle w:val="Hipercze"/>
            <w:rFonts w:asciiTheme="minorHAnsi" w:hAnsiTheme="minorHAnsi" w:cstheme="minorHAnsi"/>
            <w:lang w:val="pl"/>
          </w:rPr>
          <w:t>raport zgodności</w:t>
        </w:r>
      </w:hyperlink>
      <w:r>
        <w:rPr>
          <w:rFonts w:asciiTheme="minorHAnsi" w:hAnsiTheme="minorHAnsi" w:cstheme="minorHAnsi"/>
          <w:lang w:val="pl"/>
        </w:rPr>
        <w:t xml:space="preserve"> został przyjęty przez GRECO na 87. posiedzeniu plenarnym (25 marca 2021 r.) i</w:t>
      </w:r>
      <w:r w:rsidR="004665EB">
        <w:rPr>
          <w:rFonts w:asciiTheme="minorHAnsi" w:hAnsiTheme="minorHAnsi" w:cstheme="minorHAnsi"/>
          <w:lang w:val="pl"/>
        </w:rPr>
        <w:t> </w:t>
      </w:r>
      <w:r>
        <w:rPr>
          <w:rFonts w:asciiTheme="minorHAnsi" w:hAnsiTheme="minorHAnsi" w:cstheme="minorHAnsi"/>
          <w:lang w:val="pl"/>
        </w:rPr>
        <w:t>opublikowany 27</w:t>
      </w:r>
      <w:r w:rsidR="004665EB">
        <w:rPr>
          <w:rFonts w:asciiTheme="minorHAnsi" w:hAnsiTheme="minorHAnsi" w:cstheme="minorHAnsi"/>
          <w:lang w:val="pl"/>
        </w:rPr>
        <w:t> </w:t>
      </w:r>
      <w:r>
        <w:rPr>
          <w:rFonts w:asciiTheme="minorHAnsi" w:hAnsiTheme="minorHAnsi" w:cstheme="minorHAnsi"/>
          <w:lang w:val="pl"/>
        </w:rPr>
        <w:t>września 2021 r.</w:t>
      </w:r>
    </w:p>
    <w:p w14:paraId="12165EB6" w14:textId="77777777" w:rsidR="00787268" w:rsidRPr="004665EB" w:rsidRDefault="00787268" w:rsidP="002126D2">
      <w:pPr>
        <w:pStyle w:val="Akapitzlist"/>
        <w:rPr>
          <w:rFonts w:asciiTheme="minorHAnsi" w:hAnsiTheme="minorHAnsi" w:cstheme="minorHAnsi"/>
          <w:sz w:val="24"/>
          <w:lang w:val="pl-PL"/>
        </w:rPr>
      </w:pPr>
    </w:p>
    <w:p w14:paraId="7F3C243C" w14:textId="0DE28F96" w:rsidR="00787268" w:rsidRPr="004665EB" w:rsidRDefault="00C46308" w:rsidP="002126D2">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lang w:val="pl"/>
        </w:rPr>
        <w:t>Zgodnie z Regulaminem GRECO</w:t>
      </w:r>
      <w:r>
        <w:rPr>
          <w:rStyle w:val="Odwoanieprzypisudolnego"/>
          <w:rFonts w:asciiTheme="minorHAnsi" w:hAnsiTheme="minorHAnsi" w:cstheme="minorHAnsi"/>
          <w:lang w:val="pl"/>
        </w:rPr>
        <w:footnoteReference w:id="1"/>
      </w:r>
      <w:r>
        <w:rPr>
          <w:rFonts w:asciiTheme="minorHAnsi" w:hAnsiTheme="minorHAnsi" w:cstheme="minorHAnsi"/>
          <w:lang w:val="pl"/>
        </w:rPr>
        <w:t xml:space="preserve"> władze Polski przedstawiły raport sytuacyjny dotyczący środków podjętych w celu wdrożenia zaleceń. Raport ten otrzymano 30 grudnia 2022 r. i posłużył on – wraz z dostarczonymi później dodatkowymi informacjami – jako podstawa drugiego raportu zgodności.</w:t>
      </w:r>
    </w:p>
    <w:p w14:paraId="414713DF" w14:textId="77777777" w:rsidR="00787268" w:rsidRPr="004665EB" w:rsidRDefault="00787268" w:rsidP="002126D2">
      <w:pPr>
        <w:tabs>
          <w:tab w:val="left" w:pos="567"/>
        </w:tabs>
        <w:contextualSpacing/>
        <w:jc w:val="both"/>
        <w:rPr>
          <w:rFonts w:asciiTheme="minorHAnsi" w:hAnsiTheme="minorHAnsi" w:cstheme="minorHAnsi"/>
          <w:lang w:val="pl-PL"/>
        </w:rPr>
      </w:pPr>
    </w:p>
    <w:p w14:paraId="5ED23870" w14:textId="72C0C898" w:rsidR="00787268" w:rsidRPr="00571B45" w:rsidRDefault="00787268" w:rsidP="003B303C">
      <w:pPr>
        <w:numPr>
          <w:ilvl w:val="0"/>
          <w:numId w:val="14"/>
        </w:numPr>
        <w:tabs>
          <w:tab w:val="left" w:pos="567"/>
        </w:tabs>
        <w:contextualSpacing/>
        <w:jc w:val="both"/>
        <w:rPr>
          <w:rFonts w:asciiTheme="minorHAnsi" w:hAnsiTheme="minorHAnsi" w:cstheme="minorHAnsi"/>
        </w:rPr>
      </w:pPr>
      <w:r>
        <w:rPr>
          <w:rFonts w:asciiTheme="minorHAnsi" w:hAnsiTheme="minorHAnsi" w:cstheme="minorHAnsi"/>
          <w:lang w:val="pl"/>
        </w:rPr>
        <w:t>Do wyznaczenia sprawozdawców na potrzeby procedury zgodności GRECO wybrało Zjednoczone Królestwo (w odniesieniu do najwyższych funkcji wykonawczych w</w:t>
      </w:r>
      <w:r w:rsidR="004665EB">
        <w:rPr>
          <w:rFonts w:asciiTheme="minorHAnsi" w:hAnsiTheme="minorHAnsi" w:cstheme="minorHAnsi"/>
          <w:lang w:val="pl"/>
        </w:rPr>
        <w:t> </w:t>
      </w:r>
      <w:r>
        <w:rPr>
          <w:rFonts w:asciiTheme="minorHAnsi" w:hAnsiTheme="minorHAnsi" w:cstheme="minorHAnsi"/>
          <w:lang w:val="pl"/>
        </w:rPr>
        <w:t>instytucjach rządowych na szczeblu centralnym) i Estonię (w odniesieniu do organów ścigania). Na sprawozdawców wyznaczono Davida MEYERA ze strony Zjednoczonego Królestwa i Mari-Liis SÖÖT ze strony Estonii. W sporządzeniu raportu zgodności sprawozdawców wspierał sekretariat GRECO.</w:t>
      </w:r>
    </w:p>
    <w:p w14:paraId="41CC0624" w14:textId="77777777" w:rsidR="00787268" w:rsidRPr="00E608CB" w:rsidRDefault="00787268" w:rsidP="002126D2">
      <w:pPr>
        <w:tabs>
          <w:tab w:val="left" w:pos="567"/>
        </w:tabs>
        <w:contextualSpacing/>
        <w:jc w:val="both"/>
        <w:rPr>
          <w:rFonts w:asciiTheme="minorHAnsi" w:hAnsiTheme="minorHAnsi" w:cstheme="minorHAnsi"/>
        </w:rPr>
      </w:pPr>
    </w:p>
    <w:p w14:paraId="4B5C27AA" w14:textId="6A8D0261"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b/>
          <w:bCs/>
          <w:lang w:val="pl"/>
        </w:rPr>
        <w:t>II.</w:t>
      </w:r>
      <w:r>
        <w:rPr>
          <w:rFonts w:asciiTheme="minorHAnsi" w:hAnsiTheme="minorHAnsi" w:cstheme="minorHAnsi"/>
          <w:b/>
          <w:bCs/>
          <w:lang w:val="pl"/>
        </w:rPr>
        <w:tab/>
      </w:r>
      <w:r>
        <w:rPr>
          <w:rFonts w:asciiTheme="minorHAnsi" w:hAnsiTheme="minorHAnsi" w:cstheme="minorHAnsi"/>
          <w:b/>
          <w:bCs/>
          <w:u w:val="single"/>
          <w:lang w:val="pl"/>
        </w:rPr>
        <w:t>ANALIZA</w:t>
      </w:r>
    </w:p>
    <w:p w14:paraId="296A8E1C" w14:textId="77777777" w:rsidR="00787268" w:rsidRPr="00E608CB" w:rsidRDefault="00787268" w:rsidP="002126D2">
      <w:pPr>
        <w:tabs>
          <w:tab w:val="left" w:pos="567"/>
        </w:tabs>
        <w:contextualSpacing/>
        <w:jc w:val="both"/>
        <w:rPr>
          <w:rFonts w:asciiTheme="minorHAnsi" w:hAnsiTheme="minorHAnsi" w:cstheme="minorHAnsi"/>
        </w:rPr>
      </w:pPr>
    </w:p>
    <w:p w14:paraId="21E2B318" w14:textId="345FDC6E" w:rsidR="00950044" w:rsidRPr="00E608CB" w:rsidRDefault="00C46308" w:rsidP="00950044">
      <w:pPr>
        <w:numPr>
          <w:ilvl w:val="0"/>
          <w:numId w:val="14"/>
        </w:numPr>
        <w:tabs>
          <w:tab w:val="left" w:pos="567"/>
        </w:tabs>
        <w:contextualSpacing/>
        <w:jc w:val="both"/>
        <w:rPr>
          <w:rFonts w:asciiTheme="minorHAnsi" w:hAnsiTheme="minorHAnsi" w:cstheme="minorHAnsi"/>
        </w:rPr>
      </w:pPr>
      <w:r>
        <w:rPr>
          <w:rFonts w:asciiTheme="minorHAnsi" w:hAnsiTheme="minorHAnsi"/>
          <w:lang w:val="pl"/>
        </w:rPr>
        <w:t>GRECO skierowało do Polski 21 zaleceń w swoim raporcie ewaluacyjnym z piątej rundy oceny. W raporcie zgodności GRECO stwierdziło, że do zalecenia (xvii) zastosowano się w sposób zadowalający, zalecenia (ii), (ix), (xiv), (xv) i (xx) zostały częściowo wdrożone, a zalecenia (i), (iii)–(viii), (x)–(xiii), (xvi), (xviii), (xix) i (xxi) nie zostały wdrożone. Poniżej przeanalizowano zgodność z pozostałymi zaleceniami.</w:t>
      </w:r>
      <w:r>
        <w:rPr>
          <w:lang w:val="pl"/>
        </w:rPr>
        <w:t xml:space="preserve"> </w:t>
      </w:r>
    </w:p>
    <w:p w14:paraId="77DA8A7B" w14:textId="5C17A933" w:rsidR="00787268" w:rsidRPr="00E608CB" w:rsidRDefault="00787268" w:rsidP="00950044">
      <w:pPr>
        <w:ind w:left="567"/>
        <w:contextualSpacing/>
        <w:jc w:val="both"/>
        <w:rPr>
          <w:rFonts w:asciiTheme="minorHAnsi" w:hAnsiTheme="minorHAnsi" w:cstheme="minorHAnsi"/>
        </w:rPr>
      </w:pPr>
    </w:p>
    <w:p w14:paraId="4BEDC632" w14:textId="7E960DE8" w:rsidR="00B578E9" w:rsidRPr="004665EB" w:rsidRDefault="00B578E9" w:rsidP="006D192F">
      <w:pPr>
        <w:jc w:val="both"/>
        <w:rPr>
          <w:rFonts w:asciiTheme="minorHAnsi" w:hAnsiTheme="minorHAnsi" w:cstheme="minorHAnsi"/>
          <w:lang w:val="pl-PL"/>
        </w:rPr>
      </w:pPr>
      <w:r>
        <w:rPr>
          <w:rFonts w:asciiTheme="minorHAnsi" w:hAnsiTheme="minorHAnsi" w:cstheme="minorHAnsi"/>
          <w:i/>
          <w:iCs/>
          <w:lang w:val="pl"/>
        </w:rPr>
        <w:t>Zapobieganie korupcji i promowanie uczciwości w instytucjach rządowych na szczeblu centralnym (najwyższe funkcje wykonawcze)</w:t>
      </w:r>
    </w:p>
    <w:p w14:paraId="1CE35DFE" w14:textId="77777777" w:rsidR="00787268" w:rsidRPr="004665EB" w:rsidRDefault="00787268" w:rsidP="002126D2">
      <w:pPr>
        <w:tabs>
          <w:tab w:val="left" w:pos="567"/>
        </w:tabs>
        <w:contextualSpacing/>
        <w:jc w:val="both"/>
        <w:rPr>
          <w:rFonts w:asciiTheme="minorHAnsi" w:hAnsiTheme="minorHAnsi" w:cstheme="minorHAnsi"/>
          <w:b/>
          <w:bCs/>
          <w:lang w:val="pl-PL"/>
        </w:rPr>
      </w:pPr>
    </w:p>
    <w:p w14:paraId="4F374DF2" w14:textId="3776DD06"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(i)</w:t>
      </w:r>
    </w:p>
    <w:p w14:paraId="17B62524" w14:textId="77777777" w:rsidR="00787268" w:rsidRPr="00E608CB" w:rsidRDefault="00787268" w:rsidP="002126D2">
      <w:pPr>
        <w:pStyle w:val="Normalrappo"/>
        <w:widowControl/>
        <w:tabs>
          <w:tab w:val="clear" w:pos="-720"/>
          <w:tab w:val="left" w:pos="567"/>
        </w:tabs>
        <w:suppressAutoHyphens w:val="0"/>
        <w:contextualSpacing/>
        <w:rPr>
          <w:rFonts w:asciiTheme="minorHAnsi" w:hAnsiTheme="minorHAnsi" w:cstheme="minorHAnsi"/>
          <w:i/>
          <w:spacing w:val="0"/>
          <w:szCs w:val="24"/>
        </w:rPr>
      </w:pPr>
    </w:p>
    <w:p w14:paraId="591D5E55" w14:textId="699A6BC6" w:rsidR="002852FF" w:rsidRPr="004665EB" w:rsidRDefault="00331A7B" w:rsidP="002852FF">
      <w:pPr>
        <w:numPr>
          <w:ilvl w:val="0"/>
          <w:numId w:val="14"/>
        </w:numPr>
        <w:tabs>
          <w:tab w:val="left" w:pos="567"/>
        </w:tabs>
        <w:contextualSpacing/>
        <w:jc w:val="both"/>
        <w:rPr>
          <w:rFonts w:asciiTheme="minorHAnsi" w:hAnsiTheme="minorHAnsi" w:cstheme="minorHAnsi"/>
          <w:i/>
          <w:iCs/>
          <w:lang w:val="pl-PL"/>
        </w:rPr>
      </w:pPr>
      <w:r>
        <w:rPr>
          <w:rFonts w:asciiTheme="minorHAnsi" w:hAnsiTheme="minorHAnsi" w:cstheme="minorHAnsi"/>
          <w:i/>
          <w:iCs/>
          <w:lang w:val="pl"/>
        </w:rPr>
        <w:t>GRECO zaleciło opracowanie ogólnego planu na rzecz etyki w odniesieniu do wszystkich należycie określonych grup osób pełniących najwyższe funkcje wykonawcze – stanowiącego strukturę nadrzędną w stosunku do ustaleń dotyczących etyki istniejących w niektórych ministerstwach, oraz mającego na celu zapobieganie ryzyku korupcji i</w:t>
      </w:r>
      <w:r w:rsidR="004665EB">
        <w:rPr>
          <w:rFonts w:asciiTheme="minorHAnsi" w:hAnsiTheme="minorHAnsi" w:cstheme="minorHAnsi"/>
          <w:i/>
          <w:iCs/>
          <w:lang w:val="pl"/>
        </w:rPr>
        <w:t> </w:t>
      </w:r>
      <w:r>
        <w:rPr>
          <w:rFonts w:asciiTheme="minorHAnsi" w:hAnsiTheme="minorHAnsi" w:cstheme="minorHAnsi"/>
          <w:i/>
          <w:iCs/>
          <w:lang w:val="pl"/>
        </w:rPr>
        <w:t>zarządzanie nim, w tym poprzez odpowiednie środki doradcze, monitorujące i środki zgodności.</w:t>
      </w:r>
      <w:bookmarkStart w:id="1" w:name="_Hlk42180140"/>
      <w:r>
        <w:rPr>
          <w:rFonts w:asciiTheme="minorHAnsi" w:hAnsiTheme="minorHAnsi" w:cstheme="minorHAnsi"/>
          <w:i/>
          <w:iCs/>
          <w:lang w:val="pl"/>
        </w:rPr>
        <w:t>.</w:t>
      </w:r>
    </w:p>
    <w:p w14:paraId="0A715665" w14:textId="77777777" w:rsidR="002852FF" w:rsidRPr="004665EB" w:rsidRDefault="002852FF" w:rsidP="002852FF">
      <w:pPr>
        <w:ind w:left="567"/>
        <w:contextualSpacing/>
        <w:jc w:val="both"/>
        <w:rPr>
          <w:rFonts w:asciiTheme="minorHAnsi" w:hAnsiTheme="minorHAnsi" w:cstheme="minorHAnsi"/>
          <w:i/>
          <w:iCs/>
          <w:lang w:val="pl-PL"/>
        </w:rPr>
      </w:pPr>
      <w:bookmarkStart w:id="2" w:name="_Hlk132807857"/>
    </w:p>
    <w:p w14:paraId="4026424A" w14:textId="043AFB85" w:rsidR="00582DC0" w:rsidRPr="004665EB" w:rsidRDefault="00C46308" w:rsidP="00E548E1">
      <w:pPr>
        <w:pStyle w:val="question"/>
        <w:numPr>
          <w:ilvl w:val="0"/>
          <w:numId w:val="14"/>
        </w:numPr>
        <w:tabs>
          <w:tab w:val="left" w:pos="567"/>
        </w:tabs>
        <w:contextualSpacing/>
        <w:rPr>
          <w:rFonts w:asciiTheme="minorHAnsi" w:hAnsiTheme="minorHAnsi" w:cstheme="minorHAnsi"/>
          <w:szCs w:val="24"/>
          <w:lang w:val="pl-PL"/>
        </w:rPr>
      </w:pPr>
      <w:bookmarkStart w:id="3" w:name="_Ref132799116"/>
      <w:bookmarkEnd w:id="1"/>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w raporcie zgodności. GRECO zauważyło, że opracowanie dwóch zestawów wytycznych dotyczących tworzenia i</w:t>
      </w:r>
      <w:r w:rsidR="004665EB">
        <w:rPr>
          <w:rFonts w:asciiTheme="minorHAnsi" w:hAnsiTheme="minorHAnsi" w:cstheme="minorHAnsi"/>
          <w:szCs w:val="24"/>
          <w:lang w:val="pl"/>
        </w:rPr>
        <w:t> </w:t>
      </w:r>
      <w:r>
        <w:rPr>
          <w:rFonts w:asciiTheme="minorHAnsi" w:hAnsiTheme="minorHAnsi" w:cstheme="minorHAnsi"/>
          <w:szCs w:val="24"/>
          <w:lang w:val="pl"/>
        </w:rPr>
        <w:t>wdrażania skutecznych programów zgodności w sektorze publicznym oraz jednolitych rozwiązań organizacyjno-prawnych na potrzeby przeciwdziałania korupcji w</w:t>
      </w:r>
      <w:r w:rsidR="004665EB">
        <w:rPr>
          <w:rFonts w:asciiTheme="minorHAnsi" w:hAnsiTheme="minorHAnsi" w:cstheme="minorHAnsi"/>
          <w:szCs w:val="24"/>
          <w:lang w:val="pl"/>
        </w:rPr>
        <w:t> </w:t>
      </w:r>
      <w:r>
        <w:rPr>
          <w:rFonts w:asciiTheme="minorHAnsi" w:hAnsiTheme="minorHAnsi" w:cstheme="minorHAnsi"/>
          <w:szCs w:val="24"/>
          <w:lang w:val="pl"/>
        </w:rPr>
        <w:t>administracji publicznej nie spełniło wymogów zalecenia dotyczącego planu na rzecz etyki w odniesieniu do wszystkich należycie określonych grup PTEF, jako struktury nadrzędnej w stosunku ustaleń dotyczących etyki przyjętych w niektórych ministerstwach.</w:t>
      </w:r>
      <w:bookmarkEnd w:id="3"/>
    </w:p>
    <w:p w14:paraId="59D17D4D" w14:textId="77777777" w:rsidR="00582DC0" w:rsidRPr="004665EB" w:rsidRDefault="00582DC0" w:rsidP="00B84C9C">
      <w:pPr>
        <w:pStyle w:val="question"/>
        <w:numPr>
          <w:ilvl w:val="0"/>
          <w:numId w:val="0"/>
        </w:numPr>
        <w:tabs>
          <w:tab w:val="left" w:pos="567"/>
        </w:tabs>
        <w:contextualSpacing/>
        <w:rPr>
          <w:rFonts w:asciiTheme="minorHAnsi" w:hAnsiTheme="minorHAnsi" w:cstheme="minorHAnsi"/>
          <w:szCs w:val="24"/>
          <w:lang w:val="pl-PL"/>
        </w:rPr>
      </w:pPr>
    </w:p>
    <w:p w14:paraId="3EFABFDD" w14:textId="64D757C6" w:rsidR="005A5057" w:rsidRPr="004665EB" w:rsidRDefault="005A5057" w:rsidP="005A5057">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u w:val="single"/>
          <w:lang w:val="pl"/>
        </w:rPr>
        <w:t>Władze polskie</w:t>
      </w:r>
      <w:r>
        <w:rPr>
          <w:rFonts w:asciiTheme="minorHAnsi" w:hAnsiTheme="minorHAnsi" w:cstheme="minorHAnsi"/>
          <w:lang w:val="pl"/>
        </w:rPr>
        <w:t xml:space="preserve"> nie zgłosiły żadnych nowych środków przyjętych w odniesieniu do tego zalecenia, przypominając, że opracowanie obu zestawów wytycznych spełnia wymogi tego zalecenia. Ponadto władze zapewniają, że Centralne Biuro Antykorupcyjne przeprowadziło szkolenia w celu wdrożenia tego zalecenia (więcej informacji znajduje się w pkt </w:t>
      </w:r>
      <w:r>
        <w:rPr>
          <w:rFonts w:asciiTheme="minorHAnsi" w:hAnsiTheme="minorHAnsi" w:cstheme="minorHAnsi"/>
          <w:lang w:val="pl"/>
        </w:rPr>
        <w:fldChar w:fldCharType="begin"/>
      </w:r>
      <w:r>
        <w:rPr>
          <w:rFonts w:asciiTheme="minorHAnsi" w:hAnsiTheme="minorHAnsi" w:cstheme="minorHAnsi"/>
          <w:lang w:val="pl"/>
        </w:rPr>
        <w:instrText xml:space="preserve"> REF _Ref135901224 \r \h </w:instrText>
      </w:r>
      <w:r>
        <w:rPr>
          <w:rFonts w:asciiTheme="minorHAnsi" w:hAnsiTheme="minorHAnsi" w:cstheme="minorHAnsi"/>
          <w:lang w:val="pl"/>
        </w:rPr>
      </w:r>
      <w:r>
        <w:rPr>
          <w:rFonts w:asciiTheme="minorHAnsi" w:hAnsiTheme="minorHAnsi" w:cstheme="minorHAnsi"/>
          <w:lang w:val="pl"/>
        </w:rPr>
        <w:fldChar w:fldCharType="separate"/>
      </w:r>
      <w:r>
        <w:rPr>
          <w:rFonts w:asciiTheme="minorHAnsi" w:hAnsiTheme="minorHAnsi" w:cstheme="minorHAnsi"/>
          <w:lang w:val="pl"/>
        </w:rPr>
        <w:t>17</w:t>
      </w:r>
      <w:r>
        <w:rPr>
          <w:rFonts w:asciiTheme="minorHAnsi" w:hAnsiTheme="minorHAnsi" w:cstheme="minorHAnsi"/>
          <w:lang w:val="pl"/>
        </w:rPr>
        <w:fldChar w:fldCharType="end"/>
      </w:r>
      <w:r>
        <w:rPr>
          <w:rFonts w:asciiTheme="minorHAnsi" w:hAnsiTheme="minorHAnsi" w:cstheme="minorHAnsi"/>
          <w:lang w:val="pl"/>
        </w:rPr>
        <w:t xml:space="preserve"> poniżej).</w:t>
      </w:r>
    </w:p>
    <w:p w14:paraId="349F63D1" w14:textId="77777777" w:rsidR="005A5057" w:rsidRPr="004665EB" w:rsidRDefault="005A5057" w:rsidP="005A5057">
      <w:pPr>
        <w:tabs>
          <w:tab w:val="left" w:pos="567"/>
        </w:tabs>
        <w:contextualSpacing/>
        <w:jc w:val="both"/>
        <w:rPr>
          <w:rFonts w:asciiTheme="minorHAnsi" w:hAnsiTheme="minorHAnsi" w:cstheme="minorHAnsi"/>
          <w:lang w:val="pl-PL"/>
        </w:rPr>
      </w:pPr>
    </w:p>
    <w:p w14:paraId="6D6F5D29" w14:textId="48F90D9E" w:rsidR="00787268" w:rsidRPr="004665EB" w:rsidRDefault="00C46308" w:rsidP="002126D2">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zauważa, że nie poczyniono dalszych postępów i </w:t>
      </w:r>
      <w:r>
        <w:rPr>
          <w:rFonts w:asciiTheme="minorHAnsi" w:hAnsiTheme="minorHAnsi" w:cstheme="minorHAnsi"/>
          <w:szCs w:val="24"/>
          <w:u w:val="single"/>
          <w:lang w:val="pl"/>
        </w:rPr>
        <w:t>stwierdza, że zalecenie i nie zostało wdrożone</w:t>
      </w:r>
      <w:r>
        <w:rPr>
          <w:rFonts w:asciiTheme="minorHAnsi" w:hAnsiTheme="minorHAnsi" w:cstheme="minorHAnsi"/>
          <w:szCs w:val="24"/>
          <w:lang w:val="pl"/>
        </w:rPr>
        <w:t>.</w:t>
      </w:r>
    </w:p>
    <w:p w14:paraId="6455CD6D" w14:textId="77777777" w:rsidR="00DB3046" w:rsidRPr="004665EB" w:rsidRDefault="00DB3046" w:rsidP="00DB3046">
      <w:pPr>
        <w:tabs>
          <w:tab w:val="left" w:pos="567"/>
        </w:tabs>
        <w:contextualSpacing/>
        <w:jc w:val="both"/>
        <w:rPr>
          <w:rFonts w:asciiTheme="minorHAnsi" w:hAnsiTheme="minorHAnsi" w:cstheme="minorHAnsi"/>
          <w:b/>
          <w:bCs/>
          <w:lang w:val="pl-PL"/>
        </w:rPr>
      </w:pPr>
    </w:p>
    <w:p w14:paraId="4AB6BF37" w14:textId="660A0BF0" w:rsidR="00DB3046" w:rsidRPr="00E608CB" w:rsidRDefault="00DB3046" w:rsidP="00DB3046">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(ii)</w:t>
      </w:r>
    </w:p>
    <w:p w14:paraId="5FD27B0B" w14:textId="77777777" w:rsidR="00DB3046" w:rsidRPr="00E608CB" w:rsidRDefault="00DB3046" w:rsidP="00DB3046">
      <w:pPr>
        <w:pStyle w:val="Normalrappo"/>
        <w:widowControl/>
        <w:tabs>
          <w:tab w:val="clear" w:pos="-720"/>
          <w:tab w:val="left" w:pos="567"/>
        </w:tabs>
        <w:suppressAutoHyphens w:val="0"/>
        <w:contextualSpacing/>
        <w:rPr>
          <w:rFonts w:asciiTheme="minorHAnsi" w:hAnsiTheme="minorHAnsi" w:cstheme="minorHAnsi"/>
          <w:i/>
          <w:spacing w:val="0"/>
          <w:szCs w:val="24"/>
        </w:rPr>
      </w:pPr>
    </w:p>
    <w:p w14:paraId="28C73B93" w14:textId="69BBC62D" w:rsidR="00DB3046" w:rsidRPr="004665EB" w:rsidRDefault="001D6C17" w:rsidP="00DB3046">
      <w:pPr>
        <w:numPr>
          <w:ilvl w:val="0"/>
          <w:numId w:val="14"/>
        </w:numPr>
        <w:tabs>
          <w:tab w:val="left" w:pos="567"/>
        </w:tabs>
        <w:contextualSpacing/>
        <w:jc w:val="both"/>
        <w:rPr>
          <w:rFonts w:asciiTheme="minorHAnsi" w:hAnsiTheme="minorHAnsi" w:cstheme="minorHAnsi"/>
          <w:i/>
          <w:iCs/>
          <w:lang w:val="pl-PL"/>
        </w:rPr>
      </w:pPr>
      <w:r>
        <w:rPr>
          <w:rFonts w:asciiTheme="minorHAnsi" w:hAnsiTheme="minorHAnsi" w:cstheme="minorHAnsi"/>
          <w:i/>
          <w:iCs/>
          <w:lang w:val="pl"/>
        </w:rPr>
        <w:t>GRECO zaleciło opracowanie kompleksowego kodeksu postępowania dla osób pełniących najwyższe funkcje wykonawcze, obejmującego między innymi prezenty i inne korzyści oraz konflikty interesów – wraz z odpowiednimi wytycznymi zawierającymi uwagi wyjaśniające i konkretne przykłady.</w:t>
      </w:r>
    </w:p>
    <w:p w14:paraId="7E45436D" w14:textId="77777777" w:rsidR="00DB3046" w:rsidRPr="004665EB" w:rsidRDefault="00DB3046" w:rsidP="00DB3046">
      <w:pPr>
        <w:pStyle w:val="question"/>
        <w:numPr>
          <w:ilvl w:val="0"/>
          <w:numId w:val="0"/>
        </w:numPr>
        <w:ind w:left="567"/>
        <w:contextualSpacing/>
        <w:rPr>
          <w:rFonts w:asciiTheme="minorHAnsi" w:hAnsiTheme="minorHAnsi" w:cstheme="minorHAnsi"/>
          <w:szCs w:val="24"/>
          <w:lang w:val="pl-PL"/>
        </w:rPr>
      </w:pPr>
    </w:p>
    <w:p w14:paraId="6E8456CF" w14:textId="00C4E6D2" w:rsidR="00FB36FC" w:rsidRPr="004665EB" w:rsidRDefault="00FB36FC" w:rsidP="003C0763">
      <w:pPr>
        <w:pStyle w:val="question"/>
        <w:numPr>
          <w:ilvl w:val="0"/>
          <w:numId w:val="14"/>
        </w:numPr>
        <w:contextualSpacing/>
        <w:rPr>
          <w:rFonts w:asciiTheme="minorHAnsi" w:hAnsiTheme="minorHAnsi" w:cstheme="minorHAnsi"/>
          <w:szCs w:val="24"/>
          <w:lang w:val="pl-PL"/>
        </w:rPr>
      </w:pPr>
      <w:bookmarkStart w:id="4" w:name="_Ref129861145"/>
      <w:r>
        <w:rPr>
          <w:rFonts w:asciiTheme="minorHAnsi" w:hAnsiTheme="minorHAnsi" w:cstheme="minorHAnsi"/>
          <w:szCs w:val="24"/>
          <w:u w:val="single"/>
          <w:lang w:val="pl"/>
        </w:rPr>
        <w:t>GRECO przypomina</w:t>
      </w:r>
      <w:r>
        <w:rPr>
          <w:rFonts w:asciiTheme="minorHAnsi" w:hAnsiTheme="minorHAnsi" w:cstheme="minorHAnsi"/>
          <w:szCs w:val="24"/>
          <w:lang w:val="pl"/>
        </w:rPr>
        <w:t xml:space="preserve">, że zalecenie to zostało częściowo wdrożone w raporcie zgodności. Zasady etyczne obejmowały dwa zestawy wytycznych (zob. pkt </w:t>
      </w:r>
      <w:r>
        <w:rPr>
          <w:rFonts w:asciiTheme="minorHAnsi" w:hAnsiTheme="minorHAnsi" w:cstheme="minorHAnsi"/>
          <w:szCs w:val="24"/>
          <w:lang w:val="pl"/>
        </w:rPr>
        <w:fldChar w:fldCharType="begin"/>
      </w:r>
      <w:r>
        <w:rPr>
          <w:rFonts w:asciiTheme="minorHAnsi" w:hAnsiTheme="minorHAnsi" w:cstheme="minorHAnsi"/>
          <w:szCs w:val="24"/>
          <w:lang w:val="pl"/>
        </w:rPr>
        <w:instrText xml:space="preserve"> REF _Ref132799116 \r \h </w:instrText>
      </w:r>
      <w:r>
        <w:rPr>
          <w:rFonts w:asciiTheme="minorHAnsi" w:hAnsiTheme="minorHAnsi" w:cstheme="minorHAnsi"/>
          <w:szCs w:val="24"/>
          <w:lang w:val="pl"/>
        </w:rPr>
      </w:r>
      <w:r>
        <w:rPr>
          <w:rFonts w:asciiTheme="minorHAnsi" w:hAnsiTheme="minorHAnsi" w:cstheme="minorHAnsi"/>
          <w:szCs w:val="24"/>
          <w:lang w:val="pl"/>
        </w:rPr>
        <w:fldChar w:fldCharType="separate"/>
      </w:r>
      <w:r>
        <w:rPr>
          <w:rFonts w:asciiTheme="minorHAnsi" w:hAnsiTheme="minorHAnsi" w:cstheme="minorHAnsi"/>
          <w:szCs w:val="24"/>
          <w:lang w:val="pl"/>
        </w:rPr>
        <w:t>7</w:t>
      </w:r>
      <w:r>
        <w:rPr>
          <w:rFonts w:asciiTheme="minorHAnsi" w:hAnsiTheme="minorHAnsi" w:cstheme="minorHAnsi"/>
          <w:szCs w:val="24"/>
          <w:lang w:val="pl"/>
        </w:rPr>
        <w:fldChar w:fldCharType="end"/>
      </w:r>
      <w:r>
        <w:rPr>
          <w:rFonts w:asciiTheme="minorHAnsi" w:hAnsiTheme="minorHAnsi" w:cstheme="minorHAnsi"/>
          <w:szCs w:val="24"/>
          <w:lang w:val="pl"/>
        </w:rPr>
        <w:t xml:space="preserve"> powyżej), które w</w:t>
      </w:r>
      <w:r w:rsidR="004665EB">
        <w:rPr>
          <w:rFonts w:asciiTheme="minorHAnsi" w:hAnsiTheme="minorHAnsi" w:cstheme="minorHAnsi"/>
          <w:szCs w:val="24"/>
          <w:lang w:val="pl"/>
        </w:rPr>
        <w:t> </w:t>
      </w:r>
      <w:r>
        <w:rPr>
          <w:rFonts w:asciiTheme="minorHAnsi" w:hAnsiTheme="minorHAnsi" w:cstheme="minorHAnsi"/>
          <w:szCs w:val="24"/>
          <w:lang w:val="pl"/>
        </w:rPr>
        <w:t xml:space="preserve">większości dotyczyły pracowników administracji publicznej i nie zostały skonsolidowane w jednym dokumencie koncentrującym się na osobach pełniących najwyższe funkcje wykonawcze. </w:t>
      </w:r>
      <w:r>
        <w:rPr>
          <w:rFonts w:asciiTheme="minorHAnsi" w:hAnsiTheme="minorHAnsi" w:cstheme="minorHAnsi"/>
          <w:lang w:val="pl"/>
        </w:rPr>
        <w:t>Pierwszy zestaw wytycznych (w sprawie skutecznych programów zgodności) zawierał wskazówki dotyczące prezentów i innych korzyści, w</w:t>
      </w:r>
      <w:r w:rsidR="004665EB">
        <w:rPr>
          <w:rFonts w:asciiTheme="minorHAnsi" w:hAnsiTheme="minorHAnsi" w:cstheme="minorHAnsi"/>
          <w:lang w:val="pl"/>
        </w:rPr>
        <w:t> </w:t>
      </w:r>
      <w:r>
        <w:rPr>
          <w:rFonts w:asciiTheme="minorHAnsi" w:hAnsiTheme="minorHAnsi" w:cstheme="minorHAnsi"/>
          <w:lang w:val="pl"/>
        </w:rPr>
        <w:t>tym wzór rejestru prezentów i korzyści, a drugi zestaw wytycznych (w sprawie rozwiązań organizacyjno-prawnych na potrzeby zwalczania korupcji w administracji publicznej) zawierał zasady postępowania w odniesieniu do urzędników publicznych i</w:t>
      </w:r>
      <w:r w:rsidR="004665EB">
        <w:rPr>
          <w:rFonts w:asciiTheme="minorHAnsi" w:hAnsiTheme="minorHAnsi" w:cstheme="minorHAnsi"/>
          <w:lang w:val="pl"/>
        </w:rPr>
        <w:t> </w:t>
      </w:r>
      <w:r>
        <w:rPr>
          <w:rFonts w:asciiTheme="minorHAnsi" w:hAnsiTheme="minorHAnsi" w:cstheme="minorHAnsi"/>
          <w:lang w:val="pl"/>
        </w:rPr>
        <w:t xml:space="preserve">pięć przykładów ryzyka korupcji w relacjach urzędnik publiczny-klient. </w:t>
      </w:r>
      <w:r>
        <w:rPr>
          <w:rFonts w:asciiTheme="minorHAnsi" w:hAnsiTheme="minorHAnsi" w:cstheme="minorHAnsi"/>
          <w:szCs w:val="24"/>
          <w:lang w:val="pl"/>
        </w:rPr>
        <w:t>Drugi zestaw wytycznych również zawierał specjalną sekcję dotyczącą PTEF, w której wprowadzono kodeks postępowania dla PTEF, ale bez uwag wyjaśniających i konkretnych przykładów.</w:t>
      </w:r>
      <w:bookmarkEnd w:id="4"/>
    </w:p>
    <w:bookmarkEnd w:id="2"/>
    <w:p w14:paraId="7D960FF5" w14:textId="77777777" w:rsidR="003C0763" w:rsidRPr="004665EB" w:rsidRDefault="003C0763" w:rsidP="003C0763">
      <w:pPr>
        <w:pStyle w:val="question"/>
        <w:numPr>
          <w:ilvl w:val="0"/>
          <w:numId w:val="0"/>
        </w:numPr>
        <w:ind w:left="567"/>
        <w:contextualSpacing/>
        <w:rPr>
          <w:rFonts w:asciiTheme="minorHAnsi" w:hAnsiTheme="minorHAnsi" w:cstheme="minorHAnsi"/>
          <w:szCs w:val="24"/>
          <w:lang w:val="pl-PL"/>
        </w:rPr>
      </w:pPr>
    </w:p>
    <w:p w14:paraId="0B701D36" w14:textId="14863755" w:rsidR="00A85637" w:rsidRPr="004665EB" w:rsidRDefault="00677E27" w:rsidP="00A85637">
      <w:pPr>
        <w:pStyle w:val="question"/>
        <w:numPr>
          <w:ilvl w:val="0"/>
          <w:numId w:val="14"/>
        </w:numPr>
        <w:contextualSpacing/>
        <w:rPr>
          <w:rFonts w:asciiTheme="minorHAnsi" w:hAnsiTheme="minorHAnsi" w:cstheme="minorHAnsi"/>
          <w:szCs w:val="24"/>
          <w:lang w:val="pl-PL"/>
        </w:rPr>
      </w:pPr>
      <w:bookmarkStart w:id="5" w:name="_Ref132793510"/>
      <w:r>
        <w:rPr>
          <w:rFonts w:asciiTheme="minorHAnsi" w:hAnsiTheme="minorHAnsi" w:cstheme="minorHAnsi"/>
          <w:szCs w:val="24"/>
          <w:u w:val="single"/>
          <w:lang w:val="pl"/>
        </w:rPr>
        <w:t>Władze polskie</w:t>
      </w:r>
      <w:r>
        <w:rPr>
          <w:rFonts w:asciiTheme="minorHAnsi" w:hAnsiTheme="minorHAnsi" w:cstheme="minorHAnsi"/>
          <w:szCs w:val="24"/>
          <w:lang w:val="pl"/>
        </w:rPr>
        <w:t xml:space="preserve"> </w:t>
      </w:r>
      <w:r>
        <w:rPr>
          <w:rFonts w:asciiTheme="minorHAnsi" w:hAnsiTheme="minorHAnsi" w:cstheme="minorHAnsi"/>
          <w:lang w:val="pl"/>
        </w:rPr>
        <w:t xml:space="preserve">nie zgłosiły żadnych nowych środków przyjętych w odniesieniu do tego zalecenia, przypominając, </w:t>
      </w:r>
      <w:r>
        <w:rPr>
          <w:rFonts w:asciiTheme="minorHAnsi" w:hAnsiTheme="minorHAnsi" w:cstheme="minorHAnsi"/>
          <w:szCs w:val="24"/>
          <w:lang w:val="pl"/>
        </w:rPr>
        <w:t xml:space="preserve">że przyjęte wytyczne spełniają wymogi tego zalecenia. Władze zapewniają jednak, że </w:t>
      </w:r>
      <w:r>
        <w:rPr>
          <w:rFonts w:asciiTheme="minorHAnsi" w:hAnsiTheme="minorHAnsi" w:cstheme="minorHAnsi"/>
          <w:lang w:val="pl"/>
        </w:rPr>
        <w:t>trwają prace nad opracowaniem poradnika antykorupcyjnego dla PTEF, który będzie zawierał praktyczne zasady i konkretne przykłady postępowania dotyczące prezentów, konfliktów interesów oraz kontaktów z lobbystami i osobami trzecimi.</w:t>
      </w:r>
      <w:bookmarkEnd w:id="5"/>
    </w:p>
    <w:p w14:paraId="43FEBFB3" w14:textId="50750574" w:rsidR="00677E27" w:rsidRPr="004665EB" w:rsidRDefault="00677E27" w:rsidP="005E4110">
      <w:pPr>
        <w:pStyle w:val="question"/>
        <w:numPr>
          <w:ilvl w:val="0"/>
          <w:numId w:val="0"/>
        </w:numPr>
        <w:ind w:left="567"/>
        <w:contextualSpacing/>
        <w:rPr>
          <w:rFonts w:asciiTheme="minorHAnsi" w:hAnsiTheme="minorHAnsi" w:cstheme="minorHAnsi"/>
          <w:szCs w:val="24"/>
          <w:lang w:val="pl-PL"/>
        </w:rPr>
      </w:pPr>
    </w:p>
    <w:p w14:paraId="56A6E27C" w14:textId="4889DF7D" w:rsidR="00A85637" w:rsidRPr="004665EB" w:rsidRDefault="00C46308" w:rsidP="003D0ACA">
      <w:pPr>
        <w:pStyle w:val="question"/>
        <w:numPr>
          <w:ilvl w:val="0"/>
          <w:numId w:val="14"/>
        </w:numPr>
        <w:contextualSpacing/>
        <w:rPr>
          <w:rFonts w:asciiTheme="minorHAnsi" w:hAnsiTheme="minorHAnsi" w:cstheme="minorHAnsi"/>
          <w:szCs w:val="24"/>
          <w:lang w:val="pl-PL"/>
        </w:rPr>
      </w:pPr>
      <w:bookmarkStart w:id="6" w:name="_Ref129851489"/>
      <w:r>
        <w:rPr>
          <w:rFonts w:asciiTheme="minorHAnsi" w:hAnsiTheme="minorHAnsi" w:cstheme="minorHAnsi"/>
          <w:szCs w:val="24"/>
          <w:u w:val="single"/>
          <w:lang w:val="pl"/>
        </w:rPr>
        <w:lastRenderedPageBreak/>
        <w:t>GRECO</w:t>
      </w:r>
      <w:r>
        <w:rPr>
          <w:rFonts w:asciiTheme="minorHAnsi" w:hAnsiTheme="minorHAnsi" w:cstheme="minorHAnsi"/>
          <w:szCs w:val="24"/>
          <w:lang w:val="pl"/>
        </w:rPr>
        <w:t xml:space="preserve"> przyjmuje do wiadomości propozycję opublikowania praktycznych wytycznych i</w:t>
      </w:r>
      <w:r w:rsidR="004665EB" w:rsidRPr="004665EB">
        <w:rPr>
          <w:rFonts w:asciiTheme="minorHAnsi" w:hAnsiTheme="minorHAnsi" w:cstheme="minorHAnsi"/>
          <w:szCs w:val="24"/>
          <w:lang w:val="pl-PL"/>
        </w:rPr>
        <w:t> </w:t>
      </w:r>
      <w:r>
        <w:rPr>
          <w:rFonts w:asciiTheme="minorHAnsi" w:hAnsiTheme="minorHAnsi" w:cstheme="minorHAnsi"/>
          <w:szCs w:val="24"/>
          <w:lang w:val="pl"/>
        </w:rPr>
        <w:t>konkretnych przykładów dotyczących prezentów, konfliktów interesów i kontaktów z</w:t>
      </w:r>
      <w:r w:rsidR="004665EB">
        <w:rPr>
          <w:rFonts w:asciiTheme="minorHAnsi" w:hAnsiTheme="minorHAnsi" w:cstheme="minorHAnsi"/>
          <w:szCs w:val="24"/>
          <w:lang w:val="pl"/>
        </w:rPr>
        <w:t> </w:t>
      </w:r>
      <w:r>
        <w:rPr>
          <w:rFonts w:asciiTheme="minorHAnsi" w:hAnsiTheme="minorHAnsi" w:cstheme="minorHAnsi"/>
          <w:szCs w:val="24"/>
          <w:lang w:val="pl"/>
        </w:rPr>
        <w:t>lobbystami. GRECO zachęca władze do kontynuowania wysiłków w celu doprowadzenia publikacji do skutku, w tym publikacji konkretnych przykładów i</w:t>
      </w:r>
      <w:r w:rsidR="004665EB">
        <w:rPr>
          <w:rFonts w:asciiTheme="minorHAnsi" w:hAnsiTheme="minorHAnsi" w:cstheme="minorHAnsi"/>
          <w:szCs w:val="24"/>
          <w:lang w:val="pl"/>
        </w:rPr>
        <w:t> </w:t>
      </w:r>
      <w:r>
        <w:rPr>
          <w:rFonts w:asciiTheme="minorHAnsi" w:hAnsiTheme="minorHAnsi" w:cstheme="minorHAnsi"/>
          <w:szCs w:val="24"/>
          <w:lang w:val="pl"/>
        </w:rPr>
        <w:t>wskazówek, jak radzić sobie z dylematami etycznymi, zwracając uwagę na pkt 33 raportu ewaluacyjnego, zgodnie z którym publikacja powinna obejmować wszystkie odpowiednie przepisy i zasady dotyczące uczciwości. Do czasu otrzymania i</w:t>
      </w:r>
      <w:r w:rsidR="004665EB">
        <w:rPr>
          <w:rFonts w:asciiTheme="minorHAnsi" w:hAnsiTheme="minorHAnsi" w:cstheme="minorHAnsi"/>
          <w:szCs w:val="24"/>
          <w:lang w:val="pl"/>
        </w:rPr>
        <w:t> </w:t>
      </w:r>
      <w:r>
        <w:rPr>
          <w:rFonts w:asciiTheme="minorHAnsi" w:hAnsiTheme="minorHAnsi" w:cstheme="minorHAnsi"/>
          <w:szCs w:val="24"/>
          <w:lang w:val="pl"/>
        </w:rPr>
        <w:t>opublikowania takiego dokumentu GRECO nie może stwierdzić, czy w pełni uwzględniono zalecenie.</w:t>
      </w:r>
      <w:bookmarkEnd w:id="6"/>
    </w:p>
    <w:p w14:paraId="5B4B8391" w14:textId="77777777" w:rsidR="00A85637" w:rsidRPr="004665EB" w:rsidRDefault="00A85637" w:rsidP="00A85637">
      <w:pPr>
        <w:pStyle w:val="Akapitzlist"/>
        <w:rPr>
          <w:rFonts w:asciiTheme="minorHAnsi" w:hAnsiTheme="minorHAnsi" w:cstheme="minorHAnsi"/>
          <w:u w:val="single"/>
          <w:lang w:val="pl-PL"/>
        </w:rPr>
      </w:pPr>
    </w:p>
    <w:p w14:paraId="794D37B3" w14:textId="50C7D6F4" w:rsidR="002E71EB" w:rsidRPr="004665EB" w:rsidRDefault="005E4110" w:rsidP="003D0ACA">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(ii) pozostaje częściowo wdrożone.</w:t>
      </w:r>
    </w:p>
    <w:p w14:paraId="7A422A81" w14:textId="77777777" w:rsidR="002E71EB" w:rsidRPr="004665EB" w:rsidRDefault="002E71EB" w:rsidP="002E71EB">
      <w:pPr>
        <w:tabs>
          <w:tab w:val="left" w:pos="567"/>
        </w:tabs>
        <w:contextualSpacing/>
        <w:jc w:val="both"/>
        <w:rPr>
          <w:rFonts w:asciiTheme="minorHAnsi" w:hAnsiTheme="minorHAnsi" w:cstheme="minorHAnsi"/>
          <w:b/>
          <w:bCs/>
          <w:lang w:val="pl-PL"/>
        </w:rPr>
      </w:pPr>
    </w:p>
    <w:p w14:paraId="7F15F7AB" w14:textId="2A78F172" w:rsidR="002E71EB" w:rsidRPr="00E608CB" w:rsidRDefault="002E71EB" w:rsidP="002E71EB">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(iii)</w:t>
      </w:r>
    </w:p>
    <w:p w14:paraId="08CB4C7E" w14:textId="77777777" w:rsidR="002E71EB" w:rsidRPr="00E608CB" w:rsidRDefault="002E71EB" w:rsidP="002E71EB">
      <w:pPr>
        <w:pStyle w:val="Akapitzlist"/>
        <w:rPr>
          <w:rFonts w:asciiTheme="minorHAnsi" w:hAnsiTheme="minorHAnsi" w:cstheme="minorHAnsi"/>
          <w:i/>
          <w:sz w:val="24"/>
        </w:rPr>
      </w:pPr>
    </w:p>
    <w:p w14:paraId="521C8003" w14:textId="45083AAF" w:rsidR="00DB3046" w:rsidRPr="004665EB" w:rsidRDefault="00331A7B" w:rsidP="002E71EB">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i/>
          <w:iCs/>
          <w:szCs w:val="24"/>
          <w:lang w:val="pl"/>
        </w:rPr>
        <w:t xml:space="preserve">GRECO zaleciło (i) opracowanie mechanizmów promowania i podnoszenia świadomości w kwestiach etyki (i przyszłych zasad postępowania) wśród osób pełniących najwyższe funkcje wykonawcze, w tym poprzez szkolenia w zakresie etyki w regularnych odstępach czasu; (ii) ustanowienie specjalnego stanowiska </w:t>
      </w:r>
      <w:r w:rsidR="00A74AD8">
        <w:rPr>
          <w:rFonts w:asciiTheme="minorHAnsi" w:hAnsiTheme="minorHAnsi" w:cstheme="minorHAnsi"/>
          <w:i/>
          <w:iCs/>
          <w:szCs w:val="24"/>
          <w:lang w:val="pl"/>
        </w:rPr>
        <w:t>poufnego</w:t>
      </w:r>
      <w:r>
        <w:rPr>
          <w:rFonts w:asciiTheme="minorHAnsi" w:hAnsiTheme="minorHAnsi" w:cstheme="minorHAnsi"/>
          <w:i/>
          <w:iCs/>
          <w:szCs w:val="24"/>
          <w:lang w:val="pl"/>
        </w:rPr>
        <w:t xml:space="preserve"> </w:t>
      </w:r>
      <w:r w:rsidR="00A74AD8">
        <w:rPr>
          <w:rFonts w:asciiTheme="minorHAnsi" w:hAnsiTheme="minorHAnsi" w:cstheme="minorHAnsi"/>
          <w:i/>
          <w:iCs/>
          <w:szCs w:val="24"/>
          <w:lang w:val="pl"/>
        </w:rPr>
        <w:t>doradcy</w:t>
      </w:r>
      <w:r>
        <w:rPr>
          <w:rFonts w:asciiTheme="minorHAnsi" w:hAnsiTheme="minorHAnsi" w:cstheme="minorHAnsi"/>
          <w:i/>
          <w:iCs/>
          <w:szCs w:val="24"/>
          <w:lang w:val="pl"/>
        </w:rPr>
        <w:t xml:space="preserve"> na potrzeby  udzielania tym osobom porad w zakresie etyki, konfliktów interesów i zapobiegania korupcji.</w:t>
      </w:r>
    </w:p>
    <w:p w14:paraId="125DF711" w14:textId="77777777" w:rsidR="002A0AD3" w:rsidRPr="004665EB" w:rsidRDefault="002A0AD3" w:rsidP="00B72625">
      <w:pPr>
        <w:tabs>
          <w:tab w:val="left" w:pos="567"/>
        </w:tabs>
        <w:ind w:left="567"/>
        <w:contextualSpacing/>
        <w:jc w:val="both"/>
        <w:rPr>
          <w:rFonts w:asciiTheme="minorHAnsi" w:hAnsiTheme="minorHAnsi" w:cstheme="minorHAnsi"/>
          <w:lang w:val="pl-PL"/>
        </w:rPr>
      </w:pPr>
    </w:p>
    <w:p w14:paraId="755C46EE" w14:textId="4462A2FE" w:rsidR="00C84252" w:rsidRPr="004665EB" w:rsidRDefault="00C46308" w:rsidP="005E6666">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w raporcie zgodności. W</w:t>
      </w:r>
      <w:r w:rsidR="004665EB">
        <w:rPr>
          <w:rFonts w:asciiTheme="minorHAnsi" w:hAnsiTheme="minorHAnsi" w:cstheme="minorHAnsi"/>
          <w:szCs w:val="24"/>
          <w:lang w:val="pl"/>
        </w:rPr>
        <w:t> </w:t>
      </w:r>
      <w:r>
        <w:rPr>
          <w:rFonts w:asciiTheme="minorHAnsi" w:hAnsiTheme="minorHAnsi" w:cstheme="minorHAnsi"/>
          <w:szCs w:val="24"/>
          <w:lang w:val="pl"/>
        </w:rPr>
        <w:t>odniesieniu do pierwszej części zalecenia Komisja zauważyła, że program szkoleniowy opracowany przez władze koncentrował się na służbie cywilnej w ogóle i nie opracowano żadnego mechanizmu podnoszenia świadomości w kwestiach uczciwości wśród PTEF. W odniesieniu do drugiej części uznano, że powołanie doradców do spraw etyki w ministerstwach stało się powszechną polityką i PTEF mają różne możliwości uzyskania porady (np. doradcy do spraw etyki, koordynatorzy wydziałowi do spraw wdrażania rządowego programu antykorupcyjnego, departamenty audytu wewnętrznego lub Centralne Biuro Antykorupcyjne – CBA), bez ustanowienia specjalnego stanowiska poufnego doradcy PTEF.</w:t>
      </w:r>
    </w:p>
    <w:p w14:paraId="3584343F" w14:textId="77777777" w:rsidR="00C84252" w:rsidRPr="004665EB" w:rsidRDefault="00C84252" w:rsidP="00DB3046">
      <w:pPr>
        <w:pStyle w:val="Akapitzlist"/>
        <w:rPr>
          <w:rFonts w:asciiTheme="minorHAnsi" w:hAnsiTheme="minorHAnsi" w:cstheme="minorHAnsi"/>
          <w:sz w:val="24"/>
          <w:lang w:val="pl-PL"/>
        </w:rPr>
      </w:pPr>
    </w:p>
    <w:p w14:paraId="19167C88" w14:textId="1E321190" w:rsidR="00677E27" w:rsidRPr="004665EB" w:rsidRDefault="00677E27" w:rsidP="00677E27">
      <w:pPr>
        <w:pStyle w:val="question"/>
        <w:numPr>
          <w:ilvl w:val="0"/>
          <w:numId w:val="14"/>
        </w:numPr>
        <w:contextualSpacing/>
        <w:rPr>
          <w:rFonts w:asciiTheme="minorHAnsi" w:hAnsiTheme="minorHAnsi" w:cstheme="minorHAnsi"/>
          <w:szCs w:val="24"/>
          <w:lang w:val="pl-PL"/>
        </w:rPr>
      </w:pPr>
      <w:bookmarkStart w:id="7" w:name="_Ref135901224"/>
      <w:r>
        <w:rPr>
          <w:rFonts w:asciiTheme="minorHAnsi" w:hAnsiTheme="minorHAnsi" w:cstheme="minorHAnsi"/>
          <w:szCs w:val="24"/>
          <w:u w:val="single"/>
          <w:lang w:val="pl"/>
        </w:rPr>
        <w:t>Władze polskie</w:t>
      </w:r>
      <w:r>
        <w:rPr>
          <w:rFonts w:asciiTheme="minorHAnsi" w:hAnsiTheme="minorHAnsi" w:cstheme="minorHAnsi"/>
          <w:szCs w:val="24"/>
          <w:lang w:val="pl"/>
        </w:rPr>
        <w:t xml:space="preserve">, oprócz przypomnienia swoich wcześniejszych uwag dotyczących organizacji szkoleń dla służby cywilnej i różnych sposobów uzyskiwania poufnych porad przez PTEF, informują obecnie, że CBA pracuje nad nową strategią antykorupcyjną, która obejmowałaby stworzenie modułu szkoleniowego dla PTEF na szkoleniowej platformie e-learningowej CBA oraz opracowanie systemu udzielania porad dotyczących etyki urzędnikom służby cywilnej, w tym PTEF. W tym względzie CBA przeprowadziło szkolenia antykorupcyjne na miejscu lub zdalnie dla łącznie 1 445 instytucji, głównie podmiotów dysponujących środkami publicznymi, takich jak ministerstwa, w tym spółki z udziałem Skarbu Państwa. W szkoleniach wzięło udział ponad 60 000 osób, w tym urzędnicy państwowi i pracownicy. W modułach szkoleniowych, skierowanych głównie do urzędników służby cywilnej i kadry kierowniczej podmiotów publicznych, można wziąć udział bezpłatnie: są dostępne pod adresem </w:t>
      </w:r>
      <w:hyperlink r:id="rId14" w:history="1">
        <w:r>
          <w:rPr>
            <w:rStyle w:val="Hipercze"/>
            <w:rFonts w:asciiTheme="minorHAnsi" w:hAnsiTheme="minorHAnsi" w:cstheme="minorHAnsi"/>
            <w:szCs w:val="24"/>
            <w:lang w:val="pl"/>
          </w:rPr>
          <w:t>www.szkolenia-antykorupcyjne.edu.pl</w:t>
        </w:r>
      </w:hyperlink>
      <w:r>
        <w:rPr>
          <w:rFonts w:asciiTheme="minorHAnsi" w:hAnsiTheme="minorHAnsi" w:cstheme="minorHAnsi"/>
          <w:szCs w:val="24"/>
          <w:lang w:val="pl"/>
        </w:rPr>
        <w:t xml:space="preserve"> oraz </w:t>
      </w:r>
      <w:hyperlink r:id="rId15" w:history="1">
        <w:r>
          <w:rPr>
            <w:rStyle w:val="Hipercze"/>
            <w:rFonts w:asciiTheme="minorHAnsi" w:hAnsiTheme="minorHAnsi" w:cstheme="minorHAnsi"/>
            <w:szCs w:val="24"/>
            <w:lang w:val="pl"/>
          </w:rPr>
          <w:t>www.antykorupcja.gov.pl</w:t>
        </w:r>
      </w:hyperlink>
      <w:r>
        <w:rPr>
          <w:rFonts w:asciiTheme="minorHAnsi" w:hAnsiTheme="minorHAnsi" w:cstheme="minorHAnsi"/>
          <w:szCs w:val="24"/>
          <w:lang w:val="pl"/>
        </w:rPr>
        <w:t>. CBA pracuje również nad przeprojektowaniem swojej strony internetowej i budową portalu #ABC</w:t>
      </w:r>
      <w:r w:rsidR="002854CB">
        <w:rPr>
          <w:rFonts w:asciiTheme="minorHAnsi" w:hAnsiTheme="minorHAnsi" w:cstheme="minorHAnsi"/>
          <w:szCs w:val="24"/>
          <w:lang w:val="pl"/>
        </w:rPr>
        <w:t>uczciwości</w:t>
      </w:r>
      <w:r>
        <w:rPr>
          <w:rFonts w:asciiTheme="minorHAnsi" w:hAnsiTheme="minorHAnsi" w:cstheme="minorHAnsi"/>
          <w:szCs w:val="24"/>
          <w:lang w:val="pl"/>
        </w:rPr>
        <w:t xml:space="preserve">, co obejmie przebudowę strony www.antykorupcja.gov.pl, stworzenie szerokiej bazy wiedzy oraz możliwość </w:t>
      </w:r>
      <w:r>
        <w:rPr>
          <w:rFonts w:asciiTheme="minorHAnsi" w:hAnsiTheme="minorHAnsi" w:cstheme="minorHAnsi"/>
          <w:szCs w:val="24"/>
          <w:lang w:val="pl"/>
        </w:rPr>
        <w:lastRenderedPageBreak/>
        <w:t>bezpośredniego i anonimowego kontaktu i zgłaszania nieprawidłowości lub zadawania pytań dedykowanemu ekspertowi CBA online.</w:t>
      </w:r>
      <w:bookmarkEnd w:id="7"/>
    </w:p>
    <w:p w14:paraId="3318A4D7" w14:textId="77777777" w:rsidR="00677E27" w:rsidRPr="004665EB" w:rsidRDefault="00677E27" w:rsidP="00677E27">
      <w:pPr>
        <w:pStyle w:val="question"/>
        <w:numPr>
          <w:ilvl w:val="0"/>
          <w:numId w:val="0"/>
        </w:numPr>
        <w:ind w:left="567"/>
        <w:contextualSpacing/>
        <w:rPr>
          <w:rFonts w:asciiTheme="minorHAnsi" w:hAnsiTheme="minorHAnsi" w:cstheme="minorHAnsi"/>
          <w:b/>
          <w:bCs/>
          <w:lang w:val="pl-PL"/>
        </w:rPr>
      </w:pPr>
    </w:p>
    <w:p w14:paraId="142ED19C" w14:textId="0AA37D72" w:rsidR="005C76BB" w:rsidRPr="004665EB" w:rsidRDefault="00C46308" w:rsidP="000B36BA">
      <w:pPr>
        <w:pStyle w:val="question"/>
        <w:numPr>
          <w:ilvl w:val="0"/>
          <w:numId w:val="14"/>
        </w:numPr>
        <w:tabs>
          <w:tab w:val="left" w:pos="567"/>
        </w:tabs>
        <w:contextualSpacing/>
        <w:rPr>
          <w:rFonts w:asciiTheme="minorHAnsi" w:hAnsiTheme="minorHAnsi" w:cstheme="minorHAnsi"/>
          <w:szCs w:val="24"/>
          <w:u w:val="single"/>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odnotowuje szkolenia organizowane przez Centralne Biuro Antykorupcyjne, które są skierowane do pracowników i urzędników podmiotów publicznych, w tym spółek z udziałem Skarbu Państwa. GRECO z zadowoleniem przyjmuje również plany wprowadzenia modułu e-szkolenia i opracowania w przyszłości specjalnego kanału poufnego doradztwa dla PTEF, których jeszcze nie zrealizowano. W oczekiwaniu na takie specjalne szkolenia dla PTEF i ustanowienie specjalnego kanału poufnego doradztwa, GRECO nie może uznać, że zalecenie to zostało spełnione, nawet częściowo.</w:t>
      </w:r>
    </w:p>
    <w:p w14:paraId="632BFE4C" w14:textId="77777777" w:rsidR="005C76BB" w:rsidRPr="004665EB" w:rsidRDefault="005C76BB" w:rsidP="005C76BB">
      <w:pPr>
        <w:pStyle w:val="Akapitzlist"/>
        <w:rPr>
          <w:rFonts w:asciiTheme="minorHAnsi" w:hAnsiTheme="minorHAnsi" w:cstheme="minorHAnsi"/>
          <w:lang w:val="pl-PL"/>
        </w:rPr>
      </w:pPr>
    </w:p>
    <w:p w14:paraId="7B7B69E3" w14:textId="109496D0" w:rsidR="000B36BA" w:rsidRPr="004665EB" w:rsidRDefault="005C76BB" w:rsidP="000B36BA">
      <w:pPr>
        <w:pStyle w:val="question"/>
        <w:numPr>
          <w:ilvl w:val="0"/>
          <w:numId w:val="14"/>
        </w:numPr>
        <w:tabs>
          <w:tab w:val="left" w:pos="567"/>
        </w:tabs>
        <w:contextualSpacing/>
        <w:rPr>
          <w:rFonts w:asciiTheme="minorHAnsi" w:hAnsiTheme="minorHAnsi" w:cstheme="minorHAnsi"/>
          <w:szCs w:val="24"/>
          <w:u w:val="single"/>
          <w:lang w:val="pl-PL"/>
        </w:rPr>
      </w:pPr>
      <w:r>
        <w:rPr>
          <w:rFonts w:asciiTheme="minorHAnsi" w:hAnsiTheme="minorHAnsi" w:cstheme="minorHAnsi"/>
          <w:szCs w:val="24"/>
          <w:u w:val="single"/>
          <w:lang w:val="pl"/>
        </w:rPr>
        <w:t>GRECO stwierdza, że zalecenie (iii) nie zostało wdrożone.</w:t>
      </w:r>
    </w:p>
    <w:p w14:paraId="724DEB10" w14:textId="461064B2" w:rsidR="00DB3046" w:rsidRPr="004665EB" w:rsidRDefault="00DB3046" w:rsidP="000B36BA">
      <w:pPr>
        <w:pStyle w:val="question"/>
        <w:numPr>
          <w:ilvl w:val="0"/>
          <w:numId w:val="0"/>
        </w:numPr>
        <w:ind w:left="567"/>
        <w:contextualSpacing/>
        <w:rPr>
          <w:rFonts w:asciiTheme="minorHAnsi" w:hAnsiTheme="minorHAnsi" w:cstheme="minorHAnsi"/>
          <w:b/>
          <w:bCs/>
          <w:lang w:val="pl-PL"/>
        </w:rPr>
      </w:pPr>
    </w:p>
    <w:p w14:paraId="323FB38F" w14:textId="7CD37488" w:rsidR="00DB3046" w:rsidRPr="00E608CB" w:rsidRDefault="00DB3046" w:rsidP="00DB3046">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(iv)</w:t>
      </w:r>
    </w:p>
    <w:p w14:paraId="50D83A68" w14:textId="77777777" w:rsidR="00DB3046" w:rsidRPr="00E608CB" w:rsidRDefault="00DB3046" w:rsidP="00DB3046">
      <w:pPr>
        <w:pStyle w:val="Normalrappo"/>
        <w:widowControl/>
        <w:tabs>
          <w:tab w:val="clear" w:pos="-720"/>
          <w:tab w:val="left" w:pos="567"/>
        </w:tabs>
        <w:suppressAutoHyphens w:val="0"/>
        <w:contextualSpacing/>
        <w:rPr>
          <w:rFonts w:asciiTheme="minorHAnsi" w:hAnsiTheme="minorHAnsi" w:cstheme="minorHAnsi"/>
          <w:i/>
          <w:spacing w:val="0"/>
          <w:szCs w:val="24"/>
        </w:rPr>
      </w:pPr>
    </w:p>
    <w:p w14:paraId="28D8A828" w14:textId="77777777" w:rsidR="005E6666" w:rsidRPr="004665EB" w:rsidRDefault="00931A52" w:rsidP="005E6666">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zapewnienie niezależnego mechanizmu nadzoru, aby zagwarantować skuteczne wdrażanie przepisów dotyczących wolności informacji.</w:t>
      </w:r>
    </w:p>
    <w:p w14:paraId="16C660A0" w14:textId="77777777" w:rsidR="005E6666" w:rsidRPr="004665EB" w:rsidRDefault="005E6666" w:rsidP="005E6666">
      <w:pPr>
        <w:ind w:left="567"/>
        <w:contextualSpacing/>
        <w:jc w:val="both"/>
        <w:rPr>
          <w:rFonts w:asciiTheme="minorHAnsi" w:hAnsiTheme="minorHAnsi" w:cstheme="minorHAnsi"/>
          <w:i/>
          <w:lang w:val="pl-PL"/>
        </w:rPr>
      </w:pPr>
    </w:p>
    <w:p w14:paraId="7345C702" w14:textId="2C5DACAF" w:rsidR="005121BF" w:rsidRPr="004665EB" w:rsidRDefault="005121BF" w:rsidP="005121BF">
      <w:pPr>
        <w:numPr>
          <w:ilvl w:val="0"/>
          <w:numId w:val="14"/>
        </w:numPr>
        <w:tabs>
          <w:tab w:val="left" w:pos="567"/>
        </w:tabs>
        <w:contextualSpacing/>
        <w:jc w:val="both"/>
        <w:rPr>
          <w:rFonts w:asciiTheme="minorHAnsi" w:hAnsiTheme="minorHAnsi" w:cstheme="minorHAnsi"/>
          <w:iCs/>
          <w:lang w:val="pl-PL"/>
        </w:rPr>
      </w:pPr>
      <w:r>
        <w:rPr>
          <w:rFonts w:asciiTheme="minorHAnsi" w:hAnsiTheme="minorHAnsi" w:cstheme="minorHAnsi"/>
          <w:u w:val="single"/>
          <w:lang w:val="pl"/>
        </w:rPr>
        <w:t>GRECO przypomina</w:t>
      </w:r>
      <w:r>
        <w:rPr>
          <w:rFonts w:asciiTheme="minorHAnsi" w:hAnsiTheme="minorHAnsi" w:cstheme="minorHAnsi"/>
          <w:lang w:val="pl"/>
        </w:rPr>
        <w:t>, że zalecenie to nie zostało wdrożone w raporcie zgodności. Władze utrzymywały, że niezależny mechanizm nadzoru nie jest konieczny i nie podjęły żadnych kroków w kierunku wdrożenia tego zalecenia.</w:t>
      </w:r>
    </w:p>
    <w:p w14:paraId="65076DF8" w14:textId="77777777" w:rsidR="005121BF" w:rsidRPr="004665EB" w:rsidRDefault="005121BF" w:rsidP="005121BF">
      <w:pPr>
        <w:pStyle w:val="Akapitzlist"/>
        <w:ind w:left="567"/>
        <w:contextualSpacing/>
        <w:rPr>
          <w:rFonts w:asciiTheme="minorHAnsi" w:hAnsiTheme="minorHAnsi" w:cstheme="minorHAnsi"/>
          <w:sz w:val="24"/>
          <w:lang w:val="pl-PL"/>
        </w:rPr>
      </w:pPr>
    </w:p>
    <w:p w14:paraId="3A67049D" w14:textId="171FD630" w:rsidR="006631EF" w:rsidRPr="004665EB" w:rsidRDefault="00FB36FC" w:rsidP="00FB36FC">
      <w:pPr>
        <w:pStyle w:val="Akapitzlist"/>
        <w:numPr>
          <w:ilvl w:val="0"/>
          <w:numId w:val="14"/>
        </w:numPr>
        <w:contextualSpacing/>
        <w:rPr>
          <w:rFonts w:asciiTheme="minorHAnsi" w:hAnsiTheme="minorHAnsi" w:cstheme="minorHAnsi"/>
          <w:sz w:val="24"/>
          <w:lang w:val="pl-PL"/>
        </w:rPr>
      </w:pPr>
      <w:r>
        <w:rPr>
          <w:rFonts w:asciiTheme="minorHAnsi" w:hAnsiTheme="minorHAnsi" w:cstheme="minorHAnsi"/>
          <w:sz w:val="24"/>
          <w:u w:val="single"/>
          <w:lang w:val="pl"/>
        </w:rPr>
        <w:t>Władze polskie</w:t>
      </w:r>
      <w:r>
        <w:rPr>
          <w:rFonts w:asciiTheme="minorHAnsi" w:hAnsiTheme="minorHAnsi" w:cstheme="minorHAnsi"/>
          <w:sz w:val="24"/>
          <w:lang w:val="pl"/>
        </w:rPr>
        <w:t xml:space="preserve"> przywołują swoje wcześniejsze oświadczenia, że w ustawie o dostępie do informacji publicznej z 2001 r. przewidziano mechanizm nadzoru nad jej wdrażaniem, sprawowany przez Rzecznika Praw Obywatelskich i sądy administracyjne, w tym Najwyższą Izbę Kontroli.</w:t>
      </w:r>
    </w:p>
    <w:p w14:paraId="1D28C1C5" w14:textId="77777777" w:rsidR="006631EF" w:rsidRPr="004665EB" w:rsidRDefault="006631EF" w:rsidP="006631EF">
      <w:pPr>
        <w:pStyle w:val="Akapitzlist"/>
        <w:rPr>
          <w:rFonts w:asciiTheme="minorHAnsi" w:hAnsiTheme="minorHAnsi" w:cstheme="minorHAnsi"/>
          <w:sz w:val="24"/>
          <w:u w:val="single"/>
          <w:lang w:val="pl-PL"/>
        </w:rPr>
      </w:pPr>
    </w:p>
    <w:p w14:paraId="40177866" w14:textId="638E7AD8" w:rsidR="00DB3046" w:rsidRPr="004665EB" w:rsidRDefault="00853728" w:rsidP="00B72625">
      <w:pPr>
        <w:pStyle w:val="question"/>
        <w:numPr>
          <w:ilvl w:val="0"/>
          <w:numId w:val="14"/>
        </w:numPr>
        <w:tabs>
          <w:tab w:val="left" w:pos="567"/>
        </w:tabs>
        <w:contextualSpacing/>
        <w:rPr>
          <w:rFonts w:asciiTheme="minorHAnsi" w:hAnsiTheme="minorHAnsi" w:cstheme="minorHAnsi"/>
          <w:b/>
          <w:bCs/>
          <w:szCs w:val="24"/>
          <w:lang w:val="pl-PL"/>
        </w:rPr>
      </w:pPr>
      <w:r>
        <w:rPr>
          <w:rFonts w:asciiTheme="minorHAnsi" w:hAnsiTheme="minorHAnsi" w:cstheme="minorHAnsi"/>
          <w:szCs w:val="24"/>
          <w:lang w:val="pl"/>
        </w:rPr>
        <w:t xml:space="preserve">W obliczu braku jakichkolwiek postępów </w:t>
      </w:r>
      <w:r>
        <w:rPr>
          <w:rFonts w:asciiTheme="minorHAnsi" w:hAnsiTheme="minorHAnsi" w:cstheme="minorHAnsi"/>
          <w:szCs w:val="24"/>
          <w:u w:val="single"/>
          <w:lang w:val="pl"/>
        </w:rPr>
        <w:t>GRECO stwierdza, że zalecenie (iv) nie zostało wdrożone.</w:t>
      </w:r>
    </w:p>
    <w:p w14:paraId="0DA56294" w14:textId="77777777" w:rsidR="002A0AD3" w:rsidRPr="004665EB" w:rsidRDefault="002A0AD3" w:rsidP="002A0AD3">
      <w:pPr>
        <w:pStyle w:val="question"/>
        <w:numPr>
          <w:ilvl w:val="0"/>
          <w:numId w:val="0"/>
        </w:numPr>
        <w:tabs>
          <w:tab w:val="left" w:pos="567"/>
        </w:tabs>
        <w:ind w:left="567" w:hanging="567"/>
        <w:contextualSpacing/>
        <w:rPr>
          <w:rFonts w:asciiTheme="minorHAnsi" w:hAnsiTheme="minorHAnsi" w:cstheme="minorHAnsi"/>
          <w:b/>
          <w:bCs/>
          <w:szCs w:val="24"/>
          <w:lang w:val="pl-PL"/>
        </w:rPr>
      </w:pPr>
    </w:p>
    <w:p w14:paraId="5F72C5C2" w14:textId="572A889B" w:rsidR="00DB3046" w:rsidRPr="00E608CB" w:rsidRDefault="00DB3046" w:rsidP="00DB3046">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(v)</w:t>
      </w:r>
    </w:p>
    <w:p w14:paraId="5119821C" w14:textId="77777777" w:rsidR="00DB3046" w:rsidRPr="00E608CB" w:rsidRDefault="00DB3046" w:rsidP="00DB3046">
      <w:pPr>
        <w:pStyle w:val="Normalrappo"/>
        <w:widowControl/>
        <w:tabs>
          <w:tab w:val="clear" w:pos="-720"/>
          <w:tab w:val="left" w:pos="567"/>
        </w:tabs>
        <w:suppressAutoHyphens w:val="0"/>
        <w:contextualSpacing/>
        <w:rPr>
          <w:rFonts w:asciiTheme="minorHAnsi" w:hAnsiTheme="minorHAnsi" w:cstheme="minorHAnsi"/>
          <w:i/>
          <w:spacing w:val="0"/>
          <w:szCs w:val="24"/>
        </w:rPr>
      </w:pPr>
    </w:p>
    <w:p w14:paraId="5AA155D2" w14:textId="6AADF158" w:rsidR="00DB3046" w:rsidRPr="004665EB" w:rsidRDefault="00C8006A" w:rsidP="00DB3046">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aby rządowe wnioski ustawodawcze skutecznie obejmowały odpowiednie ramy czasowe konsultacji i odpowiednie oceny skutków w praktyce oraz aby kontakty i uwagi otrzymane przed formalnym rozpoczęciem konsultacji były w</w:t>
      </w:r>
      <w:r w:rsidR="004665EB">
        <w:rPr>
          <w:rFonts w:asciiTheme="minorHAnsi" w:hAnsiTheme="minorHAnsi" w:cstheme="minorHAnsi"/>
          <w:i/>
          <w:iCs/>
          <w:lang w:val="pl"/>
        </w:rPr>
        <w:t> </w:t>
      </w:r>
      <w:r>
        <w:rPr>
          <w:rFonts w:asciiTheme="minorHAnsi" w:hAnsiTheme="minorHAnsi" w:cstheme="minorHAnsi"/>
          <w:i/>
          <w:iCs/>
          <w:lang w:val="pl"/>
        </w:rPr>
        <w:t>równym stopniu udokumentowane.</w:t>
      </w:r>
    </w:p>
    <w:p w14:paraId="7A663778" w14:textId="77777777" w:rsidR="00DB3046" w:rsidRPr="004665EB" w:rsidRDefault="00DB3046" w:rsidP="00DB3046">
      <w:pPr>
        <w:pStyle w:val="question"/>
        <w:numPr>
          <w:ilvl w:val="0"/>
          <w:numId w:val="0"/>
        </w:numPr>
        <w:ind w:left="567"/>
        <w:contextualSpacing/>
        <w:rPr>
          <w:rFonts w:asciiTheme="minorHAnsi" w:hAnsiTheme="minorHAnsi" w:cstheme="minorHAnsi"/>
          <w:szCs w:val="24"/>
          <w:lang w:val="pl-PL"/>
        </w:rPr>
      </w:pPr>
    </w:p>
    <w:p w14:paraId="3CF23C7E" w14:textId="53FE7D0A" w:rsidR="0074627E" w:rsidRPr="004665EB" w:rsidRDefault="0074627E" w:rsidP="0074627E">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xml:space="preserve">, że zalecenie to nie zostało wdrożone w raporcie zgodności. Nie podjęto żadnych kroków w celu zapewnienia odpowiedniego harmonogramu konsultacji oraz udokumentowania kontaktów i informacji otrzymanych przed formalnym rozpoczęciem konsultacji. Planowano ustanowienie mechanizmu oceny projektów aktów prawnych w rządowym procesie legislacyjnym pod kątem ryzyka korupcji oraz wprowadzenie mechanizmu analizy oceny skutków aktów prawnych (zarówno </w:t>
      </w:r>
      <w:r>
        <w:rPr>
          <w:rFonts w:asciiTheme="minorHAnsi" w:hAnsiTheme="minorHAnsi" w:cstheme="minorHAnsi"/>
          <w:i/>
          <w:iCs/>
          <w:szCs w:val="24"/>
          <w:lang w:val="pl"/>
        </w:rPr>
        <w:t>ex ante</w:t>
      </w:r>
      <w:r>
        <w:rPr>
          <w:rFonts w:asciiTheme="minorHAnsi" w:hAnsiTheme="minorHAnsi" w:cstheme="minorHAnsi"/>
          <w:szCs w:val="24"/>
          <w:lang w:val="pl"/>
        </w:rPr>
        <w:t xml:space="preserve">, jak i </w:t>
      </w:r>
      <w:r>
        <w:rPr>
          <w:rFonts w:asciiTheme="minorHAnsi" w:hAnsiTheme="minorHAnsi" w:cstheme="minorHAnsi"/>
          <w:i/>
          <w:iCs/>
          <w:szCs w:val="24"/>
          <w:lang w:val="pl"/>
        </w:rPr>
        <w:t>ex post</w:t>
      </w:r>
      <w:r>
        <w:rPr>
          <w:rFonts w:asciiTheme="minorHAnsi" w:hAnsiTheme="minorHAnsi" w:cstheme="minorHAnsi"/>
          <w:szCs w:val="24"/>
          <w:lang w:val="pl"/>
        </w:rPr>
        <w:t>).</w:t>
      </w:r>
    </w:p>
    <w:p w14:paraId="1CFF0556" w14:textId="77777777" w:rsidR="0074627E" w:rsidRPr="004665EB" w:rsidRDefault="0074627E" w:rsidP="0074627E">
      <w:pPr>
        <w:pStyle w:val="question"/>
        <w:numPr>
          <w:ilvl w:val="0"/>
          <w:numId w:val="0"/>
        </w:numPr>
        <w:ind w:left="567"/>
        <w:contextualSpacing/>
        <w:rPr>
          <w:rFonts w:asciiTheme="minorHAnsi" w:hAnsiTheme="minorHAnsi" w:cstheme="minorHAnsi"/>
          <w:szCs w:val="24"/>
          <w:lang w:val="pl-PL"/>
        </w:rPr>
      </w:pPr>
    </w:p>
    <w:p w14:paraId="7F176B02" w14:textId="528F5A28" w:rsidR="007D5967" w:rsidRPr="004665EB" w:rsidRDefault="00FD1071" w:rsidP="00B72625">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że opracowano mechanizm oceny ryzyka korupcji w</w:t>
      </w:r>
      <w:r w:rsidR="004665EB">
        <w:rPr>
          <w:rFonts w:asciiTheme="minorHAnsi" w:hAnsiTheme="minorHAnsi" w:cstheme="minorHAnsi"/>
          <w:szCs w:val="24"/>
          <w:lang w:val="pl"/>
        </w:rPr>
        <w:t> </w:t>
      </w:r>
      <w:r>
        <w:rPr>
          <w:rFonts w:asciiTheme="minorHAnsi" w:hAnsiTheme="minorHAnsi" w:cstheme="minorHAnsi"/>
          <w:szCs w:val="24"/>
          <w:lang w:val="pl"/>
        </w:rPr>
        <w:t xml:space="preserve">projektach aktów prawnych dotyczących niektórych obszarów regulacyjnych. Zgodnie </w:t>
      </w:r>
      <w:r>
        <w:rPr>
          <w:rFonts w:asciiTheme="minorHAnsi" w:hAnsiTheme="minorHAnsi" w:cstheme="minorHAnsi"/>
          <w:szCs w:val="24"/>
          <w:lang w:val="pl"/>
        </w:rPr>
        <w:lastRenderedPageBreak/>
        <w:t xml:space="preserve">z tym mechanizmem CBA przeprowadzi taką ocenę proponowanych projektów aktów prawnych. Mechanizm ma również na celu wzmocnienie narzędzia analitycznego oceny skutków regulacji, które jest obowiązkowe dla każdej rządowej propozycji legislacyjnej, oraz zwiększenie potencjału oceny </w:t>
      </w:r>
      <w:r>
        <w:rPr>
          <w:rFonts w:asciiTheme="minorHAnsi" w:hAnsiTheme="minorHAnsi" w:cstheme="minorHAnsi"/>
          <w:i/>
          <w:iCs/>
          <w:szCs w:val="24"/>
          <w:lang w:val="pl"/>
        </w:rPr>
        <w:t>ex post</w:t>
      </w:r>
      <w:r>
        <w:rPr>
          <w:rFonts w:asciiTheme="minorHAnsi" w:hAnsiTheme="minorHAnsi" w:cstheme="minorHAnsi"/>
          <w:szCs w:val="24"/>
          <w:lang w:val="pl"/>
        </w:rPr>
        <w:t>.</w:t>
      </w:r>
    </w:p>
    <w:p w14:paraId="1479BBC6" w14:textId="77777777" w:rsidR="003E247B" w:rsidRPr="004665EB" w:rsidRDefault="003E247B" w:rsidP="003E247B">
      <w:pPr>
        <w:pStyle w:val="question"/>
        <w:numPr>
          <w:ilvl w:val="0"/>
          <w:numId w:val="0"/>
        </w:numPr>
        <w:contextualSpacing/>
        <w:rPr>
          <w:rFonts w:asciiTheme="minorHAnsi" w:hAnsiTheme="minorHAnsi" w:cstheme="minorHAnsi"/>
          <w:szCs w:val="24"/>
          <w:lang w:val="pl-PL"/>
        </w:rPr>
      </w:pPr>
    </w:p>
    <w:p w14:paraId="7887CC60" w14:textId="0C292175" w:rsidR="003244DE" w:rsidRPr="004665EB" w:rsidRDefault="00C46308" w:rsidP="00DB3046">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odnotowuje opracowanie mechanizmu oceny ryzyka korupcji w projektach aktów prawnych, uznając jednocześnie, że nie dostarczono żadnych istotnych informacji w odniesieniu do ustanowienia odpowiednich ram czasowych konsultacji rządowych wniosków ustawodawczych, skonsolidowanej praktyki, zgodnie z którą wszystkie rządowe wnioski ustawodawcze zawierają odpowiednią ocenę skutków (zob. również pkt 42 raportu ewaluacyjnego</w:t>
      </w:r>
      <w:r>
        <w:rPr>
          <w:rStyle w:val="Odwoanieprzypisudolnego"/>
          <w:rFonts w:asciiTheme="minorHAnsi" w:hAnsiTheme="minorHAnsi"/>
          <w:szCs w:val="24"/>
          <w:lang w:val="pl"/>
        </w:rPr>
        <w:footnoteReference w:id="2"/>
      </w:r>
      <w:r>
        <w:rPr>
          <w:rFonts w:asciiTheme="minorHAnsi" w:hAnsiTheme="minorHAnsi" w:cstheme="minorHAnsi"/>
          <w:szCs w:val="24"/>
          <w:lang w:val="pl"/>
        </w:rPr>
        <w:t>) oraz dokumentowania kontaktów i uwag otrzymanych przed formalnym rozpoczęciem konsultacji.</w:t>
      </w:r>
    </w:p>
    <w:p w14:paraId="0CB86BC0" w14:textId="77777777" w:rsidR="003244DE" w:rsidRPr="004665EB" w:rsidRDefault="003244DE" w:rsidP="003244DE">
      <w:pPr>
        <w:pStyle w:val="Akapitzlist"/>
        <w:rPr>
          <w:rFonts w:asciiTheme="minorHAnsi" w:hAnsiTheme="minorHAnsi" w:cstheme="minorHAnsi"/>
          <w:u w:val="single"/>
          <w:lang w:val="pl-PL"/>
        </w:rPr>
      </w:pPr>
    </w:p>
    <w:p w14:paraId="79AADF48" w14:textId="6D8B376B" w:rsidR="00DB3046" w:rsidRPr="004665EB" w:rsidRDefault="003244DE" w:rsidP="00DB3046">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(v) nie zostało wdrożone.</w:t>
      </w:r>
    </w:p>
    <w:p w14:paraId="2B44C199" w14:textId="77777777" w:rsidR="00787268" w:rsidRPr="004665EB" w:rsidRDefault="00787268" w:rsidP="002126D2">
      <w:pPr>
        <w:tabs>
          <w:tab w:val="left" w:pos="567"/>
        </w:tabs>
        <w:contextualSpacing/>
        <w:jc w:val="both"/>
        <w:rPr>
          <w:rFonts w:asciiTheme="minorHAnsi" w:hAnsiTheme="minorHAnsi" w:cstheme="minorHAnsi"/>
          <w:b/>
          <w:bCs/>
          <w:lang w:val="pl-PL"/>
        </w:rPr>
      </w:pPr>
    </w:p>
    <w:p w14:paraId="07C3C88D" w14:textId="15C77E40"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(vi)</w:t>
      </w:r>
    </w:p>
    <w:p w14:paraId="7CF18503" w14:textId="77777777" w:rsidR="00787268" w:rsidRPr="00E608CB" w:rsidRDefault="00787268" w:rsidP="002126D2">
      <w:pPr>
        <w:pStyle w:val="Normalrappo"/>
        <w:widowControl/>
        <w:tabs>
          <w:tab w:val="clear" w:pos="-720"/>
          <w:tab w:val="left" w:pos="567"/>
        </w:tabs>
        <w:suppressAutoHyphens w:val="0"/>
        <w:contextualSpacing/>
        <w:rPr>
          <w:rFonts w:asciiTheme="minorHAnsi" w:hAnsiTheme="minorHAnsi" w:cstheme="minorHAnsi"/>
          <w:i/>
          <w:spacing w:val="0"/>
          <w:szCs w:val="24"/>
        </w:rPr>
      </w:pPr>
    </w:p>
    <w:p w14:paraId="17E99F24" w14:textId="0C4521B4" w:rsidR="002037BB" w:rsidRPr="004665EB" w:rsidRDefault="00C8006A" w:rsidP="002037BB">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i/>
          <w:iCs/>
          <w:szCs w:val="24"/>
          <w:lang w:val="pl"/>
        </w:rPr>
        <w:t>GRECO zaleciło (i) wprowadzenie szczegółowych zasad dotyczących sposobu, w jaki osoby pełniących najwyższe funkcje wykonawcze wchodzą w interakcje z lobbystami i</w:t>
      </w:r>
      <w:r w:rsidR="004665EB">
        <w:rPr>
          <w:rFonts w:asciiTheme="minorHAnsi" w:hAnsiTheme="minorHAnsi" w:cstheme="minorHAnsi"/>
          <w:i/>
          <w:iCs/>
          <w:szCs w:val="24"/>
          <w:lang w:val="pl"/>
        </w:rPr>
        <w:t> </w:t>
      </w:r>
      <w:r>
        <w:rPr>
          <w:rFonts w:asciiTheme="minorHAnsi" w:hAnsiTheme="minorHAnsi" w:cstheme="minorHAnsi"/>
          <w:i/>
          <w:iCs/>
          <w:szCs w:val="24"/>
          <w:lang w:val="pl"/>
        </w:rPr>
        <w:t>innymi stronami trzecimi dążącymi do wywierania wpływu na publiczny proces decyzyjny; oraz (ii) ujawnienie wystarczających informacji na temat celu tych kontaktów, takich jak tożsamość osoby (osób), z którą (lub w czyim(-ich) imieniu) odbywało się spotkanie(-a) oraz konkretny(-e) temat(-y) dyskusji.</w:t>
      </w:r>
    </w:p>
    <w:p w14:paraId="05A4DF44" w14:textId="77777777" w:rsidR="002037BB" w:rsidRPr="004665EB" w:rsidRDefault="002037BB" w:rsidP="002037BB">
      <w:pPr>
        <w:pStyle w:val="question"/>
        <w:numPr>
          <w:ilvl w:val="0"/>
          <w:numId w:val="0"/>
        </w:numPr>
        <w:ind w:left="567"/>
        <w:contextualSpacing/>
        <w:rPr>
          <w:rFonts w:asciiTheme="minorHAnsi" w:hAnsiTheme="minorHAnsi" w:cstheme="minorHAnsi"/>
          <w:szCs w:val="24"/>
          <w:lang w:val="pl-PL"/>
        </w:rPr>
      </w:pPr>
    </w:p>
    <w:p w14:paraId="3B332ECF" w14:textId="14982BE9" w:rsidR="00EE3256" w:rsidRPr="004665EB" w:rsidRDefault="00EE3256" w:rsidP="002037BB">
      <w:pPr>
        <w:pStyle w:val="question"/>
        <w:numPr>
          <w:ilvl w:val="0"/>
          <w:numId w:val="14"/>
        </w:numPr>
        <w:contextualSpacing/>
        <w:rPr>
          <w:rFonts w:asciiTheme="minorHAnsi" w:hAnsiTheme="minorHAnsi" w:cstheme="minorHAnsi"/>
          <w:szCs w:val="24"/>
          <w:lang w:val="pl-PL"/>
        </w:rPr>
      </w:pPr>
      <w:bookmarkStart w:id="8" w:name="_Ref129859878"/>
      <w:r>
        <w:rPr>
          <w:rFonts w:asciiTheme="minorHAnsi" w:hAnsiTheme="minorHAnsi" w:cstheme="minorHAnsi"/>
          <w:szCs w:val="24"/>
          <w:u w:val="single"/>
          <w:lang w:val="pl"/>
        </w:rPr>
        <w:t>GRECO przypomina</w:t>
      </w:r>
      <w:r>
        <w:rPr>
          <w:rFonts w:asciiTheme="minorHAnsi" w:hAnsiTheme="minorHAnsi" w:cstheme="minorHAnsi"/>
          <w:szCs w:val="24"/>
          <w:lang w:val="pl"/>
        </w:rPr>
        <w:t xml:space="preserve">, że zalecenie to nie zostało wdrożone w raporcie zgodności. Władze przeprowadziły analizę skuteczności ustawy o działalności lobbingowej w procesie stanowienia prawa, a GRECO nie zostało poinformowane o jej wynikach. Co więcej, wytyczne dotyczące zasad postępowania w sytuacji korupcji, które zawierały model polityki dotyczącej prezentów i rejestru korzyści (zob. pkt </w:t>
      </w:r>
      <w:r>
        <w:rPr>
          <w:rFonts w:asciiTheme="minorHAnsi" w:hAnsiTheme="minorHAnsi" w:cstheme="minorHAnsi"/>
          <w:szCs w:val="24"/>
          <w:lang w:val="pl"/>
        </w:rPr>
        <w:fldChar w:fldCharType="begin"/>
      </w:r>
      <w:r>
        <w:rPr>
          <w:rFonts w:asciiTheme="minorHAnsi" w:hAnsiTheme="minorHAnsi" w:cstheme="minorHAnsi"/>
          <w:szCs w:val="24"/>
          <w:lang w:val="pl"/>
        </w:rPr>
        <w:instrText xml:space="preserve"> REF _Ref129861145 \r \h </w:instrText>
      </w:r>
      <w:r>
        <w:rPr>
          <w:rFonts w:asciiTheme="minorHAnsi" w:hAnsiTheme="minorHAnsi" w:cstheme="minorHAnsi"/>
          <w:szCs w:val="24"/>
          <w:lang w:val="pl"/>
        </w:rPr>
      </w:r>
      <w:r>
        <w:rPr>
          <w:rFonts w:asciiTheme="minorHAnsi" w:hAnsiTheme="minorHAnsi" w:cstheme="minorHAnsi"/>
          <w:szCs w:val="24"/>
          <w:lang w:val="pl"/>
        </w:rPr>
        <w:fldChar w:fldCharType="separate"/>
      </w:r>
      <w:r>
        <w:rPr>
          <w:rFonts w:asciiTheme="minorHAnsi" w:hAnsiTheme="minorHAnsi" w:cstheme="minorHAnsi"/>
          <w:szCs w:val="24"/>
          <w:lang w:val="pl"/>
        </w:rPr>
        <w:t>11</w:t>
      </w:r>
      <w:r>
        <w:rPr>
          <w:rFonts w:asciiTheme="minorHAnsi" w:hAnsiTheme="minorHAnsi" w:cstheme="minorHAnsi"/>
          <w:szCs w:val="24"/>
          <w:lang w:val="pl"/>
        </w:rPr>
        <w:fldChar w:fldCharType="end"/>
      </w:r>
      <w:r>
        <w:rPr>
          <w:rFonts w:asciiTheme="minorHAnsi" w:hAnsiTheme="minorHAnsi" w:cstheme="minorHAnsi"/>
          <w:szCs w:val="24"/>
          <w:lang w:val="pl"/>
        </w:rPr>
        <w:t xml:space="preserve"> powyżej), nie uwzględniały obaw leżących u podstaw tego zalecenia.</w:t>
      </w:r>
      <w:bookmarkEnd w:id="8"/>
    </w:p>
    <w:p w14:paraId="35979125" w14:textId="77777777" w:rsidR="00EE3256" w:rsidRPr="004665EB" w:rsidRDefault="00EE3256" w:rsidP="00EE3256">
      <w:pPr>
        <w:pStyle w:val="Akapitzlist"/>
        <w:rPr>
          <w:rFonts w:asciiTheme="minorHAnsi" w:hAnsiTheme="minorHAnsi" w:cstheme="minorHAnsi"/>
          <w:u w:val="single"/>
          <w:lang w:val="pl-PL"/>
        </w:rPr>
      </w:pPr>
    </w:p>
    <w:p w14:paraId="35B5C298" w14:textId="6C231879" w:rsidR="0009160E" w:rsidRPr="004665EB" w:rsidRDefault="00FD1071" w:rsidP="002037BB">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oprócz przypomnienia </w:t>
      </w:r>
      <w:r>
        <w:rPr>
          <w:rFonts w:asciiTheme="minorHAnsi" w:hAnsiTheme="minorHAnsi" w:cstheme="minorHAnsi"/>
          <w:lang w:val="pl"/>
        </w:rPr>
        <w:t>wcześniejszych oświadczeń, informują, że trwają prace nad opracowaniem podręcznika antykorupcyjnego dla PTEF, który będzie zawierał kodeks postępowania dotyczący prezentów, konfliktów interesów oraz kontaktów z</w:t>
      </w:r>
      <w:r w:rsidR="004665EB">
        <w:rPr>
          <w:rFonts w:asciiTheme="minorHAnsi" w:hAnsiTheme="minorHAnsi" w:cstheme="minorHAnsi"/>
          <w:lang w:val="pl"/>
        </w:rPr>
        <w:t> </w:t>
      </w:r>
      <w:r>
        <w:rPr>
          <w:rFonts w:asciiTheme="minorHAnsi" w:hAnsiTheme="minorHAnsi" w:cstheme="minorHAnsi"/>
          <w:lang w:val="pl"/>
        </w:rPr>
        <w:t xml:space="preserve">lobbystami i osobami trzecimi, a także będzie zawierał wyjaśnienia i konkretne przykłady (zob. również pkt </w:t>
      </w:r>
      <w:r>
        <w:rPr>
          <w:rFonts w:asciiTheme="minorHAnsi" w:hAnsiTheme="minorHAnsi" w:cstheme="minorHAnsi"/>
          <w:lang w:val="pl"/>
        </w:rPr>
        <w:fldChar w:fldCharType="begin"/>
      </w:r>
      <w:r>
        <w:rPr>
          <w:rFonts w:asciiTheme="minorHAnsi" w:hAnsiTheme="minorHAnsi" w:cstheme="minorHAnsi"/>
          <w:lang w:val="pl"/>
        </w:rPr>
        <w:instrText xml:space="preserve"> REF _Ref132793510 \r \h </w:instrText>
      </w:r>
      <w:r>
        <w:rPr>
          <w:rFonts w:asciiTheme="minorHAnsi" w:hAnsiTheme="minorHAnsi" w:cstheme="minorHAnsi"/>
          <w:lang w:val="pl"/>
        </w:rPr>
      </w:r>
      <w:r>
        <w:rPr>
          <w:rFonts w:asciiTheme="minorHAnsi" w:hAnsiTheme="minorHAnsi" w:cstheme="minorHAnsi"/>
          <w:lang w:val="pl"/>
        </w:rPr>
        <w:fldChar w:fldCharType="separate"/>
      </w:r>
      <w:r>
        <w:rPr>
          <w:rFonts w:asciiTheme="minorHAnsi" w:hAnsiTheme="minorHAnsi" w:cstheme="minorHAnsi"/>
          <w:lang w:val="pl"/>
        </w:rPr>
        <w:t>12</w:t>
      </w:r>
      <w:r>
        <w:rPr>
          <w:rFonts w:asciiTheme="minorHAnsi" w:hAnsiTheme="minorHAnsi" w:cstheme="minorHAnsi"/>
          <w:lang w:val="pl"/>
        </w:rPr>
        <w:fldChar w:fldCharType="end"/>
      </w:r>
      <w:r>
        <w:rPr>
          <w:rFonts w:asciiTheme="minorHAnsi" w:hAnsiTheme="minorHAnsi" w:cstheme="minorHAnsi"/>
          <w:lang w:val="pl"/>
        </w:rPr>
        <w:t xml:space="preserve"> powyżej). Ponadto Centralne Biuro Antykorupcyjne przeprowadziło szkolenia, aby wdrożyć to zalecenie (więcej informacji można znaleźć w</w:t>
      </w:r>
      <w:r w:rsidR="004665EB">
        <w:rPr>
          <w:rFonts w:asciiTheme="minorHAnsi" w:hAnsiTheme="minorHAnsi" w:cstheme="minorHAnsi"/>
          <w:lang w:val="pl"/>
        </w:rPr>
        <w:t> </w:t>
      </w:r>
      <w:r>
        <w:rPr>
          <w:rFonts w:asciiTheme="minorHAnsi" w:hAnsiTheme="minorHAnsi" w:cstheme="minorHAnsi"/>
          <w:lang w:val="pl"/>
        </w:rPr>
        <w:t xml:space="preserve">pkt </w:t>
      </w:r>
      <w:r>
        <w:rPr>
          <w:rFonts w:asciiTheme="minorHAnsi" w:hAnsiTheme="minorHAnsi" w:cstheme="minorHAnsi"/>
          <w:lang w:val="pl"/>
        </w:rPr>
        <w:fldChar w:fldCharType="begin"/>
      </w:r>
      <w:r>
        <w:rPr>
          <w:rFonts w:asciiTheme="minorHAnsi" w:hAnsiTheme="minorHAnsi" w:cstheme="minorHAnsi"/>
          <w:lang w:val="pl"/>
        </w:rPr>
        <w:instrText xml:space="preserve"> REF _Ref135901224 \r \h </w:instrText>
      </w:r>
      <w:r>
        <w:rPr>
          <w:rFonts w:asciiTheme="minorHAnsi" w:hAnsiTheme="minorHAnsi" w:cstheme="minorHAnsi"/>
          <w:lang w:val="pl"/>
        </w:rPr>
      </w:r>
      <w:r>
        <w:rPr>
          <w:rFonts w:asciiTheme="minorHAnsi" w:hAnsiTheme="minorHAnsi" w:cstheme="minorHAnsi"/>
          <w:lang w:val="pl"/>
        </w:rPr>
        <w:fldChar w:fldCharType="separate"/>
      </w:r>
      <w:r>
        <w:rPr>
          <w:rFonts w:asciiTheme="minorHAnsi" w:hAnsiTheme="minorHAnsi" w:cstheme="minorHAnsi"/>
          <w:lang w:val="pl"/>
        </w:rPr>
        <w:t>17</w:t>
      </w:r>
      <w:r>
        <w:rPr>
          <w:rFonts w:asciiTheme="minorHAnsi" w:hAnsiTheme="minorHAnsi" w:cstheme="minorHAnsi"/>
          <w:lang w:val="pl"/>
        </w:rPr>
        <w:fldChar w:fldCharType="end"/>
      </w:r>
      <w:r>
        <w:rPr>
          <w:rFonts w:asciiTheme="minorHAnsi" w:hAnsiTheme="minorHAnsi" w:cstheme="minorHAnsi"/>
          <w:lang w:val="pl"/>
        </w:rPr>
        <w:t xml:space="preserve"> powyżej).</w:t>
      </w:r>
    </w:p>
    <w:p w14:paraId="22613205" w14:textId="05274916" w:rsidR="007C572E" w:rsidRPr="004665EB" w:rsidRDefault="007C572E" w:rsidP="002126D2">
      <w:pPr>
        <w:pStyle w:val="question"/>
        <w:numPr>
          <w:ilvl w:val="0"/>
          <w:numId w:val="0"/>
        </w:numPr>
        <w:tabs>
          <w:tab w:val="left" w:pos="567"/>
        </w:tabs>
        <w:contextualSpacing/>
        <w:rPr>
          <w:rFonts w:asciiTheme="minorHAnsi" w:hAnsiTheme="minorHAnsi" w:cstheme="minorHAnsi"/>
          <w:szCs w:val="24"/>
          <w:lang w:val="pl-PL"/>
        </w:rPr>
      </w:pPr>
    </w:p>
    <w:p w14:paraId="0B1BEDC7" w14:textId="4AB47FA9" w:rsidR="00FD1071" w:rsidRPr="004665EB" w:rsidRDefault="00C46308" w:rsidP="00FD1071">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odnotowuje, że w odniesieniu do pierwszej części zalecenia nie otrzymało egzemplarza proponowanej publikacji, która, jak oczekiwałoby GRECO, zawiera zasady dotyczące interakcji osób pełniących najwyższe funkcje wykonawcze z lobbystami i</w:t>
      </w:r>
      <w:r w:rsidR="004665EB">
        <w:rPr>
          <w:rFonts w:asciiTheme="minorHAnsi" w:hAnsiTheme="minorHAnsi" w:cstheme="minorHAnsi"/>
          <w:szCs w:val="24"/>
          <w:lang w:val="pl"/>
        </w:rPr>
        <w:t> </w:t>
      </w:r>
      <w:r>
        <w:rPr>
          <w:rFonts w:asciiTheme="minorHAnsi" w:hAnsiTheme="minorHAnsi" w:cstheme="minorHAnsi"/>
          <w:szCs w:val="24"/>
          <w:lang w:val="pl"/>
        </w:rPr>
        <w:t>osobami trzecimi. Władze nie przekazały żadnych informacji dotyczących wdrożenia drugiej części zalecenia.</w:t>
      </w:r>
    </w:p>
    <w:p w14:paraId="6658CE3D" w14:textId="74B0ACAF" w:rsidR="00787268" w:rsidRPr="004665EB" w:rsidRDefault="00787268" w:rsidP="00FD1071">
      <w:pPr>
        <w:pStyle w:val="question"/>
        <w:numPr>
          <w:ilvl w:val="0"/>
          <w:numId w:val="0"/>
        </w:numPr>
        <w:tabs>
          <w:tab w:val="left" w:pos="567"/>
        </w:tabs>
        <w:contextualSpacing/>
        <w:rPr>
          <w:rFonts w:asciiTheme="minorHAnsi" w:hAnsiTheme="minorHAnsi" w:cstheme="minorHAnsi"/>
          <w:szCs w:val="24"/>
          <w:lang w:val="pl-PL"/>
        </w:rPr>
      </w:pPr>
    </w:p>
    <w:p w14:paraId="77ECE288" w14:textId="5EE2914D" w:rsidR="00787268" w:rsidRPr="004665EB" w:rsidRDefault="00905CC0" w:rsidP="002126D2">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lastRenderedPageBreak/>
        <w:t xml:space="preserve">W tej sytuacji </w:t>
      </w:r>
      <w:r>
        <w:rPr>
          <w:rFonts w:asciiTheme="minorHAnsi" w:hAnsiTheme="minorHAnsi" w:cstheme="minorHAnsi"/>
          <w:szCs w:val="24"/>
          <w:u w:val="single"/>
          <w:lang w:val="pl"/>
        </w:rPr>
        <w:t>GRECO stwierdza, że zalecenie (vi) nie zostało wdrożone.</w:t>
      </w:r>
    </w:p>
    <w:p w14:paraId="55BB7C95" w14:textId="77777777" w:rsidR="00787268" w:rsidRPr="004665EB" w:rsidRDefault="00787268" w:rsidP="002126D2">
      <w:pPr>
        <w:tabs>
          <w:tab w:val="left" w:pos="567"/>
        </w:tabs>
        <w:contextualSpacing/>
        <w:jc w:val="both"/>
        <w:rPr>
          <w:rFonts w:asciiTheme="minorHAnsi" w:hAnsiTheme="minorHAnsi" w:cstheme="minorHAnsi"/>
          <w:b/>
          <w:bCs/>
          <w:lang w:val="pl-PL"/>
        </w:rPr>
      </w:pPr>
    </w:p>
    <w:p w14:paraId="14A73FAA" w14:textId="082B2477" w:rsidR="00787268" w:rsidRPr="00E608CB" w:rsidRDefault="00787268" w:rsidP="00A8009F">
      <w:pPr>
        <w:keepNext/>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Zalecenia (vii) i (viii)</w:t>
      </w:r>
    </w:p>
    <w:p w14:paraId="6F4226EF" w14:textId="77777777" w:rsidR="00787268" w:rsidRPr="00E608CB" w:rsidRDefault="00787268" w:rsidP="00A8009F">
      <w:pPr>
        <w:pStyle w:val="Normalrappo"/>
        <w:keepNext/>
        <w:widowControl/>
        <w:tabs>
          <w:tab w:val="clear" w:pos="-720"/>
          <w:tab w:val="left" w:pos="567"/>
        </w:tabs>
        <w:suppressAutoHyphens w:val="0"/>
        <w:contextualSpacing/>
        <w:rPr>
          <w:rFonts w:asciiTheme="minorHAnsi" w:hAnsiTheme="minorHAnsi" w:cstheme="minorHAnsi"/>
          <w:i/>
          <w:spacing w:val="0"/>
          <w:szCs w:val="24"/>
        </w:rPr>
      </w:pPr>
    </w:p>
    <w:p w14:paraId="615EC20F" w14:textId="656125CE" w:rsidR="00DD58A9" w:rsidRPr="00E608CB" w:rsidRDefault="00C8006A" w:rsidP="00A8009F">
      <w:pPr>
        <w:pStyle w:val="question"/>
        <w:keepNext/>
        <w:numPr>
          <w:ilvl w:val="0"/>
          <w:numId w:val="14"/>
        </w:numPr>
        <w:contextualSpacing/>
        <w:rPr>
          <w:rFonts w:asciiTheme="minorHAnsi" w:hAnsiTheme="minorHAnsi" w:cstheme="minorHAnsi"/>
          <w:iCs/>
          <w:szCs w:val="24"/>
        </w:rPr>
      </w:pPr>
      <w:r>
        <w:rPr>
          <w:rFonts w:asciiTheme="minorHAnsi" w:hAnsiTheme="minorHAnsi" w:cstheme="minorHAnsi"/>
          <w:szCs w:val="24"/>
          <w:lang w:val="pl"/>
        </w:rPr>
        <w:t xml:space="preserve">GRECO zaleciło: </w:t>
      </w:r>
    </w:p>
    <w:p w14:paraId="5AF4452C" w14:textId="77777777" w:rsidR="00DD58A9" w:rsidRPr="00E608CB" w:rsidRDefault="00DD58A9" w:rsidP="00A8009F">
      <w:pPr>
        <w:pStyle w:val="question"/>
        <w:keepNext/>
        <w:numPr>
          <w:ilvl w:val="0"/>
          <w:numId w:val="0"/>
        </w:numPr>
        <w:ind w:left="567"/>
        <w:contextualSpacing/>
        <w:rPr>
          <w:rFonts w:asciiTheme="minorHAnsi" w:hAnsiTheme="minorHAnsi" w:cstheme="minorHAnsi"/>
          <w:szCs w:val="24"/>
        </w:rPr>
      </w:pPr>
    </w:p>
    <w:p w14:paraId="58220D3D" w14:textId="17BCCF25" w:rsidR="00DD58A9" w:rsidRPr="004665EB" w:rsidRDefault="00FD1071" w:rsidP="00DD58A9">
      <w:pPr>
        <w:pStyle w:val="question"/>
        <w:numPr>
          <w:ilvl w:val="0"/>
          <w:numId w:val="29"/>
        </w:numPr>
        <w:contextualSpacing/>
        <w:rPr>
          <w:rFonts w:asciiTheme="minorHAnsi" w:hAnsiTheme="minorHAnsi" w:cstheme="minorHAnsi"/>
          <w:szCs w:val="24"/>
          <w:lang w:val="pl-PL"/>
        </w:rPr>
      </w:pPr>
      <w:r>
        <w:rPr>
          <w:rFonts w:asciiTheme="minorHAnsi" w:hAnsiTheme="minorHAnsi" w:cstheme="minorHAnsi"/>
          <w:i/>
          <w:iCs/>
          <w:szCs w:val="24"/>
          <w:lang w:val="pl"/>
        </w:rPr>
        <w:t>wprowadzenie wspólnych międzyrządowych zasad i wytycznych dotyczących działań pomocniczych;</w:t>
      </w:r>
      <w:r>
        <w:rPr>
          <w:rFonts w:asciiTheme="minorHAnsi" w:hAnsiTheme="minorHAnsi" w:cstheme="minorHAnsi"/>
          <w:szCs w:val="24"/>
          <w:lang w:val="pl"/>
        </w:rPr>
        <w:t xml:space="preserve"> (zalecenie (vii))</w:t>
      </w:r>
    </w:p>
    <w:p w14:paraId="44CAECEE" w14:textId="1BF9C5B2" w:rsidR="00787268" w:rsidRPr="004665EB" w:rsidRDefault="00DD58A9" w:rsidP="00DD58A9">
      <w:pPr>
        <w:pStyle w:val="question"/>
        <w:numPr>
          <w:ilvl w:val="0"/>
          <w:numId w:val="0"/>
        </w:numPr>
        <w:ind w:left="927"/>
        <w:contextualSpacing/>
        <w:rPr>
          <w:rFonts w:asciiTheme="minorHAnsi" w:hAnsiTheme="minorHAnsi" w:cstheme="minorHAnsi"/>
          <w:szCs w:val="24"/>
          <w:lang w:val="pl-PL"/>
        </w:rPr>
      </w:pPr>
      <w:r>
        <w:rPr>
          <w:rFonts w:asciiTheme="minorHAnsi" w:hAnsiTheme="minorHAnsi" w:cstheme="minorHAnsi"/>
          <w:szCs w:val="24"/>
          <w:lang w:val="pl"/>
        </w:rPr>
        <w:t xml:space="preserve"> </w:t>
      </w:r>
    </w:p>
    <w:p w14:paraId="73E91430" w14:textId="1252CC95" w:rsidR="00B72625" w:rsidRPr="004665EB" w:rsidRDefault="00B72625" w:rsidP="00DD58A9">
      <w:pPr>
        <w:pStyle w:val="question"/>
        <w:numPr>
          <w:ilvl w:val="0"/>
          <w:numId w:val="29"/>
        </w:numPr>
        <w:contextualSpacing/>
        <w:rPr>
          <w:rFonts w:asciiTheme="minorHAnsi" w:hAnsiTheme="minorHAnsi" w:cstheme="minorHAnsi"/>
          <w:szCs w:val="24"/>
          <w:lang w:val="pl-PL"/>
        </w:rPr>
      </w:pPr>
      <w:r>
        <w:rPr>
          <w:rFonts w:asciiTheme="minorHAnsi" w:hAnsiTheme="minorHAnsi" w:cstheme="minorHAnsi"/>
          <w:i/>
          <w:iCs/>
          <w:szCs w:val="24"/>
          <w:lang w:val="pl"/>
        </w:rPr>
        <w:t>rozszerzenie zakresu stosowania przepisów dotyczących ograniczeń po ustaniu zatrudnienia w celu skutecznego radzenia sobie z kolizją działań i zapobiegania niewłaściwym przeniesieniom do sektora prywatnego po zakończeniu pełnienia funkcji przez osoby pełniące najwyższe funkcje wykonawcze</w:t>
      </w:r>
      <w:r>
        <w:rPr>
          <w:rFonts w:asciiTheme="minorHAnsi" w:hAnsiTheme="minorHAnsi" w:cstheme="minorHAnsi"/>
          <w:szCs w:val="24"/>
          <w:lang w:val="pl"/>
        </w:rPr>
        <w:t>; (zalecenie (viii))</w:t>
      </w:r>
    </w:p>
    <w:p w14:paraId="23ECA509" w14:textId="77777777" w:rsidR="00FD1071" w:rsidRPr="004665EB" w:rsidRDefault="00FD1071" w:rsidP="00B72625">
      <w:pPr>
        <w:tabs>
          <w:tab w:val="left" w:pos="567"/>
        </w:tabs>
        <w:ind w:left="567"/>
        <w:contextualSpacing/>
        <w:jc w:val="both"/>
        <w:rPr>
          <w:rFonts w:asciiTheme="minorHAnsi" w:hAnsiTheme="minorHAnsi" w:cstheme="minorHAnsi"/>
          <w:lang w:val="pl-PL"/>
        </w:rPr>
      </w:pPr>
    </w:p>
    <w:p w14:paraId="2FF904F5" w14:textId="5C5B857D" w:rsidR="00EE1B15" w:rsidRPr="004665EB" w:rsidRDefault="00EE1B15" w:rsidP="005F18EA">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u w:val="single"/>
          <w:lang w:val="pl"/>
        </w:rPr>
        <w:t>GRECO przypomina</w:t>
      </w:r>
      <w:r>
        <w:rPr>
          <w:rFonts w:asciiTheme="minorHAnsi" w:hAnsiTheme="minorHAnsi" w:cstheme="minorHAnsi"/>
          <w:lang w:val="pl"/>
        </w:rPr>
        <w:t>, że zalecenia te nie zostały wdrożone. W odniesieniu do zalecenia (vii) nie przyjęto żadnych środków w celu wprowadzenia wspólnych międzyrządowych zasad i wytycznych dotyczących działań pomocniczych</w:t>
      </w:r>
      <w:r>
        <w:rPr>
          <w:rStyle w:val="Odwoanieprzypisudolnego"/>
          <w:rFonts w:asciiTheme="minorHAnsi" w:hAnsiTheme="minorHAnsi"/>
          <w:lang w:val="pl"/>
        </w:rPr>
        <w:footnoteReference w:id="3"/>
      </w:r>
      <w:r>
        <w:rPr>
          <w:rFonts w:asciiTheme="minorHAnsi" w:hAnsiTheme="minorHAnsi" w:cstheme="minorHAnsi"/>
          <w:lang w:val="pl"/>
        </w:rPr>
        <w:t>. W odniesieniu do zalecenia (viii) władze odniosły się do przyszłej transpozycji dyrektywy UE 2019/1 w sprawie nadania organom ochrony konkurencji państw członkowskich uprawnień bez określania charakteru ograniczeń po okresie zatrudnienia, które mają zostać wprowadzone.</w:t>
      </w:r>
    </w:p>
    <w:p w14:paraId="72EAC6E1" w14:textId="77777777" w:rsidR="00EE1B15" w:rsidRPr="004665EB" w:rsidRDefault="00EE1B15" w:rsidP="00EE1B15">
      <w:pPr>
        <w:ind w:left="567"/>
        <w:contextualSpacing/>
        <w:jc w:val="both"/>
        <w:rPr>
          <w:rFonts w:asciiTheme="minorHAnsi" w:hAnsiTheme="minorHAnsi" w:cstheme="minorHAnsi"/>
          <w:lang w:val="pl-PL"/>
        </w:rPr>
      </w:pPr>
    </w:p>
    <w:p w14:paraId="499E14E0" w14:textId="74454240" w:rsidR="00EE1B15" w:rsidRPr="004665EB" w:rsidRDefault="00FD1071" w:rsidP="00EE1B15">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u w:val="single"/>
          <w:lang w:val="pl"/>
        </w:rPr>
        <w:t>Władze polskie</w:t>
      </w:r>
      <w:r>
        <w:rPr>
          <w:rFonts w:asciiTheme="minorHAnsi" w:hAnsiTheme="minorHAnsi" w:cstheme="minorHAnsi"/>
          <w:lang w:val="pl"/>
        </w:rPr>
        <w:t xml:space="preserve"> nie dostarczyły żadnych nowych istotnych informacji, powtarzając swoje wcześniejsze oświadczenia. Władze dodają, że dyrektywa UE 2019/1 ma na celu zapewnienie niezależności krajowego organu ochrony konkurencji, nakładając na jego pracowników wymóg powstrzymania się od prowadzenia postępowań, które mogłyby prowadzić do konfliktu interesów.</w:t>
      </w:r>
    </w:p>
    <w:p w14:paraId="50939FDA" w14:textId="77777777" w:rsidR="00EE1B15" w:rsidRPr="004665EB" w:rsidRDefault="00EE1B15" w:rsidP="00EE1B15">
      <w:pPr>
        <w:tabs>
          <w:tab w:val="left" w:pos="567"/>
        </w:tabs>
        <w:contextualSpacing/>
        <w:jc w:val="both"/>
        <w:rPr>
          <w:rFonts w:asciiTheme="minorHAnsi" w:hAnsiTheme="minorHAnsi" w:cstheme="minorHAnsi"/>
          <w:lang w:val="pl-PL"/>
        </w:rPr>
      </w:pPr>
    </w:p>
    <w:p w14:paraId="4A685D2A" w14:textId="4EC92C33" w:rsidR="00EE1B15" w:rsidRPr="004665EB" w:rsidRDefault="00EE1B15" w:rsidP="00EE1B15">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zauważa, że nie poczyniono dalszych postępów i </w:t>
      </w:r>
      <w:r>
        <w:rPr>
          <w:rFonts w:asciiTheme="minorHAnsi" w:hAnsiTheme="minorHAnsi" w:cstheme="minorHAnsi"/>
          <w:szCs w:val="24"/>
          <w:u w:val="single"/>
          <w:lang w:val="pl"/>
        </w:rPr>
        <w:t>stwierdza, że zalecenia (vii) i</w:t>
      </w:r>
      <w:r w:rsidR="004665EB">
        <w:rPr>
          <w:rFonts w:asciiTheme="minorHAnsi" w:hAnsiTheme="minorHAnsi" w:cstheme="minorHAnsi"/>
          <w:szCs w:val="24"/>
          <w:u w:val="single"/>
          <w:lang w:val="pl"/>
        </w:rPr>
        <w:t> </w:t>
      </w:r>
      <w:r>
        <w:rPr>
          <w:rFonts w:asciiTheme="minorHAnsi" w:hAnsiTheme="minorHAnsi" w:cstheme="minorHAnsi"/>
          <w:szCs w:val="24"/>
          <w:u w:val="single"/>
          <w:lang w:val="pl"/>
        </w:rPr>
        <w:t>(viii) nie zostały wdrożone</w:t>
      </w:r>
      <w:r>
        <w:rPr>
          <w:rFonts w:asciiTheme="minorHAnsi" w:hAnsiTheme="minorHAnsi" w:cstheme="minorHAnsi"/>
          <w:szCs w:val="24"/>
          <w:lang w:val="pl"/>
        </w:rPr>
        <w:t>.</w:t>
      </w:r>
    </w:p>
    <w:p w14:paraId="41AD747D" w14:textId="20CAEE79" w:rsidR="001565CF" w:rsidRPr="004665EB" w:rsidRDefault="001565CF" w:rsidP="00B803BF">
      <w:pPr>
        <w:pStyle w:val="question"/>
        <w:numPr>
          <w:ilvl w:val="0"/>
          <w:numId w:val="0"/>
        </w:numPr>
        <w:ind w:left="567"/>
        <w:contextualSpacing/>
        <w:rPr>
          <w:rFonts w:asciiTheme="minorHAnsi" w:hAnsiTheme="minorHAnsi" w:cstheme="minorHAnsi"/>
          <w:szCs w:val="24"/>
          <w:lang w:val="pl-PL"/>
        </w:rPr>
      </w:pPr>
    </w:p>
    <w:p w14:paraId="1B21990B" w14:textId="21430BDC"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(ix)</w:t>
      </w:r>
    </w:p>
    <w:p w14:paraId="72F90DCA" w14:textId="77777777" w:rsidR="00787268" w:rsidRPr="00E608CB" w:rsidRDefault="00787268" w:rsidP="002126D2">
      <w:pPr>
        <w:pStyle w:val="Normalrappo"/>
        <w:widowControl/>
        <w:tabs>
          <w:tab w:val="clear" w:pos="-720"/>
          <w:tab w:val="left" w:pos="567"/>
        </w:tabs>
        <w:suppressAutoHyphens w:val="0"/>
        <w:contextualSpacing/>
        <w:rPr>
          <w:rFonts w:asciiTheme="minorHAnsi" w:hAnsiTheme="minorHAnsi" w:cstheme="minorHAnsi"/>
          <w:i/>
          <w:spacing w:val="0"/>
          <w:szCs w:val="24"/>
        </w:rPr>
      </w:pPr>
    </w:p>
    <w:p w14:paraId="5792F392" w14:textId="31965AFC" w:rsidR="00787268" w:rsidRPr="004665EB" w:rsidRDefault="00263A46" w:rsidP="002126D2">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(i) usprawnienie obecnie obowiązującego systemu oświadczeń majątkowych dla różnych kategorii osób pełniących najwyższe funkcje wykonawcze, w</w:t>
      </w:r>
      <w:r w:rsidR="004665EB">
        <w:rPr>
          <w:rFonts w:asciiTheme="minorHAnsi" w:hAnsiTheme="minorHAnsi" w:cstheme="minorHAnsi"/>
          <w:i/>
          <w:iCs/>
          <w:lang w:val="pl"/>
        </w:rPr>
        <w:t> </w:t>
      </w:r>
      <w:r>
        <w:rPr>
          <w:rFonts w:asciiTheme="minorHAnsi" w:hAnsiTheme="minorHAnsi" w:cstheme="minorHAnsi"/>
          <w:i/>
          <w:iCs/>
          <w:lang w:val="pl"/>
        </w:rPr>
        <w:t>szczególności poprzez utworzenie centralnego rejestru i towarzyszących mu wytycznych, a także zapewnienie łatwego i publicznego dostępu do informacji oraz (ii) rozważenie rozszerzenia zakresu oświadczeń majątkowych, tak aby obejmowały one również informacje o współmałżonkach i członkach rodziny pozostających na utrzymaniu (przy założeniu, że takie informacje niekoniecznie musiałyby być podawane do wiadomości publicznej).</w:t>
      </w:r>
    </w:p>
    <w:p w14:paraId="3B97052D" w14:textId="77777777" w:rsidR="00787268" w:rsidRPr="004665EB" w:rsidRDefault="00787268" w:rsidP="002126D2">
      <w:pPr>
        <w:contextualSpacing/>
        <w:jc w:val="both"/>
        <w:rPr>
          <w:rFonts w:asciiTheme="minorHAnsi" w:hAnsiTheme="minorHAnsi" w:cstheme="minorHAnsi"/>
          <w:i/>
          <w:iCs/>
          <w:lang w:val="pl-PL"/>
        </w:rPr>
      </w:pPr>
    </w:p>
    <w:p w14:paraId="6F7077B0" w14:textId="2295699D" w:rsidR="008C1A9D" w:rsidRPr="004665EB" w:rsidRDefault="008C1A9D" w:rsidP="00330DB6">
      <w:pPr>
        <w:pStyle w:val="question"/>
        <w:numPr>
          <w:ilvl w:val="0"/>
          <w:numId w:val="14"/>
        </w:numPr>
        <w:contextualSpacing/>
        <w:rPr>
          <w:rFonts w:asciiTheme="minorHAnsi" w:hAnsiTheme="minorHAnsi" w:cstheme="minorHAnsi"/>
          <w:lang w:val="pl-PL"/>
        </w:rPr>
      </w:pPr>
      <w:r>
        <w:rPr>
          <w:rFonts w:asciiTheme="minorHAnsi" w:hAnsiTheme="minorHAnsi" w:cstheme="minorHAnsi"/>
          <w:u w:val="single"/>
          <w:lang w:val="pl"/>
        </w:rPr>
        <w:t>GRECO przypomina</w:t>
      </w:r>
      <w:r>
        <w:rPr>
          <w:rFonts w:asciiTheme="minorHAnsi" w:hAnsiTheme="minorHAnsi" w:cstheme="minorHAnsi"/>
          <w:lang w:val="pl"/>
        </w:rPr>
        <w:t xml:space="preserve">, że zalecenie to zostało częściowo wdrożone. W odniesieniu do pierwszej części, odnotowano zamiar zreformowania systemu oświadczeń majątkowych poprzez stworzenie jednolitego systemu składania, analizy i kontroli oświadczeń </w:t>
      </w:r>
      <w:r>
        <w:rPr>
          <w:rFonts w:asciiTheme="minorHAnsi" w:hAnsiTheme="minorHAnsi" w:cstheme="minorHAnsi"/>
          <w:lang w:val="pl"/>
        </w:rPr>
        <w:lastRenderedPageBreak/>
        <w:t>majątkowych. W odniesieniu do drugiej części GRECO zauważyło, że niektóre zmiany legislacyjne, których przegląd konstytucyjności Trybunałem Konstytucyjnym był w toku, spowodowały rozszerzenie zakresu oświadczeń majątkowych o niektóre dane dotyczące małżonków i członków rodziny pozostających na utrzymaniu. Te nowelizacje miałyby zastosowanie tylko do PTEF, które są również posłami, nie rozważano natomiast rozszerzenia zakresu oświadczeń majątkowych składanych przez PTEF, które nie są posłami.</w:t>
      </w:r>
    </w:p>
    <w:p w14:paraId="48AC89FB" w14:textId="77777777" w:rsidR="008C1A9D" w:rsidRPr="004665EB" w:rsidRDefault="008C1A9D" w:rsidP="008C1A9D">
      <w:pPr>
        <w:pStyle w:val="Akapitzlist"/>
        <w:rPr>
          <w:rFonts w:asciiTheme="minorHAnsi" w:hAnsiTheme="minorHAnsi" w:cstheme="minorHAnsi"/>
          <w:u w:val="single"/>
          <w:lang w:val="pl-PL"/>
        </w:rPr>
      </w:pPr>
    </w:p>
    <w:p w14:paraId="1C8F0E2B" w14:textId="597CDBFB" w:rsidR="00515C4E" w:rsidRPr="004665EB" w:rsidRDefault="001F5BF5" w:rsidP="00AF2918">
      <w:pPr>
        <w:numPr>
          <w:ilvl w:val="0"/>
          <w:numId w:val="14"/>
        </w:numPr>
        <w:tabs>
          <w:tab w:val="left" w:pos="567"/>
        </w:tabs>
        <w:contextualSpacing/>
        <w:jc w:val="both"/>
        <w:rPr>
          <w:rFonts w:asciiTheme="minorHAnsi" w:hAnsiTheme="minorHAnsi" w:cstheme="minorHAnsi"/>
          <w:lang w:val="pl-PL"/>
        </w:rPr>
      </w:pPr>
      <w:r>
        <w:rPr>
          <w:rFonts w:asciiTheme="minorHAnsi" w:hAnsiTheme="minorHAnsi"/>
          <w:u w:val="single"/>
          <w:lang w:val="pl"/>
        </w:rPr>
        <w:t>Władze polskie</w:t>
      </w:r>
      <w:r>
        <w:rPr>
          <w:rFonts w:asciiTheme="minorHAnsi" w:hAnsiTheme="minorHAnsi"/>
          <w:lang w:val="pl"/>
        </w:rPr>
        <w:t>, oprócz powtórzenia swoich wcześniejszych uwag, informują, że nowa strategia antykorupcyjna ma w zamierzeniu obejmować środki w zakresie cyfryzacji, ujednolicenia i modernizacji systemu składania, analizy i weryfikacji oświadczeń majątkowych, którym mają towarzyszyć niezbędne zmiany legislacyjne.</w:t>
      </w:r>
      <w:r>
        <w:rPr>
          <w:lang w:val="pl"/>
        </w:rPr>
        <w:t xml:space="preserve"> </w:t>
      </w:r>
      <w:r>
        <w:rPr>
          <w:rFonts w:asciiTheme="minorHAnsi" w:hAnsiTheme="minorHAnsi"/>
          <w:lang w:val="pl"/>
        </w:rPr>
        <w:t>Strona internetowa Centralnego Biura Antykorupcyjnego (CBA) zawiera publikacje związane z</w:t>
      </w:r>
      <w:r w:rsidR="004665EB">
        <w:rPr>
          <w:rFonts w:asciiTheme="minorHAnsi" w:hAnsiTheme="minorHAnsi"/>
          <w:lang w:val="pl"/>
        </w:rPr>
        <w:t> </w:t>
      </w:r>
      <w:r>
        <w:rPr>
          <w:rFonts w:asciiTheme="minorHAnsi" w:hAnsiTheme="minorHAnsi"/>
          <w:lang w:val="pl"/>
        </w:rPr>
        <w:t>procedurami kontrolnymi. CBA prowadzi również szkolenia poświęcone wdrażaniu obowiązków związanych z oświadczeniami majątkowymi. Praktyczne kwestie dotyczące oświadczeń majątkowych będą jednym z elementów portalu #ABC</w:t>
      </w:r>
      <w:r w:rsidR="002854CB">
        <w:rPr>
          <w:rFonts w:asciiTheme="minorHAnsi" w:hAnsiTheme="minorHAnsi"/>
          <w:lang w:val="pl"/>
        </w:rPr>
        <w:t>uczciwości</w:t>
      </w:r>
      <w:r>
        <w:rPr>
          <w:rFonts w:asciiTheme="minorHAnsi" w:hAnsiTheme="minorHAnsi"/>
          <w:lang w:val="pl"/>
        </w:rPr>
        <w:t>, który jest opracowywany przez CBA.</w:t>
      </w:r>
    </w:p>
    <w:p w14:paraId="0ABC16C3" w14:textId="77777777" w:rsidR="00330DB6" w:rsidRPr="004665EB" w:rsidRDefault="00330DB6" w:rsidP="00330DB6">
      <w:pPr>
        <w:pStyle w:val="question"/>
        <w:numPr>
          <w:ilvl w:val="0"/>
          <w:numId w:val="0"/>
        </w:numPr>
        <w:contextualSpacing/>
        <w:rPr>
          <w:rFonts w:asciiTheme="minorHAnsi" w:hAnsiTheme="minorHAnsi" w:cstheme="minorHAnsi"/>
          <w:lang w:val="pl-PL"/>
        </w:rPr>
      </w:pPr>
    </w:p>
    <w:p w14:paraId="371F3C39" w14:textId="06475796" w:rsidR="00787268" w:rsidRPr="004665EB" w:rsidRDefault="000E24A4" w:rsidP="002126D2">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W odniesieniu do pierwszej części zalecenia GRECO odnotowuje zamiar zreformowania systemu oświadczeń majątkowych w ramach środków, które mają zostać włączone do nowej strategii antykorupcyjnej. Nie dostarczono jednak żadnych dodatkowych istotnych informacji dotyczących publikacji oświadczeń dla wszystkich PTEF. Chociaż władze odnoszą się do materiałów udostępnionych na stronie internetowej Centralnego Biura Antykorupcyjnego (CBA), które również prowadzi szkolenia, oczekuje się, że konkretne towarzyszące wytyczne dotyczące wypełniania oświadczeń majątkowych (na przykład, co należy zadeklarować, jak wypełnić formularze i jak należy wycenić niektóre składniki majątku i tak dalej) staną się częścią przyszłego portalu #ABC</w:t>
      </w:r>
      <w:r w:rsidR="00F1599A">
        <w:rPr>
          <w:rFonts w:asciiTheme="minorHAnsi" w:hAnsiTheme="minorHAnsi" w:cstheme="minorHAnsi"/>
          <w:szCs w:val="24"/>
          <w:lang w:val="pl"/>
        </w:rPr>
        <w:t>uczciwości</w:t>
      </w:r>
      <w:r>
        <w:rPr>
          <w:rFonts w:asciiTheme="minorHAnsi" w:hAnsiTheme="minorHAnsi" w:cstheme="minorHAnsi"/>
          <w:szCs w:val="24"/>
          <w:lang w:val="pl"/>
        </w:rPr>
        <w:t>, który ma zostać opracowany przez CBA. Nie dostarczono żadnych dodatkowych informacji na temat ewentualnego rozszerzenia zakresu oświadczeń majątkowych o dane dotyczące małżonków i członków rodziny pozostających na utrzymaniu, zgodnie z wymogami drugiej części zalecenia.</w:t>
      </w:r>
    </w:p>
    <w:p w14:paraId="44561DD0" w14:textId="77777777" w:rsidR="00787268" w:rsidRPr="004665EB" w:rsidRDefault="00787268" w:rsidP="002126D2">
      <w:pPr>
        <w:pStyle w:val="question"/>
        <w:numPr>
          <w:ilvl w:val="0"/>
          <w:numId w:val="0"/>
        </w:numPr>
        <w:tabs>
          <w:tab w:val="left" w:pos="567"/>
        </w:tabs>
        <w:ind w:left="567"/>
        <w:contextualSpacing/>
        <w:rPr>
          <w:rFonts w:asciiTheme="minorHAnsi" w:hAnsiTheme="minorHAnsi" w:cstheme="minorHAnsi"/>
          <w:szCs w:val="24"/>
          <w:lang w:val="pl-PL"/>
        </w:rPr>
      </w:pPr>
    </w:p>
    <w:p w14:paraId="36C29CDD" w14:textId="17800413" w:rsidR="00787268" w:rsidRPr="004665EB" w:rsidRDefault="00C46308" w:rsidP="002126D2">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(ix) pozostaje częściowo wdrożone.</w:t>
      </w:r>
    </w:p>
    <w:p w14:paraId="63089E21" w14:textId="77777777" w:rsidR="00787268" w:rsidRPr="004665EB" w:rsidRDefault="00787268" w:rsidP="002126D2">
      <w:pPr>
        <w:tabs>
          <w:tab w:val="left" w:pos="567"/>
        </w:tabs>
        <w:contextualSpacing/>
        <w:jc w:val="both"/>
        <w:rPr>
          <w:rFonts w:asciiTheme="minorHAnsi" w:hAnsiTheme="minorHAnsi" w:cstheme="minorHAnsi"/>
          <w:b/>
          <w:bCs/>
          <w:lang w:val="pl-PL"/>
        </w:rPr>
      </w:pPr>
    </w:p>
    <w:p w14:paraId="5CA73BA4" w14:textId="242AA9A6"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w:t>
      </w:r>
    </w:p>
    <w:p w14:paraId="16A7F2C0" w14:textId="77777777" w:rsidR="00787268" w:rsidRPr="00E608CB" w:rsidRDefault="00787268" w:rsidP="002126D2">
      <w:pPr>
        <w:pStyle w:val="Normalrappo"/>
        <w:widowControl/>
        <w:tabs>
          <w:tab w:val="clear" w:pos="-720"/>
          <w:tab w:val="left" w:pos="567"/>
        </w:tabs>
        <w:suppressAutoHyphens w:val="0"/>
        <w:contextualSpacing/>
        <w:rPr>
          <w:rFonts w:asciiTheme="minorHAnsi" w:hAnsiTheme="minorHAnsi" w:cstheme="minorHAnsi"/>
          <w:i/>
          <w:spacing w:val="0"/>
          <w:szCs w:val="24"/>
        </w:rPr>
      </w:pPr>
    </w:p>
    <w:p w14:paraId="44186001" w14:textId="2D8AD5E1" w:rsidR="00787268" w:rsidRPr="004665EB" w:rsidRDefault="005C14F2" w:rsidP="00395326">
      <w:pPr>
        <w:numPr>
          <w:ilvl w:val="0"/>
          <w:numId w:val="14"/>
        </w:numPr>
        <w:contextualSpacing/>
        <w:jc w:val="both"/>
        <w:rPr>
          <w:rFonts w:asciiTheme="minorHAnsi" w:hAnsiTheme="minorHAnsi" w:cstheme="minorHAnsi"/>
          <w:i/>
          <w:lang w:val="pl-PL"/>
        </w:rPr>
      </w:pPr>
      <w:r>
        <w:rPr>
          <w:rFonts w:asciiTheme="minorHAnsi" w:hAnsiTheme="minorHAnsi" w:cstheme="minorHAnsi"/>
          <w:i/>
          <w:iCs/>
          <w:lang w:val="pl"/>
        </w:rPr>
        <w:t>GRECO zaleciło ustanowienie niezależnego mechanizmu kontroli oświadczeń majątkowych osób, którym powierzono najwyższe funkcje wykonawcze, wyposażonego w odpowiednie środki prawne, techniczne i inne w celu skutecznego i odpowiedzialnego wykonywania jego zadań</w:t>
      </w:r>
    </w:p>
    <w:p w14:paraId="7627DF4D" w14:textId="77777777" w:rsidR="00787268" w:rsidRPr="004665EB" w:rsidRDefault="00787268" w:rsidP="002126D2">
      <w:pPr>
        <w:pStyle w:val="question"/>
        <w:numPr>
          <w:ilvl w:val="0"/>
          <w:numId w:val="0"/>
        </w:numPr>
        <w:ind w:left="567"/>
        <w:contextualSpacing/>
        <w:rPr>
          <w:rFonts w:asciiTheme="minorHAnsi" w:hAnsiTheme="minorHAnsi" w:cstheme="minorHAnsi"/>
          <w:szCs w:val="24"/>
          <w:lang w:val="pl-PL"/>
        </w:rPr>
      </w:pPr>
    </w:p>
    <w:p w14:paraId="37F6BA42" w14:textId="33D5CBBE" w:rsidR="00E61AE3" w:rsidRPr="004665EB" w:rsidRDefault="00E61AE3" w:rsidP="00F608A6">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Pomimo zapewnień władz, że ustawodawstwo gwarantuje odpowiedni poziom niezależnego nadzoru ze strony CBA i</w:t>
      </w:r>
      <w:r w:rsidR="004665EB">
        <w:rPr>
          <w:rFonts w:asciiTheme="minorHAnsi" w:hAnsiTheme="minorHAnsi" w:cstheme="minorHAnsi"/>
          <w:szCs w:val="24"/>
          <w:lang w:val="pl"/>
        </w:rPr>
        <w:t> </w:t>
      </w:r>
      <w:r>
        <w:rPr>
          <w:rFonts w:asciiTheme="minorHAnsi" w:hAnsiTheme="minorHAnsi" w:cstheme="minorHAnsi"/>
          <w:szCs w:val="24"/>
          <w:lang w:val="pl"/>
        </w:rPr>
        <w:t>Najwyższej Izby Kontroli, GRECO miało wątpliwości co do systemu przeglądu składników majątku – co wyrażono w raporcie ewaluacyjnym – i uznało, że nie ustanowiono niezależnego mechanizmu przeglądu.</w:t>
      </w:r>
    </w:p>
    <w:p w14:paraId="0F54501E" w14:textId="77777777" w:rsidR="00E61AE3" w:rsidRPr="004665EB" w:rsidRDefault="00E61AE3" w:rsidP="00E61AE3">
      <w:pPr>
        <w:pStyle w:val="Akapitzlist"/>
        <w:rPr>
          <w:rFonts w:asciiTheme="minorHAnsi" w:hAnsiTheme="minorHAnsi" w:cstheme="minorHAnsi"/>
          <w:u w:val="single"/>
          <w:lang w:val="pl-PL"/>
        </w:rPr>
      </w:pPr>
    </w:p>
    <w:p w14:paraId="312ABCCA" w14:textId="18017504" w:rsidR="00F608A6" w:rsidRPr="004665EB" w:rsidRDefault="001F5BF5" w:rsidP="00040E3D">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lastRenderedPageBreak/>
        <w:t>Władze polskie</w:t>
      </w:r>
      <w:r>
        <w:rPr>
          <w:rFonts w:asciiTheme="minorHAnsi" w:hAnsiTheme="minorHAnsi" w:cstheme="minorHAnsi"/>
          <w:szCs w:val="24"/>
          <w:lang w:val="pl"/>
        </w:rPr>
        <w:t xml:space="preserve"> </w:t>
      </w:r>
      <w:r>
        <w:rPr>
          <w:rFonts w:asciiTheme="minorHAnsi" w:hAnsiTheme="minorHAnsi" w:cstheme="minorHAnsi"/>
          <w:lang w:val="pl"/>
        </w:rPr>
        <w:t xml:space="preserve">nie dostarczyły żadnych nowych istotnych informacji, powtarzając </w:t>
      </w:r>
      <w:r>
        <w:rPr>
          <w:rFonts w:asciiTheme="minorHAnsi" w:hAnsiTheme="minorHAnsi" w:cstheme="minorHAnsi"/>
          <w:szCs w:val="24"/>
          <w:lang w:val="pl"/>
        </w:rPr>
        <w:t>swoje wcześniejsze oświadczenia dotyczące poziomu niezależności zapewnianego przez CBA i</w:t>
      </w:r>
      <w:r w:rsidR="004665EB">
        <w:rPr>
          <w:rFonts w:asciiTheme="minorHAnsi" w:hAnsiTheme="minorHAnsi" w:cstheme="minorHAnsi"/>
          <w:szCs w:val="24"/>
          <w:lang w:val="pl"/>
        </w:rPr>
        <w:t> </w:t>
      </w:r>
      <w:r>
        <w:rPr>
          <w:rFonts w:asciiTheme="minorHAnsi" w:hAnsiTheme="minorHAnsi" w:cstheme="minorHAnsi"/>
          <w:szCs w:val="24"/>
          <w:lang w:val="pl"/>
        </w:rPr>
        <w:t>Najwyższą Izbę Kontroli.</w:t>
      </w:r>
    </w:p>
    <w:p w14:paraId="5F0846B0" w14:textId="77777777" w:rsidR="00FB36FC" w:rsidRPr="004665EB" w:rsidRDefault="00FB36FC" w:rsidP="00FB36FC">
      <w:pPr>
        <w:pStyle w:val="Akapitzlist"/>
        <w:rPr>
          <w:rFonts w:asciiTheme="minorHAnsi" w:hAnsiTheme="minorHAnsi" w:cstheme="minorHAnsi"/>
          <w:lang w:val="pl-PL"/>
        </w:rPr>
      </w:pPr>
    </w:p>
    <w:p w14:paraId="1D045D17" w14:textId="6564348A" w:rsidR="000873EA" w:rsidRPr="004665EB" w:rsidRDefault="00FB36FC" w:rsidP="00A83EDA">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(x) nie zostało wdrożone.</w:t>
      </w:r>
    </w:p>
    <w:p w14:paraId="4B740DDA" w14:textId="77777777" w:rsidR="000873EA" w:rsidRPr="004665EB" w:rsidRDefault="000873EA" w:rsidP="000873EA">
      <w:pPr>
        <w:pStyle w:val="Akapitzlist"/>
        <w:rPr>
          <w:rFonts w:asciiTheme="minorHAnsi" w:hAnsiTheme="minorHAnsi" w:cstheme="minorHAnsi"/>
          <w:i/>
          <w:sz w:val="24"/>
          <w:lang w:val="pl-PL"/>
        </w:rPr>
      </w:pPr>
    </w:p>
    <w:p w14:paraId="0685BB59" w14:textId="13BB1E06" w:rsidR="003E2429" w:rsidRPr="00E608CB" w:rsidRDefault="000873EA" w:rsidP="003E2429">
      <w:pPr>
        <w:keepNext/>
        <w:keepLines/>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(xi)</w:t>
      </w:r>
    </w:p>
    <w:p w14:paraId="14D59FD2" w14:textId="77777777" w:rsidR="003E2429" w:rsidRPr="00E608CB" w:rsidRDefault="003E2429" w:rsidP="003E2429">
      <w:pPr>
        <w:pStyle w:val="question"/>
        <w:numPr>
          <w:ilvl w:val="0"/>
          <w:numId w:val="0"/>
        </w:numPr>
        <w:ind w:left="567"/>
        <w:contextualSpacing/>
        <w:rPr>
          <w:rFonts w:asciiTheme="minorHAnsi" w:hAnsiTheme="minorHAnsi" w:cstheme="minorHAnsi"/>
          <w:szCs w:val="24"/>
        </w:rPr>
      </w:pPr>
    </w:p>
    <w:p w14:paraId="2DA27C2B" w14:textId="0757A173" w:rsidR="00787268" w:rsidRPr="004665EB" w:rsidRDefault="00203B91" w:rsidP="003E2429">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i/>
          <w:iCs/>
          <w:szCs w:val="24"/>
          <w:lang w:val="pl"/>
        </w:rPr>
        <w:t>GRECO zaleciło wprowadzenie solidnego mechanizmu nadzoru i sankcji w celu skutecznego wdrażania przyszłych zasad postępowania i innych norm zapobiegania korupcji</w:t>
      </w:r>
    </w:p>
    <w:p w14:paraId="3238265E" w14:textId="77777777" w:rsidR="00BA4959" w:rsidRPr="004665EB" w:rsidRDefault="00BA4959" w:rsidP="00B72625">
      <w:pPr>
        <w:tabs>
          <w:tab w:val="left" w:pos="567"/>
        </w:tabs>
        <w:ind w:left="567"/>
        <w:contextualSpacing/>
        <w:jc w:val="both"/>
        <w:rPr>
          <w:rFonts w:asciiTheme="minorHAnsi" w:hAnsiTheme="minorHAnsi" w:cstheme="minorHAnsi"/>
          <w:lang w:val="pl-PL"/>
        </w:rPr>
      </w:pPr>
    </w:p>
    <w:p w14:paraId="0271272B" w14:textId="0F46C5ED" w:rsidR="002D5152" w:rsidRPr="004665EB" w:rsidRDefault="002D5152" w:rsidP="00330DB6">
      <w:pPr>
        <w:pStyle w:val="question"/>
        <w:numPr>
          <w:ilvl w:val="0"/>
          <w:numId w:val="14"/>
        </w:numPr>
        <w:contextualSpacing/>
        <w:rPr>
          <w:rFonts w:asciiTheme="minorHAnsi" w:hAnsiTheme="minorHAnsi" w:cstheme="minorHAnsi"/>
          <w:lang w:val="pl-PL"/>
        </w:rPr>
      </w:pPr>
      <w:r>
        <w:rPr>
          <w:rFonts w:asciiTheme="minorHAnsi" w:hAnsiTheme="minorHAnsi" w:cstheme="minorHAnsi"/>
          <w:u w:val="single"/>
          <w:lang w:val="pl"/>
        </w:rPr>
        <w:t>GRECO przypomina</w:t>
      </w:r>
      <w:r>
        <w:rPr>
          <w:rFonts w:asciiTheme="minorHAnsi" w:hAnsiTheme="minorHAnsi" w:cstheme="minorHAnsi"/>
          <w:lang w:val="pl"/>
        </w:rPr>
        <w:t xml:space="preserve">, że zalecenie to nie zostało wdrożone. Wytyczne dotyczące tworzenia i wdrażania skutecznych programów zgodności w sektorze publicznym (zob. pkt </w:t>
      </w:r>
      <w:r>
        <w:rPr>
          <w:rFonts w:asciiTheme="minorHAnsi" w:hAnsiTheme="minorHAnsi" w:cstheme="minorHAnsi"/>
          <w:lang w:val="pl"/>
        </w:rPr>
        <w:fldChar w:fldCharType="begin"/>
      </w:r>
      <w:r>
        <w:rPr>
          <w:rFonts w:asciiTheme="minorHAnsi" w:hAnsiTheme="minorHAnsi" w:cstheme="minorHAnsi"/>
          <w:lang w:val="pl"/>
        </w:rPr>
        <w:instrText xml:space="preserve"> REF _Ref132799116 \r \h  \* MERGEFORMAT </w:instrText>
      </w:r>
      <w:r>
        <w:rPr>
          <w:rFonts w:asciiTheme="minorHAnsi" w:hAnsiTheme="minorHAnsi" w:cstheme="minorHAnsi"/>
          <w:lang w:val="pl"/>
        </w:rPr>
      </w:r>
      <w:r>
        <w:rPr>
          <w:rFonts w:asciiTheme="minorHAnsi" w:hAnsiTheme="minorHAnsi" w:cstheme="minorHAnsi"/>
          <w:lang w:val="pl"/>
        </w:rPr>
        <w:fldChar w:fldCharType="separate"/>
      </w:r>
      <w:r>
        <w:rPr>
          <w:rFonts w:asciiTheme="minorHAnsi" w:hAnsiTheme="minorHAnsi" w:cstheme="minorHAnsi"/>
          <w:lang w:val="pl"/>
        </w:rPr>
        <w:t>7</w:t>
      </w:r>
      <w:r>
        <w:rPr>
          <w:rFonts w:asciiTheme="minorHAnsi" w:hAnsiTheme="minorHAnsi" w:cstheme="minorHAnsi"/>
          <w:lang w:val="pl"/>
        </w:rPr>
        <w:fldChar w:fldCharType="end"/>
      </w:r>
      <w:r>
        <w:rPr>
          <w:rFonts w:asciiTheme="minorHAnsi" w:hAnsiTheme="minorHAnsi" w:cstheme="minorHAnsi"/>
          <w:lang w:val="pl"/>
        </w:rPr>
        <w:t xml:space="preserve"> powyżej) odnosiły się w dość ogólny sposób do egzekwowania norm. W sekcji dotyczącej PTEF – załączonej do wytycznych w sprawie rozwiązań organizacyjn</w:t>
      </w:r>
      <w:r w:rsidR="004665EB">
        <w:rPr>
          <w:rFonts w:asciiTheme="minorHAnsi" w:hAnsiTheme="minorHAnsi" w:cstheme="minorHAnsi"/>
          <w:lang w:val="pl"/>
        </w:rPr>
        <w:t>o-</w:t>
      </w:r>
      <w:r>
        <w:rPr>
          <w:rFonts w:asciiTheme="minorHAnsi" w:hAnsiTheme="minorHAnsi" w:cstheme="minorHAnsi"/>
          <w:lang w:val="pl"/>
        </w:rPr>
        <w:t xml:space="preserve">prawnych mających na celu zwalczanie korupcji w administracji publicznej (zob. pkt </w:t>
      </w:r>
      <w:r>
        <w:rPr>
          <w:rFonts w:asciiTheme="minorHAnsi" w:hAnsiTheme="minorHAnsi" w:cstheme="minorHAnsi"/>
          <w:lang w:val="pl"/>
        </w:rPr>
        <w:fldChar w:fldCharType="begin"/>
      </w:r>
      <w:r>
        <w:rPr>
          <w:rFonts w:asciiTheme="minorHAnsi" w:hAnsiTheme="minorHAnsi" w:cstheme="minorHAnsi"/>
          <w:lang w:val="pl"/>
        </w:rPr>
        <w:instrText xml:space="preserve"> REF _Ref129861145 \r \h  \* MERGEFORMAT </w:instrText>
      </w:r>
      <w:r>
        <w:rPr>
          <w:rFonts w:asciiTheme="minorHAnsi" w:hAnsiTheme="minorHAnsi" w:cstheme="minorHAnsi"/>
          <w:lang w:val="pl"/>
        </w:rPr>
      </w:r>
      <w:r>
        <w:rPr>
          <w:rFonts w:asciiTheme="minorHAnsi" w:hAnsiTheme="minorHAnsi" w:cstheme="minorHAnsi"/>
          <w:lang w:val="pl"/>
        </w:rPr>
        <w:fldChar w:fldCharType="separate"/>
      </w:r>
      <w:r>
        <w:rPr>
          <w:rFonts w:asciiTheme="minorHAnsi" w:hAnsiTheme="minorHAnsi" w:cstheme="minorHAnsi"/>
          <w:lang w:val="pl"/>
        </w:rPr>
        <w:t>11</w:t>
      </w:r>
      <w:r>
        <w:rPr>
          <w:rFonts w:asciiTheme="minorHAnsi" w:hAnsiTheme="minorHAnsi" w:cstheme="minorHAnsi"/>
          <w:lang w:val="pl"/>
        </w:rPr>
        <w:fldChar w:fldCharType="end"/>
      </w:r>
      <w:r>
        <w:rPr>
          <w:rFonts w:asciiTheme="minorHAnsi" w:hAnsiTheme="minorHAnsi" w:cstheme="minorHAnsi"/>
          <w:lang w:val="pl"/>
        </w:rPr>
        <w:t xml:space="preserve"> powyżej) – nie przewidziano żadnego możliwego nadzoru ani egzekwowania.</w:t>
      </w:r>
    </w:p>
    <w:p w14:paraId="49F84CF3" w14:textId="77777777" w:rsidR="002D5152" w:rsidRPr="004665EB" w:rsidRDefault="002D5152" w:rsidP="002D5152">
      <w:pPr>
        <w:pStyle w:val="Akapitzlist"/>
        <w:rPr>
          <w:rFonts w:asciiTheme="minorHAnsi" w:hAnsiTheme="minorHAnsi" w:cstheme="minorHAnsi"/>
          <w:u w:val="single"/>
          <w:lang w:val="pl-PL"/>
        </w:rPr>
      </w:pPr>
    </w:p>
    <w:p w14:paraId="7E2066DC" w14:textId="1619E47C" w:rsidR="00E934F5" w:rsidRPr="004665EB" w:rsidRDefault="001F5BF5" w:rsidP="00330DB6">
      <w:pPr>
        <w:pStyle w:val="question"/>
        <w:numPr>
          <w:ilvl w:val="0"/>
          <w:numId w:val="14"/>
        </w:numPr>
        <w:contextualSpacing/>
        <w:rPr>
          <w:rFonts w:asciiTheme="minorHAnsi" w:hAnsiTheme="minorHAnsi" w:cstheme="minorHAnsi"/>
          <w:u w:val="single"/>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w:t>
      </w:r>
      <w:r>
        <w:rPr>
          <w:rFonts w:asciiTheme="minorHAnsi" w:hAnsiTheme="minorHAnsi" w:cstheme="minorHAnsi"/>
          <w:lang w:val="pl"/>
        </w:rPr>
        <w:t xml:space="preserve">nie dostarczyły żadnych nowych istotnych informacji, powtarzając, </w:t>
      </w:r>
      <w:r>
        <w:rPr>
          <w:rFonts w:asciiTheme="minorHAnsi" w:hAnsiTheme="minorHAnsi" w:cstheme="minorHAnsi"/>
          <w:szCs w:val="24"/>
          <w:lang w:val="pl"/>
        </w:rPr>
        <w:t>że obecny system nadzoru i rozliczalności, w tym sankcje karne i dyscyplinarne, jest odpowiedni i wystarczający do ochrony sektora publicznego przed niepożądanymi działaniami o charakterze korupcyjnym.</w:t>
      </w:r>
    </w:p>
    <w:p w14:paraId="3FB68B5F" w14:textId="77777777" w:rsidR="00330DB6" w:rsidRPr="004665EB" w:rsidRDefault="00330DB6" w:rsidP="00330DB6">
      <w:pPr>
        <w:pStyle w:val="question"/>
        <w:numPr>
          <w:ilvl w:val="0"/>
          <w:numId w:val="0"/>
        </w:numPr>
        <w:contextualSpacing/>
        <w:rPr>
          <w:rFonts w:asciiTheme="minorHAnsi" w:hAnsiTheme="minorHAnsi" w:cstheme="minorHAnsi"/>
          <w:u w:val="single"/>
          <w:lang w:val="pl-PL"/>
        </w:rPr>
      </w:pPr>
    </w:p>
    <w:p w14:paraId="3D5F1248" w14:textId="016FCA36" w:rsidR="00E934F5" w:rsidRPr="004665EB" w:rsidRDefault="00101841" w:rsidP="00E934F5">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lang w:val="pl"/>
        </w:rPr>
        <w:t xml:space="preserve">W obliczu braku nowych środków </w:t>
      </w:r>
      <w:r>
        <w:rPr>
          <w:rFonts w:asciiTheme="minorHAnsi" w:hAnsiTheme="minorHAnsi" w:cstheme="minorHAnsi"/>
          <w:szCs w:val="24"/>
          <w:u w:val="single"/>
          <w:lang w:val="pl"/>
        </w:rPr>
        <w:t>GRECO stwierdza, że zalecenie (xi) nie zostało wdrożone.</w:t>
      </w:r>
    </w:p>
    <w:p w14:paraId="034D30C6" w14:textId="77777777" w:rsidR="00E934F5" w:rsidRPr="004665EB" w:rsidRDefault="00E934F5" w:rsidP="00E934F5">
      <w:pPr>
        <w:pStyle w:val="Akapitzlist"/>
        <w:rPr>
          <w:rFonts w:asciiTheme="minorHAnsi" w:hAnsiTheme="minorHAnsi" w:cstheme="minorHAnsi"/>
          <w:sz w:val="24"/>
          <w:u w:val="single"/>
          <w:lang w:val="pl-PL"/>
        </w:rPr>
      </w:pPr>
    </w:p>
    <w:p w14:paraId="1AE79516" w14:textId="0C7B820E" w:rsidR="00CE1B9E" w:rsidRPr="00E608CB" w:rsidRDefault="003E2429" w:rsidP="003E2429">
      <w:pPr>
        <w:keepNext/>
        <w:keepLines/>
        <w:tabs>
          <w:tab w:val="left" w:pos="567"/>
        </w:tabs>
        <w:contextualSpacing/>
        <w:jc w:val="both"/>
        <w:rPr>
          <w:rFonts w:asciiTheme="minorHAnsi" w:hAnsiTheme="minorHAnsi" w:cstheme="minorHAnsi"/>
          <w:b/>
        </w:rPr>
      </w:pPr>
      <w:r>
        <w:rPr>
          <w:rFonts w:asciiTheme="minorHAnsi" w:hAnsiTheme="minorHAnsi" w:cstheme="minorHAnsi"/>
          <w:lang w:val="pl"/>
        </w:rPr>
        <w:tab/>
      </w:r>
      <w:r>
        <w:rPr>
          <w:rFonts w:asciiTheme="minorHAnsi" w:hAnsiTheme="minorHAnsi" w:cstheme="minorHAnsi"/>
          <w:b/>
          <w:bCs/>
          <w:lang w:val="pl"/>
        </w:rPr>
        <w:t>Zalecenie (xii)</w:t>
      </w:r>
    </w:p>
    <w:p w14:paraId="414F1BD3" w14:textId="77777777" w:rsidR="00CE1B9E" w:rsidRPr="00E608CB" w:rsidRDefault="00CE1B9E" w:rsidP="00CE1B9E">
      <w:pPr>
        <w:pStyle w:val="Akapitzlist"/>
        <w:rPr>
          <w:rFonts w:asciiTheme="minorHAnsi" w:hAnsiTheme="minorHAnsi" w:cstheme="minorHAnsi"/>
          <w:i/>
          <w:sz w:val="24"/>
        </w:rPr>
      </w:pPr>
    </w:p>
    <w:p w14:paraId="694480A2" w14:textId="502AF436" w:rsidR="001F5BF5" w:rsidRPr="004665EB" w:rsidRDefault="001F5BF5" w:rsidP="001F5BF5">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i/>
          <w:iCs/>
          <w:szCs w:val="24"/>
          <w:lang w:val="pl"/>
        </w:rPr>
        <w:t>GRECO zaleciło, w odniesieniu do osób pełniących najwyższe funkcje wykonawcze, gruntowną reformę systemu immunitetów w celu ułatwienia ścigania przestępstw związanych z korupcją poprzez wyłączenie ich z zakresu immunitetów oraz poprzez zapewnienie, by procedura uchylenia immunitetu była przejrzysta i oparta na obiektywnych i sprawiedliwych kryteriach skutecznie stosowanych w praktyce</w:t>
      </w:r>
    </w:p>
    <w:p w14:paraId="060BDA57" w14:textId="77777777" w:rsidR="001F5BF5" w:rsidRPr="004665EB" w:rsidRDefault="001F5BF5" w:rsidP="001F5BF5">
      <w:pPr>
        <w:tabs>
          <w:tab w:val="left" w:pos="567"/>
        </w:tabs>
        <w:contextualSpacing/>
        <w:jc w:val="both"/>
        <w:rPr>
          <w:rFonts w:asciiTheme="minorHAnsi" w:hAnsiTheme="minorHAnsi" w:cstheme="minorHAnsi"/>
          <w:b/>
          <w:bCs/>
          <w:lang w:val="pl-PL"/>
        </w:rPr>
      </w:pPr>
    </w:p>
    <w:p w14:paraId="5281C9DF" w14:textId="2ED532F2" w:rsidR="007528BA" w:rsidRPr="004665EB" w:rsidRDefault="007528BA" w:rsidP="00330DB6">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W raporcie ewaluacyjnym wyrażono wątpliwości co do zakresu systemu immunitetów (który obejmował czyny niezwiązane z obowiązkami służbowymi) oraz procesu uchylania immunitetu parlamentarnego (komisja parlamentarna mogła zażądać dostępu do pełnych akt sprawy karnej, nie istniały sprawiedliwe i obiektywne kryteria podejmowania decyzji, brakowało przejrzystości). Wykazano, że immunitet parlamentarny stanowił przeszkodę w sprawach wszczętych przeciwko niektórym PTEF będącym posłami, a podobna kwestia poruszona w raporcie z pierwszej rundy oceny nie została rozstrzygnięta.</w:t>
      </w:r>
    </w:p>
    <w:p w14:paraId="582A5DC8" w14:textId="77777777" w:rsidR="007528BA" w:rsidRPr="004665EB" w:rsidRDefault="007528BA" w:rsidP="007528BA">
      <w:pPr>
        <w:pStyle w:val="Akapitzlist"/>
        <w:rPr>
          <w:rFonts w:asciiTheme="minorHAnsi" w:hAnsiTheme="minorHAnsi" w:cstheme="minorHAnsi"/>
          <w:u w:val="single"/>
          <w:lang w:val="pl-PL"/>
        </w:rPr>
      </w:pPr>
    </w:p>
    <w:p w14:paraId="6BCA74BD" w14:textId="043B88A5" w:rsidR="00A64EB2" w:rsidRPr="004665EB" w:rsidRDefault="00B501E0" w:rsidP="00330DB6">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oprócz powtórzenia swoich wcześniejszych uwag, twierdzą, że wdrożenie tego zalecenia wymagałoby zmian konstytucyjnych i ustawowych, co doprowadziłoby do osłabienia instytucji immunitetu parlamentarnego i odmiennego traktowania posłów, którzy mogą być również PTEF. Władze odnoszą się ponadto do </w:t>
      </w:r>
      <w:r>
        <w:rPr>
          <w:rFonts w:asciiTheme="minorHAnsi" w:hAnsiTheme="minorHAnsi" w:cstheme="minorHAnsi"/>
          <w:szCs w:val="24"/>
          <w:lang w:val="pl"/>
        </w:rPr>
        <w:lastRenderedPageBreak/>
        <w:t>dwóch inicjatyw ustawodawczych związanych z planowanym zniesieniem formalnego immunitetu parlamentarnego (druki sejmowe nr 2796 i 2797). Ich zdaniem procedura uchylania immunitetów jest przejrzysta, jawna i upubliczniona.</w:t>
      </w:r>
    </w:p>
    <w:p w14:paraId="4D05D919" w14:textId="77777777" w:rsidR="00330DB6" w:rsidRPr="004665EB" w:rsidRDefault="00330DB6" w:rsidP="00330DB6">
      <w:pPr>
        <w:pStyle w:val="question"/>
        <w:numPr>
          <w:ilvl w:val="0"/>
          <w:numId w:val="0"/>
        </w:numPr>
        <w:contextualSpacing/>
        <w:rPr>
          <w:rFonts w:asciiTheme="minorHAnsi" w:hAnsiTheme="minorHAnsi" w:cstheme="minorHAnsi"/>
          <w:szCs w:val="24"/>
          <w:lang w:val="pl-PL"/>
        </w:rPr>
      </w:pPr>
    </w:p>
    <w:p w14:paraId="183EA181" w14:textId="5F7D2757" w:rsidR="00ED38F3" w:rsidRPr="004665EB" w:rsidRDefault="00CB36C8" w:rsidP="00510C2A">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zauważa, że celem tego zalecenia jest właśnie przeprowadzenie dogłębnej reformy systemu immunitetów przysługujących PTEF mianowanym z szeregów posłów, w tym niezbędnych zmian regulacyjnych, tak aby przestępstwa korupcyjne były wyłączone z zakresu immunitetów, a procedura uchylania immunitetów była przejrzysta i oparta na obiektywnych i sprawiedliwych kryteriach (zob. również pkt 84–88 raportu ewaluacyjnego). Pomimo dwóch inicjatyw ustawodawczych związanych z planowanym uchylenia formalnego immunitetu parlamentarnego, na temat których nie przedstawiono szczegółowych informacji, faktem pozostaje, że do tej pory nie przeprowadzono żadnej gruntownej reformy.</w:t>
      </w:r>
    </w:p>
    <w:p w14:paraId="007293F2" w14:textId="77777777" w:rsidR="00510C2A" w:rsidRPr="004665EB" w:rsidRDefault="00510C2A" w:rsidP="00510C2A">
      <w:pPr>
        <w:pStyle w:val="question"/>
        <w:numPr>
          <w:ilvl w:val="0"/>
          <w:numId w:val="0"/>
        </w:numPr>
        <w:contextualSpacing/>
        <w:rPr>
          <w:rFonts w:asciiTheme="minorHAnsi" w:hAnsiTheme="minorHAnsi" w:cstheme="minorHAnsi"/>
          <w:szCs w:val="24"/>
          <w:lang w:val="pl-PL"/>
        </w:rPr>
      </w:pPr>
    </w:p>
    <w:p w14:paraId="2D5C0CB1" w14:textId="31552039" w:rsidR="00CB36C8" w:rsidRPr="004665EB" w:rsidRDefault="00C5617A" w:rsidP="00CB36C8">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 xml:space="preserve">W obliczu braku postępów </w:t>
      </w:r>
      <w:r>
        <w:rPr>
          <w:rFonts w:asciiTheme="minorHAnsi" w:hAnsiTheme="minorHAnsi" w:cstheme="minorHAnsi"/>
          <w:szCs w:val="24"/>
          <w:u w:val="single"/>
          <w:lang w:val="pl"/>
        </w:rPr>
        <w:t>GRECO stwierdza, że zalecenie (xii) nie zostało wdrożone</w:t>
      </w:r>
      <w:r>
        <w:rPr>
          <w:rFonts w:asciiTheme="minorHAnsi" w:hAnsiTheme="minorHAnsi" w:cstheme="minorHAnsi"/>
          <w:szCs w:val="24"/>
          <w:lang w:val="pl"/>
        </w:rPr>
        <w:t>.</w:t>
      </w:r>
    </w:p>
    <w:p w14:paraId="1B24C1CF" w14:textId="77777777" w:rsidR="00787268" w:rsidRPr="004665EB" w:rsidRDefault="00787268" w:rsidP="002126D2">
      <w:pPr>
        <w:tabs>
          <w:tab w:val="left" w:pos="567"/>
        </w:tabs>
        <w:contextualSpacing/>
        <w:jc w:val="both"/>
        <w:rPr>
          <w:rFonts w:asciiTheme="minorHAnsi" w:hAnsiTheme="minorHAnsi" w:cstheme="minorHAnsi"/>
          <w:b/>
          <w:bCs/>
          <w:lang w:val="pl-PL"/>
        </w:rPr>
      </w:pPr>
    </w:p>
    <w:p w14:paraId="6C2BD081" w14:textId="79391D90" w:rsidR="00787268" w:rsidRPr="00E608CB" w:rsidRDefault="00787268" w:rsidP="002126D2">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(xiii)</w:t>
      </w:r>
    </w:p>
    <w:p w14:paraId="67EAC871" w14:textId="77777777" w:rsidR="00787268" w:rsidRPr="00E608CB" w:rsidRDefault="00787268" w:rsidP="002126D2">
      <w:pPr>
        <w:pStyle w:val="Normalrappo"/>
        <w:widowControl/>
        <w:tabs>
          <w:tab w:val="clear" w:pos="-720"/>
          <w:tab w:val="left" w:pos="567"/>
        </w:tabs>
        <w:suppressAutoHyphens w:val="0"/>
        <w:contextualSpacing/>
        <w:rPr>
          <w:rFonts w:asciiTheme="minorHAnsi" w:hAnsiTheme="minorHAnsi" w:cstheme="minorHAnsi"/>
          <w:i/>
          <w:spacing w:val="0"/>
          <w:szCs w:val="24"/>
        </w:rPr>
      </w:pPr>
    </w:p>
    <w:p w14:paraId="0286B1F1" w14:textId="66EA7B22" w:rsidR="00011C26" w:rsidRPr="004665EB" w:rsidRDefault="00E91702" w:rsidP="00FE30B2">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aby postępowanie przed Trybunałem Stanu nie utrudniało ścigania przestępstw korupcyjnych przed sądami powszechnymi.</w:t>
      </w:r>
    </w:p>
    <w:p w14:paraId="34523A55" w14:textId="77777777" w:rsidR="00011C26" w:rsidRPr="004665EB" w:rsidRDefault="00011C26" w:rsidP="002126D2">
      <w:pPr>
        <w:pStyle w:val="question"/>
        <w:numPr>
          <w:ilvl w:val="0"/>
          <w:numId w:val="0"/>
        </w:numPr>
        <w:ind w:left="567"/>
        <w:contextualSpacing/>
        <w:rPr>
          <w:rFonts w:asciiTheme="minorHAnsi" w:eastAsia="Calibri" w:hAnsiTheme="minorHAnsi" w:cstheme="minorHAnsi"/>
          <w:i/>
          <w:szCs w:val="24"/>
          <w:lang w:val="pl-PL"/>
        </w:rPr>
      </w:pPr>
    </w:p>
    <w:p w14:paraId="29CC2861" w14:textId="19AF2F90" w:rsidR="001F0441" w:rsidRPr="00E608CB" w:rsidRDefault="001F0441" w:rsidP="00330DB6">
      <w:pPr>
        <w:pStyle w:val="question"/>
        <w:numPr>
          <w:ilvl w:val="0"/>
          <w:numId w:val="14"/>
        </w:numPr>
        <w:contextualSpacing/>
        <w:rPr>
          <w:rFonts w:asciiTheme="minorHAnsi" w:hAnsiTheme="minorHAnsi" w:cstheme="minorHAnsi"/>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GRECO zauważyło, że istnienie różnych jurysdykcji i procedur dostępnych w odniesieniu do ścigania przestępstw związanych z korupcją popełnionych przez PTEF ogranicza możliwość ich skutecznego ścigania. Konieczne było wyraźne rozgraniczenie między takimi jurysdykcjami.</w:t>
      </w:r>
    </w:p>
    <w:p w14:paraId="1835CE3C" w14:textId="77777777" w:rsidR="001F0441" w:rsidRPr="00E608CB" w:rsidRDefault="001F0441" w:rsidP="001F0441">
      <w:pPr>
        <w:pStyle w:val="Akapitzlist"/>
        <w:rPr>
          <w:rFonts w:asciiTheme="minorHAnsi" w:hAnsiTheme="minorHAnsi" w:cstheme="minorHAnsi"/>
          <w:u w:val="single"/>
        </w:rPr>
      </w:pPr>
    </w:p>
    <w:p w14:paraId="3D8384E3" w14:textId="586C5FA6" w:rsidR="00330DB6" w:rsidRPr="004665EB" w:rsidRDefault="00B501E0" w:rsidP="00330DB6">
      <w:pPr>
        <w:pStyle w:val="question"/>
        <w:numPr>
          <w:ilvl w:val="0"/>
          <w:numId w:val="14"/>
        </w:numPr>
        <w:contextualSpacing/>
        <w:rPr>
          <w:rFonts w:asciiTheme="minorHAnsi" w:hAnsiTheme="minorHAnsi" w:cstheme="minorHAnsi"/>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obecnie, że zalecenie to wymagałoby zmian konstytucyjnych i</w:t>
      </w:r>
      <w:r w:rsidR="004665EB">
        <w:rPr>
          <w:rFonts w:asciiTheme="minorHAnsi" w:hAnsiTheme="minorHAnsi" w:cstheme="minorHAnsi"/>
          <w:szCs w:val="24"/>
          <w:lang w:val="pl"/>
        </w:rPr>
        <w:t> </w:t>
      </w:r>
      <w:r>
        <w:rPr>
          <w:rFonts w:asciiTheme="minorHAnsi" w:hAnsiTheme="minorHAnsi" w:cstheme="minorHAnsi"/>
          <w:szCs w:val="24"/>
          <w:lang w:val="pl"/>
        </w:rPr>
        <w:t>ustawowych. Trybunał Stanu rozpatruje sprawy dotyczące „deliktów konstytucyjnych” popełnionych przez niektóre PTEF. Ponadto PTEF mogą zostać pociągnięte do odpowiedzialności karnej przed Trybunałem Stanu za przestępstwa pospolite lub przestępstwa skarbowe popełnione w związku z piastowanym stanowiskiem, o ile Sejm zdecyduje o pociągnięciu ich do odpowiedzialności konstytucyjnej oraz o celowości pociągnięcia ich łącznie do odpowiedzialności konstytucyjnej i karnej. W takim przypadku Trybunał Stanu przejmie łączne rozpatrywanie sprawy, która mogła być rozpatrywana przez sądy powszechne. Gdyby ściganie PTEF za przestępstwa korupcyjne miało odbywać się wyłącznie przed sądami powszechnymi, skutkowałoby to wszczęciem podwójnego postępowania w tej samej sprawie. W ocenie władz, wyodrębnienie przestępstw korupcyjnych z ogólnej zasady odpowiedzialności PTEF za przestępstwa karno-skarbowe przed Trybunałem Stanu nie zwiększy skuteczności</w:t>
      </w:r>
      <w:r w:rsidR="004665EB">
        <w:rPr>
          <w:rFonts w:asciiTheme="minorHAnsi" w:hAnsiTheme="minorHAnsi" w:cstheme="minorHAnsi"/>
          <w:szCs w:val="24"/>
          <w:lang w:val="pl"/>
        </w:rPr>
        <w:t xml:space="preserve"> </w:t>
      </w:r>
      <w:r>
        <w:rPr>
          <w:rFonts w:asciiTheme="minorHAnsi" w:hAnsiTheme="minorHAnsi" w:cstheme="minorHAnsi"/>
          <w:szCs w:val="24"/>
          <w:lang w:val="pl"/>
        </w:rPr>
        <w:t>ścigania przestępstw korupcyjnych popełnianych przez PTEF.</w:t>
      </w:r>
    </w:p>
    <w:p w14:paraId="17E99166" w14:textId="77777777" w:rsidR="00330DB6" w:rsidRPr="004665EB" w:rsidRDefault="00330DB6" w:rsidP="00330DB6">
      <w:pPr>
        <w:pStyle w:val="question"/>
        <w:numPr>
          <w:ilvl w:val="0"/>
          <w:numId w:val="0"/>
        </w:numPr>
        <w:contextualSpacing/>
        <w:rPr>
          <w:rFonts w:asciiTheme="minorHAnsi" w:hAnsiTheme="minorHAnsi" w:cstheme="minorHAnsi"/>
          <w:lang w:val="pl-PL"/>
        </w:rPr>
      </w:pPr>
    </w:p>
    <w:p w14:paraId="3CC1BF8E" w14:textId="64FADF50" w:rsidR="000A2907" w:rsidRPr="004665EB" w:rsidRDefault="00C46308" w:rsidP="001C4D73">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przyjmuje do wiadomości dostarczone informacje, które nie zmieniają sytuacji opisanej w pkt 88–90 raportu ewaluacyjnego. Rzeczywiście, w przypadku wszczęcia przez Trybunał Stanu śledztwa w sprawie dotyczącej przestępstw pospolitych, w tym korupcji, którą zajmuje się już prokuratura, ta ostatnia wycofa się ze sprawy. Zwiększa to ryzyko ingerencji politycznej w sprawy politycznie wrażliwe (zob. pkt 88 raportu </w:t>
      </w:r>
      <w:r>
        <w:rPr>
          <w:rFonts w:asciiTheme="minorHAnsi" w:hAnsiTheme="minorHAnsi" w:cstheme="minorHAnsi"/>
          <w:szCs w:val="24"/>
          <w:lang w:val="pl"/>
        </w:rPr>
        <w:lastRenderedPageBreak/>
        <w:t>ewaluacyjnego). Co więcej, brak skuteczności procedur przed Trybunałem Stanu i jego nieefektywne funkcjonowanie należycie opisano w raporcie ewaluacyjnym, wraz ze zwiększonym wpływem władzy wykonawczej i ustawodawczej na sądownictwo i</w:t>
      </w:r>
      <w:r w:rsidR="004665EB">
        <w:rPr>
          <w:rFonts w:asciiTheme="minorHAnsi" w:hAnsiTheme="minorHAnsi" w:cstheme="minorHAnsi"/>
          <w:szCs w:val="24"/>
          <w:lang w:val="pl"/>
        </w:rPr>
        <w:t> </w:t>
      </w:r>
      <w:r>
        <w:rPr>
          <w:rFonts w:asciiTheme="minorHAnsi" w:hAnsiTheme="minorHAnsi" w:cstheme="minorHAnsi"/>
          <w:szCs w:val="24"/>
          <w:lang w:val="pl"/>
        </w:rPr>
        <w:t>prokuraturę (pkt 89–91). W opinii GRECO ta dwoistość ścieżek proceduralnych nadal negatywnie wpływa na skuteczność wymiaru sprawiedliwości w sprawach dotyczących ścigania PTEF za przestępstwa korupcyjne.</w:t>
      </w:r>
    </w:p>
    <w:p w14:paraId="6FDE8865" w14:textId="77777777" w:rsidR="000A2907" w:rsidRPr="004665EB" w:rsidRDefault="000A2907" w:rsidP="000A2907">
      <w:pPr>
        <w:pStyle w:val="Akapitzlist"/>
        <w:rPr>
          <w:rFonts w:asciiTheme="minorHAnsi" w:hAnsiTheme="minorHAnsi" w:cstheme="minorHAnsi"/>
          <w:lang w:val="pl-PL"/>
        </w:rPr>
      </w:pPr>
    </w:p>
    <w:p w14:paraId="25FF370C" w14:textId="17F5C3E8" w:rsidR="00DD46FC" w:rsidRPr="004665EB" w:rsidRDefault="00C46308" w:rsidP="00DD46FC">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(xiii) nie zostało wdrożone.</w:t>
      </w:r>
    </w:p>
    <w:p w14:paraId="391791D1" w14:textId="77777777" w:rsidR="00DD46FC" w:rsidRPr="004665EB" w:rsidRDefault="00DD46FC" w:rsidP="00DD46FC">
      <w:pPr>
        <w:pStyle w:val="Akapitzlist"/>
        <w:rPr>
          <w:rFonts w:asciiTheme="minorHAnsi" w:hAnsiTheme="minorHAnsi" w:cstheme="minorHAnsi"/>
          <w:sz w:val="24"/>
          <w:lang w:val="pl-PL"/>
        </w:rPr>
      </w:pPr>
    </w:p>
    <w:p w14:paraId="6E73C7E9" w14:textId="276080D1" w:rsidR="00DD46FC" w:rsidRPr="004665EB" w:rsidRDefault="00DD46FC" w:rsidP="00287CFF">
      <w:pPr>
        <w:keepNext/>
        <w:ind w:firstLine="567"/>
        <w:rPr>
          <w:rFonts w:asciiTheme="minorHAnsi" w:hAnsiTheme="minorHAnsi" w:cstheme="minorHAnsi"/>
          <w:i/>
          <w:lang w:val="pl-PL"/>
        </w:rPr>
      </w:pPr>
      <w:r>
        <w:rPr>
          <w:rFonts w:asciiTheme="minorHAnsi" w:hAnsiTheme="minorHAnsi" w:cstheme="minorHAnsi"/>
          <w:i/>
          <w:iCs/>
          <w:lang w:val="pl"/>
        </w:rPr>
        <w:t>W odniesieniu do organów ścigania</w:t>
      </w:r>
    </w:p>
    <w:p w14:paraId="74D2F44C" w14:textId="77777777" w:rsidR="002977AA" w:rsidRPr="004665EB" w:rsidRDefault="002977AA" w:rsidP="007C3F6F">
      <w:pPr>
        <w:pStyle w:val="question"/>
        <w:numPr>
          <w:ilvl w:val="0"/>
          <w:numId w:val="0"/>
        </w:numPr>
        <w:tabs>
          <w:tab w:val="left" w:pos="567"/>
        </w:tabs>
        <w:contextualSpacing/>
        <w:rPr>
          <w:rFonts w:asciiTheme="minorHAnsi" w:hAnsiTheme="minorHAnsi" w:cstheme="minorHAnsi"/>
          <w:szCs w:val="24"/>
          <w:lang w:val="pl-PL"/>
        </w:rPr>
      </w:pPr>
    </w:p>
    <w:p w14:paraId="2EBCCE3B" w14:textId="1F300C49" w:rsidR="00DD46FC" w:rsidRPr="004665EB" w:rsidRDefault="00DD46FC" w:rsidP="00DD46FC">
      <w:pPr>
        <w:tabs>
          <w:tab w:val="left" w:pos="567"/>
        </w:tabs>
        <w:contextualSpacing/>
        <w:jc w:val="both"/>
        <w:rPr>
          <w:rFonts w:asciiTheme="minorHAnsi" w:hAnsiTheme="minorHAnsi" w:cstheme="minorHAnsi"/>
          <w:b/>
          <w:bCs/>
          <w:lang w:val="pl-PL"/>
        </w:rPr>
      </w:pPr>
      <w:r>
        <w:rPr>
          <w:rFonts w:asciiTheme="minorHAnsi" w:hAnsiTheme="minorHAnsi" w:cstheme="minorHAnsi"/>
          <w:lang w:val="pl"/>
        </w:rPr>
        <w:tab/>
      </w:r>
      <w:r>
        <w:rPr>
          <w:rFonts w:asciiTheme="minorHAnsi" w:hAnsiTheme="minorHAnsi" w:cstheme="minorHAnsi"/>
          <w:b/>
          <w:bCs/>
          <w:lang w:val="pl"/>
        </w:rPr>
        <w:t>Zalecenie (xiv)</w:t>
      </w:r>
    </w:p>
    <w:p w14:paraId="1C40772A" w14:textId="77777777" w:rsidR="00DD46FC" w:rsidRPr="004665EB" w:rsidRDefault="00DD46FC" w:rsidP="00DD46FC">
      <w:pPr>
        <w:pStyle w:val="Akapitzlist"/>
        <w:rPr>
          <w:rFonts w:asciiTheme="minorHAnsi" w:hAnsiTheme="minorHAnsi" w:cstheme="minorHAnsi"/>
          <w:i/>
          <w:sz w:val="24"/>
          <w:lang w:val="pl-PL"/>
        </w:rPr>
      </w:pPr>
    </w:p>
    <w:p w14:paraId="406532E4" w14:textId="5ADE275B" w:rsidR="00E25818" w:rsidRPr="004665EB" w:rsidRDefault="00023ED6" w:rsidP="00AE5AA0">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i/>
          <w:iCs/>
          <w:szCs w:val="24"/>
          <w:lang w:val="pl"/>
        </w:rPr>
        <w:t xml:space="preserve">GRECO zaleciło, aby Policja i Straż Graniczna przeprowadzały </w:t>
      </w:r>
      <w:bookmarkStart w:id="9" w:name="_Hlk134097830"/>
      <w:r>
        <w:rPr>
          <w:rFonts w:asciiTheme="minorHAnsi" w:hAnsiTheme="minorHAnsi" w:cstheme="minorHAnsi"/>
          <w:i/>
          <w:iCs/>
          <w:szCs w:val="24"/>
          <w:lang w:val="pl"/>
        </w:rPr>
        <w:t>kompleksowe oceny ryzyka w obszarach i działaniach korupcyjnych</w:t>
      </w:r>
      <w:bookmarkEnd w:id="9"/>
      <w:r>
        <w:rPr>
          <w:rFonts w:asciiTheme="minorHAnsi" w:hAnsiTheme="minorHAnsi" w:cstheme="minorHAnsi"/>
          <w:i/>
          <w:iCs/>
          <w:szCs w:val="24"/>
          <w:lang w:val="pl"/>
        </w:rPr>
        <w:t>, wykraczające poza to, co ujawniają same sprawy karne faktycznie rozpatrywane, oraz aby dane te były wykorzystywane do proaktywnego opracowywania polityki w zakresie kwestii uczciwości i polityki antykorupcyjnej.</w:t>
      </w:r>
    </w:p>
    <w:p w14:paraId="360AFF48" w14:textId="77777777" w:rsidR="00E25818" w:rsidRPr="004665EB" w:rsidRDefault="00E25818" w:rsidP="00AE5AA0">
      <w:pPr>
        <w:tabs>
          <w:tab w:val="left" w:pos="567"/>
        </w:tabs>
        <w:contextualSpacing/>
        <w:jc w:val="both"/>
        <w:rPr>
          <w:rFonts w:asciiTheme="minorHAnsi" w:hAnsiTheme="minorHAnsi" w:cstheme="minorHAnsi"/>
          <w:i/>
          <w:lang w:val="pl-PL"/>
        </w:rPr>
      </w:pPr>
    </w:p>
    <w:p w14:paraId="2CDA6CC0" w14:textId="07F65228" w:rsidR="00C67EB3" w:rsidRPr="004665EB" w:rsidRDefault="00C67EB3" w:rsidP="0094128F">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zostało częściowo wdrożone. W odniesieniu do Policji wprowadzono ulepszenia w metodach identyfikacji ryzyka korupcji i innych nadużyć, a dane dotyczące potencjalnego ryzyka i zagrożeń wykorzystano do opracowania różnych środków antykorupcyjnych i w zakresie etyki. Doprowadziło to do opracowania „Programu wzmocnienia uczciwości i zapobiegania korupcji w Policji na lata 2021–2023”. Jeśli chodzi o Straż Graniczną, nie dostarczono żadnych informacji na temat zmian wprowadzonych na potrzeby podejścia opartego w większym stopniu na ryzyku ani na temat proaktywnego opracowywania polityk w zakresie uczciwości i</w:t>
      </w:r>
      <w:r w:rsidR="004665EB">
        <w:rPr>
          <w:rFonts w:asciiTheme="minorHAnsi" w:hAnsiTheme="minorHAnsi" w:cstheme="minorHAnsi"/>
          <w:szCs w:val="24"/>
          <w:lang w:val="pl"/>
        </w:rPr>
        <w:t> </w:t>
      </w:r>
      <w:r>
        <w:rPr>
          <w:rFonts w:asciiTheme="minorHAnsi" w:hAnsiTheme="minorHAnsi" w:cstheme="minorHAnsi"/>
          <w:szCs w:val="24"/>
          <w:lang w:val="pl"/>
        </w:rPr>
        <w:t>przeciwdziałania korupcji.</w:t>
      </w:r>
    </w:p>
    <w:p w14:paraId="528AC5A2" w14:textId="77777777" w:rsidR="00C67EB3" w:rsidRPr="004665EB" w:rsidRDefault="00C67EB3" w:rsidP="00C67EB3">
      <w:pPr>
        <w:pStyle w:val="Akapitzlist"/>
        <w:rPr>
          <w:rFonts w:asciiTheme="minorHAnsi" w:hAnsiTheme="minorHAnsi" w:cstheme="minorHAnsi"/>
          <w:u w:val="single"/>
          <w:lang w:val="pl-PL"/>
        </w:rPr>
      </w:pPr>
    </w:p>
    <w:p w14:paraId="09F2BB23" w14:textId="79F7D2DB" w:rsidR="006E521B" w:rsidRPr="004665EB" w:rsidRDefault="00B501E0" w:rsidP="00B17F6C">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że trwa wdrażanie „Programu wzmocnienia uczciwości i</w:t>
      </w:r>
      <w:r w:rsidR="004665EB">
        <w:rPr>
          <w:rFonts w:asciiTheme="minorHAnsi" w:hAnsiTheme="minorHAnsi" w:cstheme="minorHAnsi"/>
          <w:szCs w:val="24"/>
          <w:lang w:val="pl"/>
        </w:rPr>
        <w:t> </w:t>
      </w:r>
      <w:r>
        <w:rPr>
          <w:rFonts w:asciiTheme="minorHAnsi" w:hAnsiTheme="minorHAnsi" w:cstheme="minorHAnsi"/>
          <w:szCs w:val="24"/>
          <w:lang w:val="pl"/>
        </w:rPr>
        <w:t>zapobiegani</w:t>
      </w:r>
      <w:r w:rsidR="00F1599A">
        <w:rPr>
          <w:rFonts w:asciiTheme="minorHAnsi" w:hAnsiTheme="minorHAnsi" w:cstheme="minorHAnsi"/>
          <w:szCs w:val="24"/>
          <w:lang w:val="pl"/>
        </w:rPr>
        <w:t>a</w:t>
      </w:r>
      <w:r>
        <w:rPr>
          <w:rFonts w:asciiTheme="minorHAnsi" w:hAnsiTheme="minorHAnsi" w:cstheme="minorHAnsi"/>
          <w:szCs w:val="24"/>
          <w:lang w:val="pl"/>
        </w:rPr>
        <w:t xml:space="preserve"> korupcji w Policji na lata 2021-2023”, który jest uzupełniany o treści antykorupcyjne w celu rozwijania proaktywnych umiejętności kadry zarządzającej Policji. </w:t>
      </w:r>
    </w:p>
    <w:p w14:paraId="4001DFB1" w14:textId="77777777" w:rsidR="006E521B" w:rsidRPr="004665EB" w:rsidRDefault="006E521B" w:rsidP="006E521B">
      <w:pPr>
        <w:pStyle w:val="Akapitzlist"/>
        <w:rPr>
          <w:rFonts w:asciiTheme="minorHAnsi" w:hAnsiTheme="minorHAnsi" w:cstheme="minorHAnsi"/>
          <w:lang w:val="pl-PL"/>
        </w:rPr>
      </w:pPr>
    </w:p>
    <w:p w14:paraId="09401B74" w14:textId="07DC6FB2" w:rsidR="000D7E2E" w:rsidRPr="004665EB" w:rsidRDefault="00214E6B" w:rsidP="00B17F6C">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 xml:space="preserve">W odniesieniu do Straży Granicznej podjęto szereg działań w celu usprawnienia mechanizmów identyfikacji ryzyka korupcji w ramach kontroli zarządczej i działań szkoleniowych. Decyzje kierowników jednostek organizacyjnych Straży Granicznej zmierzały do zapewnienia spójności działań poprzez dodanie mechanizmu podejmowania działań antykorupcyjnych. Zgodnie z tym mechanizmem kwestionariusze samooceny kontroli zarządczej są wykorzystywane przez kierowników jednostek organizacyjnych w celu uwzględnienia informacji na temat zidentyfikowanych obszarów ryzyka korupcji w ich jednostkach organizacyjnych. W ramach opracowywania rocznego planu audytu wewnętrznego zidentyfikowano obszary ryzyka na podstawie podatności na zagrożenia związane z nadużyciami finansowymi i korupcją. Jeśli ryzyko się urzeczywistni, odpowiednie informacje są przekazywane kadrze kierowniczej na każdym etapie procesu. Następnie audytor inicjuje, na podstawie decyzji kadry kierowniczej, działania współmierne do poziomu zagrożenia (np. postępowanie karne, postępowanie skarbowe, odpowiedzialność pracownicza, odpowiedzialność majątkowa itp.) W ramach </w:t>
      </w:r>
      <w:r>
        <w:rPr>
          <w:rFonts w:asciiTheme="minorHAnsi" w:hAnsiTheme="minorHAnsi" w:cstheme="minorHAnsi"/>
          <w:szCs w:val="24"/>
          <w:lang w:val="pl"/>
        </w:rPr>
        <w:lastRenderedPageBreak/>
        <w:t>programu szkoleniowego 2022 dla audytorów wewnętrznych Straży Granicznej omówiono pracę zespołu audytu wewnętrznego i proces sprawozdawczości pod kątem wdrożenia zaleceń GRECO. Działania kontrolne prowadzone są przez Biuro Kontroli Komendy Głównej Straży Granicznej. Podczas opracowywania okresowych planów kontroli jednym z czynników ryzyka branych pod uwagę jest możliwość wystąpienia oszustw, nadużyć, obszarów i mechanizmów korupcyjnych. Podczas analizy obszarów kontroli kompleksowo wykorzystywane są źródła wewnętrzne i zewnętrzne, w</w:t>
      </w:r>
      <w:r w:rsidR="004665EB">
        <w:rPr>
          <w:rFonts w:asciiTheme="minorHAnsi" w:hAnsiTheme="minorHAnsi" w:cstheme="minorHAnsi"/>
          <w:szCs w:val="24"/>
          <w:lang w:val="pl"/>
        </w:rPr>
        <w:t> </w:t>
      </w:r>
      <w:r>
        <w:rPr>
          <w:rFonts w:asciiTheme="minorHAnsi" w:hAnsiTheme="minorHAnsi" w:cstheme="minorHAnsi"/>
          <w:szCs w:val="24"/>
          <w:lang w:val="pl"/>
        </w:rPr>
        <w:t>szczególności wyniki poprzednich audytów, skargi i inne zgłoszone nieprawidłowości.</w:t>
      </w:r>
    </w:p>
    <w:p w14:paraId="27605F7D" w14:textId="77777777" w:rsidR="000D7E2E" w:rsidRPr="004665EB" w:rsidRDefault="000D7E2E" w:rsidP="000D7E2E">
      <w:pPr>
        <w:pStyle w:val="question"/>
        <w:numPr>
          <w:ilvl w:val="0"/>
          <w:numId w:val="0"/>
        </w:numPr>
        <w:ind w:left="567"/>
        <w:contextualSpacing/>
        <w:rPr>
          <w:rFonts w:asciiTheme="minorHAnsi" w:hAnsiTheme="minorHAnsi" w:cstheme="minorHAnsi"/>
          <w:szCs w:val="24"/>
          <w:lang w:val="pl-PL"/>
        </w:rPr>
      </w:pPr>
    </w:p>
    <w:p w14:paraId="09DDE11E" w14:textId="4054028D" w:rsidR="00214E6B" w:rsidRPr="004665EB" w:rsidRDefault="00B17F6C" w:rsidP="00B17F6C">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W zakresie szkoleń opracowano e-szkolenie „Samokontrola, samoświadomość, samodyscyplina jako ważny aspekt przeciwdziałania korupcji” dla pracowników i</w:t>
      </w:r>
      <w:r w:rsidR="004665EB">
        <w:rPr>
          <w:rFonts w:asciiTheme="minorHAnsi" w:hAnsiTheme="minorHAnsi" w:cstheme="minorHAnsi"/>
          <w:szCs w:val="24"/>
          <w:lang w:val="pl"/>
        </w:rPr>
        <w:t> </w:t>
      </w:r>
      <w:r>
        <w:rPr>
          <w:rFonts w:asciiTheme="minorHAnsi" w:hAnsiTheme="minorHAnsi" w:cstheme="minorHAnsi"/>
          <w:szCs w:val="24"/>
          <w:lang w:val="pl"/>
        </w:rPr>
        <w:t>funkcjonariuszy Straży Granicznej, którzy mogą być narażeni na różne formy korupcji podczas wykonywania swoich zadań i obowiązków służbowych. W listopadzie 2022 r. odbył się również briefing, podczas którego kierownicy jednostek kontrolnych Straży Granicznej omówili wykorzystanie matrycy analizy ryzyka, biorąc pod uwagę w</w:t>
      </w:r>
      <w:r w:rsidR="004665EB">
        <w:rPr>
          <w:rFonts w:asciiTheme="minorHAnsi" w:hAnsiTheme="minorHAnsi" w:cstheme="minorHAnsi"/>
          <w:szCs w:val="24"/>
          <w:lang w:val="pl"/>
        </w:rPr>
        <w:t> </w:t>
      </w:r>
      <w:r>
        <w:rPr>
          <w:rFonts w:asciiTheme="minorHAnsi" w:hAnsiTheme="minorHAnsi" w:cstheme="minorHAnsi"/>
          <w:szCs w:val="24"/>
          <w:lang w:val="pl"/>
        </w:rPr>
        <w:t>szczególności możliwość wystąpienia obszarów i mechanizmów korupcji.</w:t>
      </w:r>
    </w:p>
    <w:p w14:paraId="3E1A0D7B" w14:textId="77777777" w:rsidR="00E749E5" w:rsidRPr="004665EB" w:rsidRDefault="00E749E5" w:rsidP="007C3F6F">
      <w:pPr>
        <w:pStyle w:val="question"/>
        <w:numPr>
          <w:ilvl w:val="0"/>
          <w:numId w:val="0"/>
        </w:numPr>
        <w:tabs>
          <w:tab w:val="left" w:pos="567"/>
        </w:tabs>
        <w:contextualSpacing/>
        <w:rPr>
          <w:rFonts w:asciiTheme="minorHAnsi" w:hAnsiTheme="minorHAnsi" w:cstheme="minorHAnsi"/>
          <w:szCs w:val="24"/>
          <w:lang w:val="pl-PL"/>
        </w:rPr>
      </w:pPr>
    </w:p>
    <w:p w14:paraId="2383C22B" w14:textId="09DA5272" w:rsidR="00354E1C" w:rsidRPr="004665EB" w:rsidRDefault="00C46308" w:rsidP="005711E7">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z zadowoleniem odnotowuje, że kontynuowano wdrażanie „Programu wzmocnienia uczciwości i zapobiegania korupcji w Policji”. W odniesieniu do Straży Granicznej GRECO odnotowuje różnorodność środków wprowadzonych w celu zidentyfikowania obszarów podatnych na korupcję i określenia ryzyka korupcji (np. kwestionariusze samooceny kontroli zarządczej, opracowanie rocznego planu audytu wewnętrznego, prowadzenie okresowych działań kontrolnych, szkolenia i działania informacyjne). Nie można jednak stwierdzić, że przeprowadzono kompleksową ocenę ryzyka w obszarach i działaniach podatnych na korupcję, a w konsekwencji opracowano ogólną politykę lub program w zakresie uczciwości i przeciwdziałania korupcji w</w:t>
      </w:r>
      <w:r w:rsidR="004665EB">
        <w:rPr>
          <w:rFonts w:asciiTheme="minorHAnsi" w:hAnsiTheme="minorHAnsi" w:cstheme="minorHAnsi"/>
          <w:szCs w:val="24"/>
          <w:lang w:val="pl"/>
        </w:rPr>
        <w:t> </w:t>
      </w:r>
      <w:r>
        <w:rPr>
          <w:rFonts w:asciiTheme="minorHAnsi" w:hAnsiTheme="minorHAnsi" w:cstheme="minorHAnsi"/>
          <w:szCs w:val="24"/>
          <w:lang w:val="pl"/>
        </w:rPr>
        <w:t>odniesieniu do Straży Granicznej. Z tego powodu GRECO nie może stwierdzić, że zastosowano się w pełni do tego zalecenia.</w:t>
      </w:r>
    </w:p>
    <w:p w14:paraId="4D27E805" w14:textId="77777777" w:rsidR="00D72427" w:rsidRPr="004665EB" w:rsidRDefault="00D72427" w:rsidP="00D72427">
      <w:pPr>
        <w:pStyle w:val="question"/>
        <w:numPr>
          <w:ilvl w:val="0"/>
          <w:numId w:val="0"/>
        </w:numPr>
        <w:tabs>
          <w:tab w:val="left" w:pos="567"/>
        </w:tabs>
        <w:contextualSpacing/>
        <w:rPr>
          <w:rFonts w:asciiTheme="minorHAnsi" w:hAnsiTheme="minorHAnsi" w:cstheme="minorHAnsi"/>
          <w:szCs w:val="24"/>
          <w:lang w:val="pl-PL"/>
        </w:rPr>
      </w:pPr>
    </w:p>
    <w:p w14:paraId="7141ABD2" w14:textId="777D818B" w:rsidR="00944D81" w:rsidRPr="004665EB" w:rsidRDefault="00C46308" w:rsidP="00944D81">
      <w:pPr>
        <w:pStyle w:val="question"/>
        <w:numPr>
          <w:ilvl w:val="0"/>
          <w:numId w:val="14"/>
        </w:numPr>
        <w:tabs>
          <w:tab w:val="left" w:pos="567"/>
        </w:tabs>
        <w:contextualSpacing/>
        <w:rPr>
          <w:rFonts w:asciiTheme="minorHAnsi" w:hAnsiTheme="minorHAnsi" w:cstheme="minorHAnsi"/>
          <w:b/>
          <w:szCs w:val="24"/>
          <w:lang w:val="pl-PL"/>
        </w:rPr>
      </w:pPr>
      <w:r>
        <w:rPr>
          <w:rFonts w:asciiTheme="minorHAnsi" w:hAnsiTheme="minorHAnsi" w:cstheme="minorHAnsi"/>
          <w:szCs w:val="24"/>
          <w:u w:val="single"/>
          <w:lang w:val="pl"/>
        </w:rPr>
        <w:t>GRECO stwierdza, że zalecenie (xiv) pozostaje częściowo wdrożone.</w:t>
      </w:r>
    </w:p>
    <w:p w14:paraId="0F925DC9" w14:textId="7D2495A6" w:rsidR="00944D81" w:rsidRPr="004665EB" w:rsidRDefault="00944D81" w:rsidP="00944D81">
      <w:pPr>
        <w:pStyle w:val="question"/>
        <w:numPr>
          <w:ilvl w:val="0"/>
          <w:numId w:val="0"/>
        </w:numPr>
        <w:ind w:left="567"/>
        <w:contextualSpacing/>
        <w:rPr>
          <w:rFonts w:asciiTheme="minorHAnsi" w:hAnsiTheme="minorHAnsi" w:cstheme="minorHAnsi"/>
          <w:b/>
          <w:szCs w:val="24"/>
          <w:lang w:val="pl-PL"/>
        </w:rPr>
      </w:pPr>
    </w:p>
    <w:p w14:paraId="22B7EB8C" w14:textId="11540073" w:rsidR="00944D81" w:rsidRPr="00E608CB" w:rsidRDefault="00944D81" w:rsidP="00944D81">
      <w:pPr>
        <w:tabs>
          <w:tab w:val="left" w:pos="567"/>
        </w:tabs>
        <w:contextualSpacing/>
        <w:jc w:val="both"/>
        <w:rPr>
          <w:rFonts w:asciiTheme="minorHAnsi" w:hAnsiTheme="minorHAnsi" w:cstheme="minorHAnsi"/>
          <w:b/>
        </w:rPr>
      </w:pPr>
      <w:r>
        <w:rPr>
          <w:rFonts w:asciiTheme="minorHAnsi" w:hAnsiTheme="minorHAnsi" w:cstheme="minorHAnsi"/>
          <w:b/>
          <w:bCs/>
          <w:lang w:val="pl"/>
        </w:rPr>
        <w:t>Zalecenie (xv)</w:t>
      </w:r>
    </w:p>
    <w:p w14:paraId="3564CB80" w14:textId="77777777" w:rsidR="00944D81" w:rsidRPr="00E608CB" w:rsidRDefault="00944D81" w:rsidP="00944D81">
      <w:pPr>
        <w:tabs>
          <w:tab w:val="left" w:pos="567"/>
        </w:tabs>
        <w:contextualSpacing/>
        <w:jc w:val="both"/>
        <w:rPr>
          <w:rFonts w:asciiTheme="minorHAnsi" w:hAnsiTheme="minorHAnsi" w:cstheme="minorHAnsi"/>
          <w:b/>
        </w:rPr>
      </w:pPr>
    </w:p>
    <w:p w14:paraId="6A59773E" w14:textId="31AF6C61" w:rsidR="004707F7" w:rsidRPr="004665EB" w:rsidRDefault="00732569" w:rsidP="00944D81">
      <w:pPr>
        <w:pStyle w:val="question"/>
        <w:numPr>
          <w:ilvl w:val="0"/>
          <w:numId w:val="14"/>
        </w:numPr>
        <w:tabs>
          <w:tab w:val="left" w:pos="567"/>
        </w:tabs>
        <w:contextualSpacing/>
        <w:rPr>
          <w:rFonts w:asciiTheme="minorHAnsi" w:hAnsiTheme="minorHAnsi" w:cstheme="minorHAnsi"/>
          <w:b/>
          <w:szCs w:val="24"/>
          <w:lang w:val="pl-PL"/>
        </w:rPr>
      </w:pPr>
      <w:r>
        <w:rPr>
          <w:rFonts w:asciiTheme="minorHAnsi" w:hAnsiTheme="minorHAnsi" w:cstheme="minorHAnsi"/>
          <w:i/>
          <w:iCs/>
          <w:szCs w:val="24"/>
          <w:lang w:val="pl"/>
        </w:rPr>
        <w:t>GRECO zaleciło aktualizację zasad postępowania dla Policji i Straży Granicznej w celu lepszego uwzględnienia prezentów i innych korzyści, doraźnych konfliktów interesów i</w:t>
      </w:r>
      <w:r w:rsidR="004665EB">
        <w:rPr>
          <w:rFonts w:asciiTheme="minorHAnsi" w:hAnsiTheme="minorHAnsi" w:cstheme="minorHAnsi"/>
          <w:i/>
          <w:iCs/>
          <w:szCs w:val="24"/>
          <w:lang w:val="pl"/>
        </w:rPr>
        <w:t> </w:t>
      </w:r>
      <w:r>
        <w:rPr>
          <w:rFonts w:asciiTheme="minorHAnsi" w:hAnsiTheme="minorHAnsi" w:cstheme="minorHAnsi"/>
          <w:i/>
          <w:iCs/>
          <w:szCs w:val="24"/>
          <w:lang w:val="pl"/>
        </w:rPr>
        <w:t>relacji ze stronami trzecimi oraz zaleciło, aby towarzyszyły im odpowiednie uwagi i</w:t>
      </w:r>
      <w:r w:rsidR="004665EB">
        <w:rPr>
          <w:rFonts w:asciiTheme="minorHAnsi" w:hAnsiTheme="minorHAnsi" w:cstheme="minorHAnsi"/>
          <w:i/>
          <w:iCs/>
          <w:szCs w:val="24"/>
          <w:lang w:val="pl"/>
        </w:rPr>
        <w:t> </w:t>
      </w:r>
      <w:r>
        <w:rPr>
          <w:rFonts w:asciiTheme="minorHAnsi" w:hAnsiTheme="minorHAnsi" w:cstheme="minorHAnsi"/>
          <w:i/>
          <w:iCs/>
          <w:szCs w:val="24"/>
          <w:lang w:val="pl"/>
        </w:rPr>
        <w:t>przykłady, a także poufne doradztwo.</w:t>
      </w:r>
    </w:p>
    <w:p w14:paraId="0FF56877" w14:textId="77777777" w:rsidR="00382493" w:rsidRPr="004665EB" w:rsidRDefault="00382493" w:rsidP="001E07B9">
      <w:pPr>
        <w:tabs>
          <w:tab w:val="left" w:pos="567"/>
        </w:tabs>
        <w:contextualSpacing/>
        <w:jc w:val="both"/>
        <w:rPr>
          <w:rFonts w:asciiTheme="minorHAnsi" w:hAnsiTheme="minorHAnsi" w:cstheme="minorHAnsi"/>
          <w:i/>
          <w:lang w:val="pl-PL"/>
        </w:rPr>
      </w:pPr>
    </w:p>
    <w:p w14:paraId="33AE8443" w14:textId="1B9A518E" w:rsidR="003B196E" w:rsidRPr="004665EB" w:rsidRDefault="003B196E" w:rsidP="003B196E">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zostało częściowo wdrożone. T</w:t>
      </w:r>
      <w:r>
        <w:rPr>
          <w:rFonts w:asciiTheme="minorHAnsi" w:hAnsiTheme="minorHAnsi" w:cstheme="minorHAnsi"/>
          <w:lang w:val="pl"/>
        </w:rPr>
        <w:t>rwały prace nad aktualizacją zasad postępowania w Policji, a podobna aktualizacja była planowana dla Straży Granicznej. Pełnomocnik ds. Ochrony Praw Człowieka, Równego Traktowania i</w:t>
      </w:r>
      <w:r w:rsidR="004665EB">
        <w:rPr>
          <w:rFonts w:asciiTheme="minorHAnsi" w:hAnsiTheme="minorHAnsi" w:cstheme="minorHAnsi"/>
          <w:lang w:val="pl"/>
        </w:rPr>
        <w:t> </w:t>
      </w:r>
      <w:r>
        <w:rPr>
          <w:rFonts w:asciiTheme="minorHAnsi" w:hAnsiTheme="minorHAnsi" w:cstheme="minorHAnsi"/>
          <w:lang w:val="pl"/>
        </w:rPr>
        <w:t xml:space="preserve">Etyki Zawodowej został powołany na stanowisko poufnego doradcy w celu uzupełnienia istniejącego zespołu doradców do spraw etyki w Straży Granicznej. Powołanie doradców do spraw etyki w każdej jednostce organizacyjnej Policji zostało przewidziane w ramach </w:t>
      </w:r>
      <w:r>
        <w:rPr>
          <w:rFonts w:asciiTheme="minorHAnsi" w:hAnsiTheme="minorHAnsi" w:cstheme="minorHAnsi"/>
          <w:szCs w:val="24"/>
          <w:lang w:val="pl"/>
        </w:rPr>
        <w:t>„Programu wzmocnienia uczciwości i zapobiegania korupcji”</w:t>
      </w:r>
      <w:r>
        <w:rPr>
          <w:rFonts w:asciiTheme="minorHAnsi" w:hAnsiTheme="minorHAnsi" w:cstheme="minorHAnsi"/>
          <w:lang w:val="pl"/>
        </w:rPr>
        <w:t>.</w:t>
      </w:r>
    </w:p>
    <w:p w14:paraId="4914C3B9" w14:textId="77777777" w:rsidR="003B196E" w:rsidRPr="004665EB" w:rsidRDefault="003B196E" w:rsidP="003B196E">
      <w:pPr>
        <w:pStyle w:val="Akapitzlist"/>
        <w:rPr>
          <w:rFonts w:asciiTheme="minorHAnsi" w:hAnsiTheme="minorHAnsi" w:cstheme="minorHAnsi"/>
          <w:lang w:val="pl-PL"/>
        </w:rPr>
      </w:pPr>
    </w:p>
    <w:p w14:paraId="38F3C80B" w14:textId="1CEAEF9F" w:rsidR="008B4D70" w:rsidRPr="004665EB" w:rsidRDefault="00C02901" w:rsidP="007C3F6F">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lastRenderedPageBreak/>
        <w:t>Władze polskie</w:t>
      </w:r>
      <w:r>
        <w:rPr>
          <w:rFonts w:asciiTheme="minorHAnsi" w:hAnsiTheme="minorHAnsi" w:cstheme="minorHAnsi"/>
          <w:szCs w:val="24"/>
          <w:lang w:val="pl"/>
        </w:rPr>
        <w:t xml:space="preserve"> informują, że w jednostkach organizacyjnych Policji wyznaczono poufnych doradców do spraw etyki, powołując nowych doradców do spraw etyki lub powierzając to zadanie wcześniej powołanym pełnomocnikom lub koordynatorom ds. ochrony praw człowieka. Doradcy do spraw etyki podlegają bezpośrednio szefom jednostek Policji. Ponadto opracowano i poddano konsultacjom z jednostkami organizacyjnymi Policji dokument „Kultura uczciwości w Policji – standardy postępowania”. Obecnie trwa analiza otrzymanych uwag, a dokument zostanie zatwierdzony przez Komendanta Głównego Policji do końca 2023 r. </w:t>
      </w:r>
    </w:p>
    <w:p w14:paraId="7B4E1C4C" w14:textId="77777777" w:rsidR="008B4D70" w:rsidRPr="004665EB" w:rsidRDefault="008B4D70" w:rsidP="008B4D70">
      <w:pPr>
        <w:pStyle w:val="Akapitzlist"/>
        <w:rPr>
          <w:rFonts w:asciiTheme="minorHAnsi" w:hAnsiTheme="minorHAnsi" w:cstheme="minorHAnsi"/>
          <w:lang w:val="pl-PL"/>
        </w:rPr>
      </w:pPr>
    </w:p>
    <w:p w14:paraId="242EC167" w14:textId="1A1F5E0B" w:rsidR="00544BCC" w:rsidRPr="004665EB" w:rsidRDefault="008B4D70" w:rsidP="007C3F6F">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lang w:val="pl"/>
        </w:rPr>
        <w:t>Jeśli chodzi o Straż Graniczną, grupa robocza, którą powołano w czerwcu 2021 r., opracowała zmieniony projekt Zasad etyki zawodowej dla funkcjonariuszy Straży Granicznej, który oczekuje na przegląd przez Biuro Prawne Straży Granicznej. Ponadto powołano 12 osób do pełnienia funkcji doradców do spraw etyki w jednostkach organizacyjnych Straży Granicznej. Jej strona intranetowa zawiera w tym celu hiperłącze oraz dane kontaktowe doradców do spraw etyki.</w:t>
      </w:r>
    </w:p>
    <w:p w14:paraId="50E35ECB" w14:textId="77777777" w:rsidR="007C3F6F" w:rsidRPr="004665EB" w:rsidRDefault="007C3F6F" w:rsidP="007C3F6F">
      <w:pPr>
        <w:pStyle w:val="question"/>
        <w:numPr>
          <w:ilvl w:val="0"/>
          <w:numId w:val="0"/>
        </w:numPr>
        <w:contextualSpacing/>
        <w:rPr>
          <w:rFonts w:asciiTheme="minorHAnsi" w:hAnsiTheme="minorHAnsi" w:cstheme="minorHAnsi"/>
          <w:szCs w:val="24"/>
          <w:lang w:val="pl-PL"/>
        </w:rPr>
      </w:pPr>
    </w:p>
    <w:p w14:paraId="07FA9DBD" w14:textId="0E013890" w:rsidR="00320CB2" w:rsidRPr="004665EB" w:rsidRDefault="00C46308" w:rsidP="00320CB2">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z zadowoleniem przyjmuje powołanie doradców do spraw etyki w jednostkach organizacyjnych Policji i Straży Granicznej. W oczekiwaniu na przyjęcie zaktualizowanych standardów postępowania dla funkcjonariuszy Policji i zmienionych zasad etyki zawodowej dla funkcjonariuszy Straży Granicznej, GRECO oczekuje, że na potrzeby uznania niniejszego zalecenia za w pełni wdrożone, dokumenty te będą obejmować takie kwestie, jak prezenty i inne korzyści, doraźne konflikty interesów i relacje z</w:t>
      </w:r>
      <w:r w:rsidR="004665EB">
        <w:rPr>
          <w:rFonts w:asciiTheme="minorHAnsi" w:hAnsiTheme="minorHAnsi" w:cstheme="minorHAnsi"/>
          <w:szCs w:val="24"/>
          <w:lang w:val="pl"/>
        </w:rPr>
        <w:t> </w:t>
      </w:r>
      <w:r>
        <w:rPr>
          <w:rFonts w:asciiTheme="minorHAnsi" w:hAnsiTheme="minorHAnsi" w:cstheme="minorHAnsi"/>
          <w:szCs w:val="24"/>
          <w:lang w:val="pl"/>
        </w:rPr>
        <w:t>osobami trzecimi, ograniczenia po okresie zatrudnienia itp. oraz będą im towarzyszyć odpowiednie wytyczne i praktyczne przykłady.</w:t>
      </w:r>
    </w:p>
    <w:p w14:paraId="73ED4B91" w14:textId="77777777" w:rsidR="00C02901" w:rsidRPr="004665EB" w:rsidRDefault="00C02901" w:rsidP="00C02901">
      <w:pPr>
        <w:pStyle w:val="question"/>
        <w:numPr>
          <w:ilvl w:val="0"/>
          <w:numId w:val="0"/>
        </w:numPr>
        <w:tabs>
          <w:tab w:val="left" w:pos="567"/>
        </w:tabs>
        <w:contextualSpacing/>
        <w:rPr>
          <w:rFonts w:asciiTheme="minorHAnsi" w:hAnsiTheme="minorHAnsi" w:cstheme="minorHAnsi"/>
          <w:szCs w:val="24"/>
          <w:lang w:val="pl-PL"/>
        </w:rPr>
      </w:pPr>
    </w:p>
    <w:p w14:paraId="29B341FE" w14:textId="1B4DEC4C" w:rsidR="00F80DCB" w:rsidRPr="004665EB" w:rsidRDefault="00C46308" w:rsidP="00F80DCB">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(xv) pozostaje częściowo wdrożone.</w:t>
      </w:r>
    </w:p>
    <w:p w14:paraId="5CF77A86" w14:textId="77777777" w:rsidR="00F80DCB" w:rsidRPr="004665EB" w:rsidRDefault="00F80DCB" w:rsidP="00F80DCB">
      <w:pPr>
        <w:pStyle w:val="Akapitzlist"/>
        <w:rPr>
          <w:rFonts w:asciiTheme="minorHAnsi" w:hAnsiTheme="minorHAnsi" w:cstheme="minorHAnsi"/>
          <w:sz w:val="24"/>
          <w:u w:val="single"/>
          <w:lang w:val="pl-PL"/>
        </w:rPr>
      </w:pPr>
    </w:p>
    <w:p w14:paraId="3B318270" w14:textId="20AE5CBD" w:rsidR="00F80DCB" w:rsidRPr="00E608CB" w:rsidRDefault="00723DB1" w:rsidP="00F80DCB">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(xvi)</w:t>
      </w:r>
    </w:p>
    <w:p w14:paraId="7565DA0D" w14:textId="77777777" w:rsidR="00F80DCB" w:rsidRPr="00E608CB" w:rsidRDefault="00F80DCB" w:rsidP="00F80DCB">
      <w:pPr>
        <w:rPr>
          <w:rFonts w:asciiTheme="minorHAnsi" w:hAnsiTheme="minorHAnsi" w:cstheme="minorHAnsi"/>
          <w:i/>
        </w:rPr>
      </w:pPr>
    </w:p>
    <w:p w14:paraId="5F6B1CFB" w14:textId="62CB7128" w:rsidR="00F80DCB" w:rsidRPr="004665EB" w:rsidRDefault="00F80DCB" w:rsidP="00F80DCB">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i/>
          <w:iCs/>
          <w:szCs w:val="24"/>
          <w:lang w:val="pl"/>
        </w:rPr>
        <w:t>GRECO zaleciło ustanowienie opartego na karierze systemu mianowania, awansowania i odwoływania wszystkich wyższych rangą funkcjonariuszy Policji i Straży Granicznej, opartego na obiektywnych kryteriach, właściwej weryfikacji oraz formalnym, konkurencyjnym i przejrzystym procesie, przy założeniu, że funkcja komendanta głównego może być ograniczona do określonego terminu.</w:t>
      </w:r>
    </w:p>
    <w:p w14:paraId="228DF660" w14:textId="77777777" w:rsidR="00F80DCB" w:rsidRPr="004665EB" w:rsidRDefault="00F80DCB" w:rsidP="00F80DCB">
      <w:pPr>
        <w:pStyle w:val="question"/>
        <w:numPr>
          <w:ilvl w:val="0"/>
          <w:numId w:val="0"/>
        </w:numPr>
        <w:tabs>
          <w:tab w:val="left" w:pos="567"/>
        </w:tabs>
        <w:ind w:left="567"/>
        <w:contextualSpacing/>
        <w:rPr>
          <w:rFonts w:asciiTheme="minorHAnsi" w:hAnsiTheme="minorHAnsi" w:cstheme="minorHAnsi"/>
          <w:szCs w:val="24"/>
          <w:lang w:val="pl-PL"/>
        </w:rPr>
      </w:pPr>
    </w:p>
    <w:p w14:paraId="60065B7A" w14:textId="28022745" w:rsidR="00287903" w:rsidRPr="004665EB" w:rsidRDefault="00287903" w:rsidP="00BD3FCD">
      <w:pPr>
        <w:pStyle w:val="question"/>
        <w:numPr>
          <w:ilvl w:val="0"/>
          <w:numId w:val="14"/>
        </w:numPr>
        <w:tabs>
          <w:tab w:val="left" w:pos="567"/>
        </w:tabs>
        <w:contextualSpacing/>
        <w:rPr>
          <w:rFonts w:asciiTheme="minorHAnsi" w:hAnsiTheme="minorHAnsi" w:cstheme="minorHAnsi"/>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Nie podjęto żadnych kroków w celu usprawnienia systemu mianowania, awansowania i odwoływania kadry kierowniczej wyższego szczebla w Policji i Straży Granicznej. Chodziło o uznaniowy charakter decyzji o mianowaniu, awansowaniu i odwoływaniu kadry kierowniczej wyższego szczebla zarówno w Policji, jak i Straży Granicznej, przy braku obiektywnych kryteriów, odpowiedniej weryfikacji oraz formalnych, konkurencyjnych i przejrzystych procedur.</w:t>
      </w:r>
    </w:p>
    <w:p w14:paraId="6EF04816" w14:textId="77777777" w:rsidR="00287903" w:rsidRPr="004665EB" w:rsidRDefault="00287903" w:rsidP="00287903">
      <w:pPr>
        <w:pStyle w:val="Akapitzlist"/>
        <w:rPr>
          <w:rFonts w:asciiTheme="minorHAnsi" w:hAnsiTheme="minorHAnsi" w:cstheme="minorHAnsi"/>
          <w:u w:val="single"/>
          <w:lang w:val="pl-PL"/>
        </w:rPr>
      </w:pPr>
    </w:p>
    <w:p w14:paraId="7A9B9515" w14:textId="6E2FB6A7" w:rsidR="004E321C" w:rsidRPr="004665EB" w:rsidRDefault="00C02901" w:rsidP="007C3F6F">
      <w:pPr>
        <w:pStyle w:val="question"/>
        <w:numPr>
          <w:ilvl w:val="0"/>
          <w:numId w:val="14"/>
        </w:numPr>
        <w:tabs>
          <w:tab w:val="left" w:pos="567"/>
        </w:tabs>
        <w:contextualSpacing/>
        <w:rPr>
          <w:rFonts w:asciiTheme="minorHAnsi" w:hAnsiTheme="minorHAnsi" w:cstheme="minorHAnsi"/>
          <w:lang w:val="pl-PL"/>
        </w:rPr>
      </w:pPr>
      <w:r>
        <w:rPr>
          <w:rFonts w:asciiTheme="minorHAnsi" w:hAnsiTheme="minorHAnsi" w:cstheme="minorHAnsi"/>
          <w:szCs w:val="24"/>
          <w:lang w:val="pl"/>
        </w:rPr>
        <w:t>Władze polskie informują obecnie o wejściu w życie ustawy z dnia 17 grudnia 2021 r. o</w:t>
      </w:r>
      <w:r w:rsidR="004665EB">
        <w:rPr>
          <w:rFonts w:asciiTheme="minorHAnsi" w:hAnsiTheme="minorHAnsi" w:cstheme="minorHAnsi"/>
          <w:szCs w:val="24"/>
          <w:lang w:val="pl"/>
        </w:rPr>
        <w:t> </w:t>
      </w:r>
      <w:r>
        <w:rPr>
          <w:rFonts w:asciiTheme="minorHAnsi" w:hAnsiTheme="minorHAnsi" w:cstheme="minorHAnsi"/>
          <w:szCs w:val="24"/>
          <w:lang w:val="pl"/>
        </w:rPr>
        <w:t xml:space="preserve">ustanowieniu „Programu modernizacji Policji, Straży Granicznej, Państwowej Straży Pożarnej i Służby Ochrony Państwa w latach 2022-2025”, w której wprowadzono zmiany w zakresie mianowania, awansowania i odwoływania kadry kierowniczej wyższego szczebla w Policji i Straży Granicznej. Ustawa została uzupełniona rozporządzeniem </w:t>
      </w:r>
      <w:r>
        <w:rPr>
          <w:rFonts w:asciiTheme="minorHAnsi" w:hAnsiTheme="minorHAnsi" w:cstheme="minorHAnsi"/>
          <w:szCs w:val="24"/>
          <w:lang w:val="pl"/>
        </w:rPr>
        <w:lastRenderedPageBreak/>
        <w:t>Ministra Spraw Wewnętrznych z dnia 16 grudnia 2022 r. w sprawie wymagań w zakresie wykształcenia, kwalifikacji zawodowych i stażu służby, jakim odpowiadają policjanci na stanowiskach komendantów Policji i innych stanowiskach służbowych. Według władz powołanie na stanowisko będzie zależało od takich kryteriów jak wykształcenie, doświadczenie zawodowe i kwalifikacje, staż pracy itp. Odbędzie się to po przeprowadzeniu konkursu. Istnieje możliwość bezpośredniej rekrutacji kandydatów w</w:t>
      </w:r>
      <w:r w:rsidR="004665EB">
        <w:rPr>
          <w:rFonts w:asciiTheme="minorHAnsi" w:hAnsiTheme="minorHAnsi" w:cstheme="minorHAnsi"/>
          <w:szCs w:val="24"/>
          <w:lang w:val="pl"/>
        </w:rPr>
        <w:t> </w:t>
      </w:r>
      <w:r>
        <w:rPr>
          <w:rFonts w:asciiTheme="minorHAnsi" w:hAnsiTheme="minorHAnsi" w:cstheme="minorHAnsi"/>
          <w:szCs w:val="24"/>
          <w:lang w:val="pl"/>
        </w:rPr>
        <w:t xml:space="preserve">niektórych dziedzinach, takich jak kryminalistyka i biologia. </w:t>
      </w:r>
    </w:p>
    <w:p w14:paraId="3DB3409D" w14:textId="77777777" w:rsidR="004E321C" w:rsidRPr="004665EB" w:rsidRDefault="004E321C" w:rsidP="004E321C">
      <w:pPr>
        <w:pStyle w:val="Akapitzlist"/>
        <w:rPr>
          <w:rFonts w:asciiTheme="minorHAnsi" w:hAnsiTheme="minorHAnsi" w:cstheme="minorHAnsi"/>
          <w:lang w:val="pl-PL"/>
        </w:rPr>
      </w:pPr>
    </w:p>
    <w:p w14:paraId="490AAFFA" w14:textId="2306F8B9" w:rsidR="004E321C" w:rsidRPr="004665EB" w:rsidRDefault="00C50C5A" w:rsidP="007C3F6F">
      <w:pPr>
        <w:pStyle w:val="question"/>
        <w:numPr>
          <w:ilvl w:val="0"/>
          <w:numId w:val="14"/>
        </w:numPr>
        <w:tabs>
          <w:tab w:val="left" w:pos="567"/>
        </w:tabs>
        <w:contextualSpacing/>
        <w:rPr>
          <w:rFonts w:asciiTheme="minorHAnsi" w:hAnsiTheme="minorHAnsi" w:cstheme="minorHAnsi"/>
          <w:lang w:val="pl-PL"/>
        </w:rPr>
      </w:pPr>
      <w:r>
        <w:rPr>
          <w:rFonts w:asciiTheme="minorHAnsi" w:hAnsiTheme="minorHAnsi" w:cstheme="minorHAnsi"/>
          <w:szCs w:val="24"/>
          <w:lang w:val="pl"/>
        </w:rPr>
        <w:t>Kwestia powoływania i odwoływania kadry kierowniczej wyższego szczebla w Straży Granicznej została uregulowana w ustawie z dnia 12 października 1990 r. o Straży Granicznej, zmienionej ustawą z dnia 17 listopada 2021 r. o zmianie ustawy o ochronie granicy państwowej oraz w rozporządzeniu Ministra Spraw Wewnętrznych i</w:t>
      </w:r>
      <w:r w:rsidR="004665EB">
        <w:rPr>
          <w:rFonts w:asciiTheme="minorHAnsi" w:hAnsiTheme="minorHAnsi" w:cstheme="minorHAnsi"/>
          <w:szCs w:val="24"/>
          <w:lang w:val="pl"/>
        </w:rPr>
        <w:t> </w:t>
      </w:r>
      <w:r>
        <w:rPr>
          <w:rFonts w:asciiTheme="minorHAnsi" w:hAnsiTheme="minorHAnsi" w:cstheme="minorHAnsi"/>
          <w:szCs w:val="24"/>
          <w:lang w:val="pl"/>
        </w:rPr>
        <w:t>Administracji z dnia 11 kwietnia 2022 r. w sprawie wymagań, jakim powinien odpowiadać funkcjonariusz Straży Granicznej na określonym stanowisku służbowym.</w:t>
      </w:r>
    </w:p>
    <w:p w14:paraId="34DD8EC2" w14:textId="77777777" w:rsidR="00E42BD6" w:rsidRPr="004665EB" w:rsidRDefault="00E42BD6" w:rsidP="00E42BD6">
      <w:pPr>
        <w:pStyle w:val="Akapitzlist"/>
        <w:rPr>
          <w:rFonts w:asciiTheme="minorHAnsi" w:hAnsiTheme="minorHAnsi" w:cstheme="minorHAnsi"/>
          <w:lang w:val="pl-PL"/>
        </w:rPr>
      </w:pPr>
    </w:p>
    <w:p w14:paraId="3A0DF15F" w14:textId="77777777" w:rsidR="004E321C" w:rsidRPr="004665EB" w:rsidRDefault="004E321C" w:rsidP="004E321C">
      <w:pPr>
        <w:pStyle w:val="Akapitzlist"/>
        <w:rPr>
          <w:rFonts w:asciiTheme="minorHAnsi" w:hAnsiTheme="minorHAnsi" w:cstheme="minorHAnsi"/>
          <w:lang w:val="pl-PL"/>
        </w:rPr>
      </w:pPr>
    </w:p>
    <w:p w14:paraId="455A3DA1" w14:textId="380BF249" w:rsidR="00F03A8E" w:rsidRPr="004665EB" w:rsidRDefault="007D1842" w:rsidP="007C3F6F">
      <w:pPr>
        <w:pStyle w:val="question"/>
        <w:numPr>
          <w:ilvl w:val="0"/>
          <w:numId w:val="14"/>
        </w:numPr>
        <w:tabs>
          <w:tab w:val="left" w:pos="567"/>
        </w:tabs>
        <w:contextualSpacing/>
        <w:rPr>
          <w:rFonts w:asciiTheme="minorHAnsi" w:hAnsiTheme="minorHAnsi" w:cstheme="minorHAnsi"/>
          <w:lang w:val="pl-PL"/>
        </w:rPr>
      </w:pPr>
      <w:r>
        <w:rPr>
          <w:rFonts w:asciiTheme="minorHAnsi" w:hAnsiTheme="minorHAnsi" w:cstheme="minorHAnsi"/>
          <w:szCs w:val="24"/>
          <w:lang w:val="pl"/>
        </w:rPr>
        <w:t>Władze polskie twierdzą ponadto, że wprowadzenie stałej kadencji dla głównych komendantów nie byłoby wykonalne. Minister właściwy do spraw wewnętrznych ponosi polityczną odpowiedzialność za wszystkie działania podejmowane przez komendantów głównych, zatem musi on mieć pełne prawo do osobistego wyznaczania komendantów głównych, którzy są następnie mianowani przez premiera, oraz do wnioskowania o ich odwołanie, gdy okaże się, że nie wykonują powierzonych im obowiązków w sposób właściwy.</w:t>
      </w:r>
      <w:r>
        <w:rPr>
          <w:rFonts w:asciiTheme="minorHAnsi" w:hAnsiTheme="minorHAnsi" w:cstheme="minorHAnsi"/>
          <w:b/>
          <w:bCs/>
          <w:szCs w:val="24"/>
          <w:lang w:val="pl"/>
        </w:rPr>
        <w:t xml:space="preserve"> </w:t>
      </w:r>
      <w:r>
        <w:rPr>
          <w:rFonts w:asciiTheme="minorHAnsi" w:hAnsiTheme="minorHAnsi" w:cstheme="minorHAnsi"/>
          <w:szCs w:val="24"/>
          <w:lang w:val="pl"/>
        </w:rPr>
        <w:t>Propozycja wprowadzenia stałej kadencji komendanta głównego znacząco utrudniłaby, a nawet uniemożliwiłaby skuteczny cywilny nadzór nad Policją i Strażą Graniczną. Tym samym polski parlament odrzucił wprowadzenie stałej kadencji dla komendantów głównych.</w:t>
      </w:r>
    </w:p>
    <w:p w14:paraId="2234EF7F" w14:textId="77777777" w:rsidR="00287903" w:rsidRPr="004665EB" w:rsidRDefault="00287903" w:rsidP="00287903">
      <w:pPr>
        <w:pStyle w:val="question"/>
        <w:numPr>
          <w:ilvl w:val="0"/>
          <w:numId w:val="0"/>
        </w:numPr>
        <w:ind w:left="567"/>
        <w:contextualSpacing/>
        <w:rPr>
          <w:rFonts w:asciiTheme="minorHAnsi" w:hAnsiTheme="minorHAnsi" w:cstheme="minorHAnsi"/>
          <w:szCs w:val="24"/>
          <w:lang w:val="pl-PL"/>
        </w:rPr>
      </w:pPr>
    </w:p>
    <w:p w14:paraId="541F0E9C" w14:textId="24E71EE4" w:rsidR="00320CB2" w:rsidRPr="004665EB" w:rsidRDefault="00C46308" w:rsidP="00F03A8E">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GRECO odnotowuje przyjęcie niektórych aktów prawnych, w tym rozporządzeń wykonawczych, których egzemplarzy nie dostarczono do kontroli. Wydaje się, że nastąpiły pewne zmiany, przynajmniej na papierze, dotyczące mianowania i</w:t>
      </w:r>
      <w:r w:rsidR="004665EB">
        <w:rPr>
          <w:rFonts w:asciiTheme="minorHAnsi" w:hAnsiTheme="minorHAnsi" w:cstheme="minorHAnsi"/>
          <w:szCs w:val="24"/>
          <w:lang w:val="pl"/>
        </w:rPr>
        <w:t> </w:t>
      </w:r>
      <w:r>
        <w:rPr>
          <w:rFonts w:asciiTheme="minorHAnsi" w:hAnsiTheme="minorHAnsi" w:cstheme="minorHAnsi"/>
          <w:szCs w:val="24"/>
          <w:lang w:val="pl"/>
        </w:rPr>
        <w:t>awansowania na wyższe stanowiska w Policji, natomiast GRECO musi jeszcze upewnić się, że proces jest konkurencyjny, przejrzysty i oparty na obiektywnych kryteriach. Ponadto brakuje informacji o warunkach odwolywania i odpowiedniej weryfikacji. Podobnych informacji nie przekazano w odniesieniu do mianowania, awansowania i</w:t>
      </w:r>
      <w:r w:rsidR="004665EB">
        <w:rPr>
          <w:rFonts w:asciiTheme="minorHAnsi" w:hAnsiTheme="minorHAnsi" w:cstheme="minorHAnsi"/>
          <w:szCs w:val="24"/>
          <w:lang w:val="pl"/>
        </w:rPr>
        <w:t> </w:t>
      </w:r>
      <w:r>
        <w:rPr>
          <w:rFonts w:asciiTheme="minorHAnsi" w:hAnsiTheme="minorHAnsi" w:cstheme="minorHAnsi"/>
          <w:szCs w:val="24"/>
          <w:lang w:val="pl"/>
        </w:rPr>
        <w:t xml:space="preserve">odwoływania kadry kierowniczej wyższego szczebla w Straży Granicznej. Jeśli chodzi o </w:t>
      </w:r>
      <w:r w:rsidR="004665EB">
        <w:rPr>
          <w:rFonts w:asciiTheme="minorHAnsi" w:hAnsiTheme="minorHAnsi" w:cstheme="minorHAnsi"/>
          <w:szCs w:val="24"/>
          <w:lang w:val="pl"/>
        </w:rPr>
        <w:t> </w:t>
      </w:r>
      <w:r>
        <w:rPr>
          <w:rFonts w:asciiTheme="minorHAnsi" w:hAnsiTheme="minorHAnsi" w:cstheme="minorHAnsi"/>
          <w:szCs w:val="24"/>
          <w:lang w:val="pl"/>
        </w:rPr>
        <w:t>powoływanie i odwoływanie komendantów głównych, władze nie wskazały na istnienie ani na stosowanie pewnych obiektywnych kryteriów oceny odpowiedniości kandydatów na te stanowiska i ich wyników pracy, zgodnie z wymogami zalecenia dotyczącego ustanowienia systemu opartego na karierze dla wszystkich pracowników kadry zarżadzającej wyższego szczebla w Policji i Straży Granicznej.</w:t>
      </w:r>
    </w:p>
    <w:p w14:paraId="57298C80" w14:textId="7376699F" w:rsidR="004707F7" w:rsidRPr="004665EB" w:rsidRDefault="004707F7" w:rsidP="00C02901">
      <w:pPr>
        <w:pStyle w:val="question"/>
        <w:numPr>
          <w:ilvl w:val="0"/>
          <w:numId w:val="0"/>
        </w:numPr>
        <w:tabs>
          <w:tab w:val="left" w:pos="567"/>
        </w:tabs>
        <w:contextualSpacing/>
        <w:rPr>
          <w:rFonts w:asciiTheme="minorHAnsi" w:hAnsiTheme="minorHAnsi" w:cstheme="minorHAnsi"/>
          <w:szCs w:val="24"/>
          <w:lang w:val="pl-PL"/>
        </w:rPr>
      </w:pPr>
    </w:p>
    <w:p w14:paraId="0798D534" w14:textId="7E061C7F" w:rsidR="00567FC7" w:rsidRPr="004665EB" w:rsidRDefault="00C46308" w:rsidP="007C3F6F">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xvi nie zostało wdrożone.</w:t>
      </w:r>
    </w:p>
    <w:p w14:paraId="5EC285B9" w14:textId="77777777" w:rsidR="00C02901" w:rsidRPr="004665EB" w:rsidRDefault="00C02901" w:rsidP="00C02901">
      <w:pPr>
        <w:pStyle w:val="Akapitzlist"/>
        <w:rPr>
          <w:rFonts w:asciiTheme="minorHAnsi" w:hAnsiTheme="minorHAnsi" w:cstheme="minorHAnsi"/>
          <w:sz w:val="24"/>
          <w:lang w:val="pl-PL"/>
        </w:rPr>
      </w:pPr>
    </w:p>
    <w:p w14:paraId="2BB44652" w14:textId="04AF4A70" w:rsidR="004707F7" w:rsidRPr="00E608CB" w:rsidRDefault="00275838" w:rsidP="00C02901">
      <w:pPr>
        <w:pStyle w:val="question"/>
        <w:numPr>
          <w:ilvl w:val="0"/>
          <w:numId w:val="0"/>
        </w:numPr>
        <w:tabs>
          <w:tab w:val="left" w:pos="567"/>
        </w:tabs>
        <w:ind w:left="567"/>
        <w:contextualSpacing/>
        <w:rPr>
          <w:rFonts w:asciiTheme="minorHAnsi" w:hAnsiTheme="minorHAnsi" w:cstheme="minorHAnsi"/>
          <w:b/>
          <w:bCs/>
          <w:szCs w:val="24"/>
        </w:rPr>
      </w:pPr>
      <w:r>
        <w:rPr>
          <w:rFonts w:asciiTheme="minorHAnsi" w:hAnsiTheme="minorHAnsi" w:cstheme="minorHAnsi"/>
          <w:b/>
          <w:bCs/>
          <w:szCs w:val="24"/>
          <w:lang w:val="pl"/>
        </w:rPr>
        <w:t>Zalecenie (xviii)</w:t>
      </w:r>
    </w:p>
    <w:p w14:paraId="3DFA7F32" w14:textId="77777777" w:rsidR="004707F7" w:rsidRPr="00E608CB" w:rsidRDefault="004707F7" w:rsidP="004707F7">
      <w:pPr>
        <w:pStyle w:val="Normalrappo"/>
        <w:widowControl/>
        <w:tabs>
          <w:tab w:val="clear" w:pos="-720"/>
          <w:tab w:val="left" w:pos="567"/>
        </w:tabs>
        <w:suppressAutoHyphens w:val="0"/>
        <w:contextualSpacing/>
        <w:rPr>
          <w:rFonts w:asciiTheme="minorHAnsi" w:hAnsiTheme="minorHAnsi" w:cstheme="minorHAnsi"/>
          <w:i/>
          <w:spacing w:val="0"/>
          <w:szCs w:val="24"/>
        </w:rPr>
      </w:pPr>
    </w:p>
    <w:p w14:paraId="2FA2AAB8" w14:textId="0BBD797F" w:rsidR="00C02901" w:rsidRPr="004665EB" w:rsidRDefault="00A46F96" w:rsidP="00C02901">
      <w:pPr>
        <w:numPr>
          <w:ilvl w:val="0"/>
          <w:numId w:val="14"/>
        </w:numPr>
        <w:tabs>
          <w:tab w:val="left" w:pos="567"/>
        </w:tabs>
        <w:contextualSpacing/>
        <w:jc w:val="both"/>
        <w:rPr>
          <w:rFonts w:asciiTheme="minorHAnsi" w:hAnsiTheme="minorHAnsi" w:cstheme="minorHAnsi"/>
          <w:lang w:val="pl-PL"/>
        </w:rPr>
      </w:pPr>
      <w:r>
        <w:rPr>
          <w:rFonts w:asciiTheme="minorHAnsi" w:hAnsiTheme="minorHAnsi" w:cstheme="minorHAnsi"/>
          <w:i/>
          <w:iCs/>
          <w:lang w:val="pl"/>
        </w:rPr>
        <w:t>GRECO zaleciło opracowanie usprawnionego systemu wydawania zezwoleń na dodatkową działalność (odpłatną lub nie) w Policji i Straży Granicznej, co wymagałoby skutecznych działań następczych po wydaniu zezwolenia</w:t>
      </w:r>
    </w:p>
    <w:p w14:paraId="282C28E9" w14:textId="77777777" w:rsidR="00C02901" w:rsidRPr="004665EB" w:rsidRDefault="00C02901" w:rsidP="00C02901">
      <w:pPr>
        <w:tabs>
          <w:tab w:val="left" w:pos="567"/>
        </w:tabs>
        <w:ind w:left="567"/>
        <w:contextualSpacing/>
        <w:jc w:val="both"/>
        <w:rPr>
          <w:rFonts w:asciiTheme="minorHAnsi" w:hAnsiTheme="minorHAnsi" w:cstheme="minorHAnsi"/>
          <w:lang w:val="pl-PL"/>
        </w:rPr>
      </w:pPr>
    </w:p>
    <w:p w14:paraId="0A7E446C" w14:textId="70DA2606" w:rsidR="00E67DCD" w:rsidRPr="00E608CB" w:rsidRDefault="00E67DCD" w:rsidP="007C3F6F">
      <w:pPr>
        <w:pStyle w:val="question"/>
        <w:numPr>
          <w:ilvl w:val="0"/>
          <w:numId w:val="14"/>
        </w:numPr>
        <w:contextualSpacing/>
        <w:rPr>
          <w:rFonts w:asciiTheme="minorHAnsi" w:hAnsiTheme="minorHAnsi" w:cstheme="minorHAnsi"/>
          <w:szCs w:val="24"/>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Projekt nowelizacji ustawy o</w:t>
      </w:r>
      <w:r w:rsidR="004665EB">
        <w:rPr>
          <w:rFonts w:asciiTheme="minorHAnsi" w:hAnsiTheme="minorHAnsi" w:cstheme="minorHAnsi"/>
          <w:szCs w:val="24"/>
          <w:lang w:val="pl"/>
        </w:rPr>
        <w:t> </w:t>
      </w:r>
      <w:r>
        <w:rPr>
          <w:rFonts w:asciiTheme="minorHAnsi" w:hAnsiTheme="minorHAnsi" w:cstheme="minorHAnsi"/>
          <w:szCs w:val="24"/>
          <w:lang w:val="pl"/>
        </w:rPr>
        <w:t>Policji i ustawy o Straży Granicznej, który przewidywałby mniej zdecentralizowaną, bardziej szczegółową i solidną procedurę, został złożony, ale w czasie sporządzania raportu nie wszedł do procedury parlamentarnej. Ponadto wniosek nie obejmował działalności nieodpłatnej.</w:t>
      </w:r>
    </w:p>
    <w:p w14:paraId="29138E9F" w14:textId="77777777" w:rsidR="00E67DCD" w:rsidRPr="00E608CB" w:rsidRDefault="00E67DCD" w:rsidP="00E67DCD">
      <w:pPr>
        <w:pStyle w:val="Akapitzlist"/>
        <w:rPr>
          <w:rFonts w:asciiTheme="minorHAnsi" w:hAnsiTheme="minorHAnsi" w:cstheme="minorHAnsi"/>
          <w:u w:val="single"/>
        </w:rPr>
      </w:pPr>
    </w:p>
    <w:p w14:paraId="2D1C78E8" w14:textId="5D2735FA" w:rsidR="00F04E91" w:rsidRPr="004665EB" w:rsidRDefault="00C02901" w:rsidP="007C3F6F">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że Policja i Straż Graniczna są w trakcie oceny projektu nowelizacji w celu określenia sposobu wdrożenia tego zalecenia. Opiniowany projekt zawiera również propozycję wprowadzenia do ustawy o Straży Granicznej przepisów eliminujących źródło konfliktu interesów wynikające z podporządkowania służbowego pomiędzy małżonkami lub osobami pozostającymi ze sobą we wspólnym gospodarstwie domowym, osobami pozostającymi ze sobą w stosunku pokrewieństwa lub powinowactwa, jak również w stosunku przysposobienia, opieki lub kurateli.</w:t>
      </w:r>
    </w:p>
    <w:p w14:paraId="391A5A25" w14:textId="77777777" w:rsidR="007C3F6F" w:rsidRPr="004665EB" w:rsidRDefault="007C3F6F" w:rsidP="007C3F6F">
      <w:pPr>
        <w:pStyle w:val="question"/>
        <w:numPr>
          <w:ilvl w:val="0"/>
          <w:numId w:val="0"/>
        </w:numPr>
        <w:contextualSpacing/>
        <w:rPr>
          <w:rFonts w:asciiTheme="minorHAnsi" w:hAnsiTheme="minorHAnsi" w:cstheme="minorHAnsi"/>
          <w:szCs w:val="24"/>
          <w:lang w:val="pl-PL"/>
        </w:rPr>
      </w:pPr>
    </w:p>
    <w:p w14:paraId="4236620C" w14:textId="7CC0F43D" w:rsidR="004707F7" w:rsidRPr="004665EB" w:rsidRDefault="00C46308" w:rsidP="004D6570">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w:t>
      </w:r>
      <w:r>
        <w:rPr>
          <w:rFonts w:asciiTheme="minorHAnsi" w:hAnsiTheme="minorHAnsi" w:cstheme="minorHAnsi"/>
          <w:szCs w:val="24"/>
          <w:lang w:val="pl"/>
        </w:rPr>
        <w:t xml:space="preserve"> odnotowuje, że wniosek dotyczący projektu nowelizacji w celu wdrożenia tego zalecenia jest obecnie poddawany przeglądowi przez Policję i Straż Graniczną, bez poddania go debacie parlamentarnej i bez wprowadzenia istotnych zmian, które uzasadniałyby podniesienie statusu wdrożenia tego zalecenia.</w:t>
      </w:r>
    </w:p>
    <w:p w14:paraId="4AFA99B7" w14:textId="77777777" w:rsidR="004D6570" w:rsidRPr="004665EB" w:rsidRDefault="004D6570" w:rsidP="004D6570">
      <w:pPr>
        <w:pStyle w:val="question"/>
        <w:numPr>
          <w:ilvl w:val="0"/>
          <w:numId w:val="0"/>
        </w:numPr>
        <w:tabs>
          <w:tab w:val="left" w:pos="567"/>
        </w:tabs>
        <w:contextualSpacing/>
        <w:rPr>
          <w:rFonts w:asciiTheme="minorHAnsi" w:hAnsiTheme="minorHAnsi" w:cstheme="minorHAnsi"/>
          <w:szCs w:val="24"/>
          <w:lang w:val="pl-PL"/>
        </w:rPr>
      </w:pPr>
    </w:p>
    <w:p w14:paraId="3B5C4F69" w14:textId="72221F29" w:rsidR="004707F7" w:rsidRPr="004665EB" w:rsidRDefault="00C46308" w:rsidP="004707F7">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stwierdza, że zalecenie (xviii) nie zostało wdrożone.</w:t>
      </w:r>
    </w:p>
    <w:p w14:paraId="5F5F3BF2" w14:textId="77777777" w:rsidR="004707F7" w:rsidRPr="004665EB" w:rsidRDefault="004707F7" w:rsidP="004707F7">
      <w:pPr>
        <w:tabs>
          <w:tab w:val="left" w:pos="567"/>
        </w:tabs>
        <w:contextualSpacing/>
        <w:jc w:val="both"/>
        <w:rPr>
          <w:rFonts w:asciiTheme="minorHAnsi" w:hAnsiTheme="minorHAnsi" w:cstheme="minorHAnsi"/>
          <w:b/>
          <w:lang w:val="pl-PL"/>
        </w:rPr>
      </w:pPr>
    </w:p>
    <w:p w14:paraId="638B93B8" w14:textId="53C754CC" w:rsidR="004707F7" w:rsidRPr="00E608CB" w:rsidRDefault="004707F7" w:rsidP="004707F7">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(xix)</w:t>
      </w:r>
    </w:p>
    <w:p w14:paraId="7CAEEDC1" w14:textId="77777777" w:rsidR="004707F7" w:rsidRPr="00E608CB" w:rsidRDefault="004707F7" w:rsidP="004707F7">
      <w:pPr>
        <w:pStyle w:val="Normalrappo"/>
        <w:widowControl/>
        <w:tabs>
          <w:tab w:val="clear" w:pos="-720"/>
          <w:tab w:val="left" w:pos="567"/>
        </w:tabs>
        <w:suppressAutoHyphens w:val="0"/>
        <w:contextualSpacing/>
        <w:rPr>
          <w:rFonts w:asciiTheme="minorHAnsi" w:hAnsiTheme="minorHAnsi" w:cstheme="minorHAnsi"/>
          <w:i/>
          <w:spacing w:val="0"/>
          <w:szCs w:val="24"/>
        </w:rPr>
      </w:pPr>
    </w:p>
    <w:p w14:paraId="5DE4053D" w14:textId="3AFD7B22" w:rsidR="004707F7" w:rsidRPr="004665EB" w:rsidRDefault="00A46F96" w:rsidP="004707F7">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wprowadzenie solidnego i skutecznego systemu weryfikacji oświadczeń majątkowych i deklaracji o braku konfliktu interesów</w:t>
      </w:r>
    </w:p>
    <w:p w14:paraId="7C4CC5D3" w14:textId="77777777" w:rsidR="00FE30B2" w:rsidRPr="004665EB" w:rsidRDefault="00FE30B2" w:rsidP="00D845DF">
      <w:pPr>
        <w:pStyle w:val="question"/>
        <w:numPr>
          <w:ilvl w:val="0"/>
          <w:numId w:val="0"/>
        </w:numPr>
        <w:contextualSpacing/>
        <w:rPr>
          <w:rFonts w:asciiTheme="minorHAnsi" w:hAnsiTheme="minorHAnsi" w:cstheme="minorHAnsi"/>
          <w:szCs w:val="24"/>
          <w:lang w:val="pl-PL"/>
        </w:rPr>
      </w:pPr>
    </w:p>
    <w:p w14:paraId="36BD5E01" w14:textId="7A73BA07" w:rsidR="00626592" w:rsidRPr="004665EB" w:rsidRDefault="00626592" w:rsidP="0023292E">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nie zostało wdrożone, ponieważ nie przyjęto żadnych konkretnych środków w celu wprowadzenia solidnego i skutecznego systemu weryfikacji oświadczeń majątkowych i deklaracji o braku konfliktu interesów.</w:t>
      </w:r>
    </w:p>
    <w:p w14:paraId="19CC11C0" w14:textId="77777777" w:rsidR="00626592" w:rsidRPr="004665EB" w:rsidRDefault="00626592" w:rsidP="00626592">
      <w:pPr>
        <w:pStyle w:val="Akapitzlist"/>
        <w:rPr>
          <w:rFonts w:asciiTheme="minorHAnsi" w:hAnsiTheme="minorHAnsi" w:cstheme="minorHAnsi"/>
          <w:lang w:val="pl-PL"/>
        </w:rPr>
      </w:pPr>
    </w:p>
    <w:p w14:paraId="37E54F4F" w14:textId="03683C5B" w:rsidR="004707F7" w:rsidRPr="004665EB" w:rsidRDefault="005B3731" w:rsidP="0023292E">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że w odniesieniu do zalecenia (ix) Centralne Biuro Antykorupcyjne (CBA) wprowadziło rozwiązania mające na celu ujednolicenie i</w:t>
      </w:r>
      <w:r w:rsidR="004665EB">
        <w:rPr>
          <w:rFonts w:asciiTheme="minorHAnsi" w:hAnsiTheme="minorHAnsi" w:cstheme="minorHAnsi"/>
          <w:szCs w:val="24"/>
          <w:lang w:val="pl"/>
        </w:rPr>
        <w:t> </w:t>
      </w:r>
      <w:r>
        <w:rPr>
          <w:rFonts w:asciiTheme="minorHAnsi" w:hAnsiTheme="minorHAnsi" w:cstheme="minorHAnsi"/>
          <w:szCs w:val="24"/>
          <w:lang w:val="pl"/>
        </w:rPr>
        <w:t>cyfryzację procesu składania i analizy oświadczeń majątkowych osób pełniących funkcje publiczne. CBA opracowało koncepcję budowy systemu informatycznego wspierającego proces przyjmowania, ewidencjonowania i analizy oświadczeń majątkowych – przyszłego polskiego systemu analizy i kontroli oświadczeń majątkowych (SAKOM), przy wsparciu partnerów międzynarodowych. Przeprowadzono testy pilotażowe, a jego uruchomienie nastąpi po przyjęciu odpowiednich przepisów. Projekt ustawy został przedłożony Stałemu Komitetowi Rady Ministrów, a proces legislacyjny jest wstrzymany od 2018 r. ze względu na znaczną liczbę otrzymanych uwag.</w:t>
      </w:r>
    </w:p>
    <w:p w14:paraId="715C0DD1" w14:textId="77777777" w:rsidR="00211FF6" w:rsidRPr="004665EB" w:rsidRDefault="00211FF6" w:rsidP="00211FF6">
      <w:pPr>
        <w:pStyle w:val="question"/>
        <w:numPr>
          <w:ilvl w:val="0"/>
          <w:numId w:val="0"/>
        </w:numPr>
        <w:tabs>
          <w:tab w:val="left" w:pos="567"/>
        </w:tabs>
        <w:ind w:left="567"/>
        <w:contextualSpacing/>
        <w:rPr>
          <w:rFonts w:asciiTheme="minorHAnsi" w:hAnsiTheme="minorHAnsi" w:cstheme="minorHAnsi"/>
          <w:szCs w:val="24"/>
          <w:lang w:val="pl-PL"/>
        </w:rPr>
      </w:pPr>
    </w:p>
    <w:p w14:paraId="62D679CC" w14:textId="3F2CCF60" w:rsidR="00211FF6" w:rsidRPr="004665EB" w:rsidRDefault="00C46308" w:rsidP="00211FF6">
      <w:pPr>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lang w:val="pl"/>
        </w:rPr>
        <w:t>GRECO odnotowuje propozycję opracowania i wprowadzenia systemu analizy i kontroli oświadczeń majątkowych – SAKOM, którego wdrożenie utknęło w martwym punkcie w</w:t>
      </w:r>
      <w:r w:rsidR="004665EB">
        <w:rPr>
          <w:rFonts w:asciiTheme="minorHAnsi" w:hAnsiTheme="minorHAnsi" w:cstheme="minorHAnsi"/>
          <w:lang w:val="pl"/>
        </w:rPr>
        <w:t> </w:t>
      </w:r>
      <w:r>
        <w:rPr>
          <w:rFonts w:asciiTheme="minorHAnsi" w:hAnsiTheme="minorHAnsi" w:cstheme="minorHAnsi"/>
          <w:lang w:val="pl"/>
        </w:rPr>
        <w:t>oczekiwaniu na przyjęcie ram regulacyjnych, których opracowanie nie posunęło się naprzód od 2018 r. Od tego czasu nie odnotowano żadnych innych zauważalnych postępów.</w:t>
      </w:r>
    </w:p>
    <w:p w14:paraId="466ADE24" w14:textId="77777777" w:rsidR="00AC660C" w:rsidRPr="004665EB" w:rsidRDefault="00AC660C" w:rsidP="005B3731">
      <w:pPr>
        <w:pStyle w:val="question"/>
        <w:numPr>
          <w:ilvl w:val="0"/>
          <w:numId w:val="0"/>
        </w:numPr>
        <w:tabs>
          <w:tab w:val="left" w:pos="567"/>
        </w:tabs>
        <w:contextualSpacing/>
        <w:rPr>
          <w:rFonts w:asciiTheme="minorHAnsi" w:hAnsiTheme="minorHAnsi" w:cstheme="minorHAnsi"/>
          <w:szCs w:val="24"/>
          <w:lang w:val="pl-PL"/>
        </w:rPr>
      </w:pPr>
    </w:p>
    <w:p w14:paraId="107F9A25" w14:textId="06C18099" w:rsidR="00B30FC2" w:rsidRPr="004665EB" w:rsidRDefault="00C46308" w:rsidP="00B72625">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u w:val="single"/>
          <w:lang w:val="pl"/>
        </w:rPr>
        <w:lastRenderedPageBreak/>
        <w:t>GRECO stwierdza, że zalecenie (xix) nie zostało wdrożone.</w:t>
      </w:r>
    </w:p>
    <w:p w14:paraId="7A1AA8DB" w14:textId="77777777" w:rsidR="005B3731" w:rsidRPr="004665EB" w:rsidRDefault="005B3731" w:rsidP="004707F7">
      <w:pPr>
        <w:tabs>
          <w:tab w:val="left" w:pos="567"/>
        </w:tabs>
        <w:contextualSpacing/>
        <w:jc w:val="both"/>
        <w:rPr>
          <w:rFonts w:asciiTheme="minorHAnsi" w:hAnsiTheme="minorHAnsi" w:cstheme="minorHAnsi"/>
          <w:lang w:val="pl-PL"/>
        </w:rPr>
      </w:pPr>
    </w:p>
    <w:p w14:paraId="50CCC06C" w14:textId="210CF319" w:rsidR="004707F7" w:rsidRPr="00E608CB" w:rsidRDefault="00B30FC2" w:rsidP="0078196D">
      <w:pPr>
        <w:keepNext/>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(xx)</w:t>
      </w:r>
    </w:p>
    <w:p w14:paraId="59FEDE21" w14:textId="77777777" w:rsidR="004707F7" w:rsidRPr="00E608CB" w:rsidRDefault="004707F7" w:rsidP="0078196D">
      <w:pPr>
        <w:pStyle w:val="Normalrappo"/>
        <w:keepNext/>
        <w:widowControl/>
        <w:tabs>
          <w:tab w:val="clear" w:pos="-720"/>
          <w:tab w:val="left" w:pos="567"/>
        </w:tabs>
        <w:suppressAutoHyphens w:val="0"/>
        <w:contextualSpacing/>
        <w:rPr>
          <w:rFonts w:asciiTheme="minorHAnsi" w:hAnsiTheme="minorHAnsi" w:cstheme="minorHAnsi"/>
          <w:i/>
          <w:spacing w:val="0"/>
          <w:szCs w:val="24"/>
        </w:rPr>
      </w:pPr>
    </w:p>
    <w:p w14:paraId="219C6B3C" w14:textId="682EFE08" w:rsidR="004707F7" w:rsidRPr="004665EB" w:rsidRDefault="00A46F96" w:rsidP="0078196D">
      <w:pPr>
        <w:keepNext/>
        <w:numPr>
          <w:ilvl w:val="0"/>
          <w:numId w:val="14"/>
        </w:numPr>
        <w:tabs>
          <w:tab w:val="left" w:pos="567"/>
        </w:tabs>
        <w:contextualSpacing/>
        <w:jc w:val="both"/>
        <w:rPr>
          <w:rFonts w:asciiTheme="minorHAnsi" w:hAnsiTheme="minorHAnsi" w:cstheme="minorHAnsi"/>
          <w:i/>
          <w:lang w:val="pl-PL"/>
        </w:rPr>
      </w:pPr>
      <w:r>
        <w:rPr>
          <w:rFonts w:asciiTheme="minorHAnsi" w:hAnsiTheme="minorHAnsi" w:cstheme="minorHAnsi"/>
          <w:i/>
          <w:iCs/>
          <w:lang w:val="pl"/>
        </w:rPr>
        <w:t>GRECO zaleciło (i) wyjaśnienie odpowiednich obowiązków organów zajmujących się kwestiami uczciwości i nadzorem nad Policją i Strażą Graniczną oraz (ii) wdrożenie spójnego podejścia dyscyplinarnego na podstawie wspólnych wytycznych.</w:t>
      </w:r>
    </w:p>
    <w:p w14:paraId="40F91115" w14:textId="77777777" w:rsidR="00877B56" w:rsidRPr="004665EB" w:rsidRDefault="00877B56" w:rsidP="00A67CAC">
      <w:pPr>
        <w:pStyle w:val="question"/>
        <w:numPr>
          <w:ilvl w:val="0"/>
          <w:numId w:val="0"/>
        </w:numPr>
        <w:contextualSpacing/>
        <w:rPr>
          <w:rFonts w:asciiTheme="minorHAnsi" w:hAnsiTheme="minorHAnsi" w:cstheme="minorHAnsi"/>
          <w:szCs w:val="24"/>
          <w:lang w:val="pl-PL"/>
        </w:rPr>
      </w:pPr>
    </w:p>
    <w:p w14:paraId="39024F05" w14:textId="7D9368AE" w:rsidR="00E55FC6" w:rsidRPr="004665EB" w:rsidRDefault="00E55FC6" w:rsidP="007C3F6F">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GRECO przypomina</w:t>
      </w:r>
      <w:r>
        <w:rPr>
          <w:rFonts w:asciiTheme="minorHAnsi" w:hAnsiTheme="minorHAnsi" w:cstheme="minorHAnsi"/>
          <w:szCs w:val="24"/>
          <w:lang w:val="pl"/>
        </w:rPr>
        <w:t>, że zalecenie to zostało częściowo wdrożone. W odniesieniu do pierwszej części zalecenia przedstawiono informacje na temat roli Biura Nadzoru Wewnętrznego (BNW) pod bezpośrednim zwierzchnictwem Ministra Spraw Wewnętrznych i Administracji, co wyjaśniło również kwestię podległości Biura Spraw Wewnętrznych Policji (BSWP) i Biura Spraw Wewnętrznych Straży Granicznej (BSWSG). Zabrakło jednak wystarczającego wyjaśnienia co do unikania powielania funkcji między tymi organami. W odniesieniu do drugiej części w Straży Granicznej doprecyzowano obowiązki dotyczące postępowań dyscyplinarnych, natomiast w Policji nie podjęto żadnych kroków.</w:t>
      </w:r>
    </w:p>
    <w:p w14:paraId="289E34AE" w14:textId="77777777" w:rsidR="00E55FC6" w:rsidRPr="004665EB" w:rsidRDefault="00E55FC6" w:rsidP="00E55FC6">
      <w:pPr>
        <w:pStyle w:val="Akapitzlist"/>
        <w:rPr>
          <w:rFonts w:asciiTheme="minorHAnsi" w:hAnsiTheme="minorHAnsi" w:cstheme="minorHAnsi"/>
          <w:u w:val="single"/>
          <w:lang w:val="pl-PL"/>
        </w:rPr>
      </w:pPr>
    </w:p>
    <w:p w14:paraId="04310B37" w14:textId="2010447B" w:rsidR="00D11F87" w:rsidRPr="004665EB" w:rsidRDefault="00FB36FC" w:rsidP="007C3F6F">
      <w:pPr>
        <w:pStyle w:val="question"/>
        <w:numPr>
          <w:ilvl w:val="0"/>
          <w:numId w:val="14"/>
        </w:numPr>
        <w:contextualSpacing/>
        <w:rPr>
          <w:rFonts w:asciiTheme="minorHAnsi" w:hAnsiTheme="minorHAnsi" w:cstheme="minorHAnsi"/>
          <w:szCs w:val="24"/>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w odniesieniu do pierwszej części zalecenia, że BSWP i BSWSG są jednostkami organizacyjnymi w obrębie, odpowiednio, Policji i Straży Granicznej. Zgodnie z ustawą o Policji i ustawą o Straży Granicznej do ich zadań należy wykrywanie i zwalczanie przestępstw popełnionych przez funkcjonariuszy i pracowników Policji lub Straży Granicznej, przestępstw przeciwko obrotowi gospodarczemu popełnionych na szkodę Policji lub Straży Granicznej, określonych w Kodeksie karnym, zatrzymywanie i</w:t>
      </w:r>
      <w:r w:rsidR="004665EB">
        <w:rPr>
          <w:rFonts w:asciiTheme="minorHAnsi" w:hAnsiTheme="minorHAnsi" w:cstheme="minorHAnsi"/>
          <w:szCs w:val="24"/>
          <w:lang w:val="pl"/>
        </w:rPr>
        <w:t> </w:t>
      </w:r>
      <w:r>
        <w:rPr>
          <w:rFonts w:asciiTheme="minorHAnsi" w:hAnsiTheme="minorHAnsi" w:cstheme="minorHAnsi"/>
          <w:szCs w:val="24"/>
          <w:lang w:val="pl"/>
        </w:rPr>
        <w:t>ściganie sprawców tych przestępstw oraz zapobieganie im. Zadania BNW dotyczą sprawowania nadzoru przez ministra właściwego do spraw wewnętrznych nad ujawnianiem i analizowaniem nieprawidłowości w związku z prowadzonymi postępowaniami wyjaśniającymi i dyscyplinarnymi, wykrywaniem i ściganiem przestępstw i wykroczeń skarbowych oraz zapobiegania im; sprawowania nadzoru nad oceną działalności BSWP i BSWSG, oceną realizacji przepisów i praktyk w zakresie ochrony informacji niejawnych, oceną realizacji obowiązku składania oświadczeń majątkowych oraz analizą i oceną gromadzenia danych osobowych przez Policję i Straż Graniczną.</w:t>
      </w:r>
    </w:p>
    <w:p w14:paraId="6887E0B8" w14:textId="77777777" w:rsidR="00D11F87" w:rsidRPr="004665EB" w:rsidRDefault="00D11F87" w:rsidP="00D11F87">
      <w:pPr>
        <w:pStyle w:val="Akapitzlist"/>
        <w:rPr>
          <w:rFonts w:asciiTheme="minorHAnsi" w:hAnsiTheme="minorHAnsi" w:cstheme="minorHAnsi"/>
          <w:lang w:val="pl-PL"/>
        </w:rPr>
      </w:pPr>
    </w:p>
    <w:p w14:paraId="6CB221C8" w14:textId="65B45B0C" w:rsidR="007C3F6F" w:rsidRPr="00E608CB" w:rsidRDefault="00D11F87" w:rsidP="007C3F6F">
      <w:pPr>
        <w:pStyle w:val="question"/>
        <w:numPr>
          <w:ilvl w:val="0"/>
          <w:numId w:val="14"/>
        </w:numPr>
        <w:contextualSpacing/>
        <w:rPr>
          <w:rFonts w:asciiTheme="minorHAnsi" w:hAnsiTheme="minorHAnsi" w:cstheme="minorHAnsi"/>
          <w:szCs w:val="24"/>
        </w:rPr>
      </w:pPr>
      <w:r>
        <w:rPr>
          <w:rFonts w:asciiTheme="minorHAnsi" w:hAnsiTheme="minorHAnsi" w:cstheme="minorHAnsi"/>
          <w:szCs w:val="24"/>
          <w:lang w:val="pl"/>
        </w:rPr>
        <w:t>Władze informują ponadto, że w odniesieniu do drugiej części zalecenia ustawa o</w:t>
      </w:r>
      <w:r w:rsidR="004665EB">
        <w:rPr>
          <w:rFonts w:asciiTheme="minorHAnsi" w:hAnsiTheme="minorHAnsi" w:cstheme="minorHAnsi"/>
          <w:szCs w:val="24"/>
          <w:lang w:val="pl"/>
        </w:rPr>
        <w:t> </w:t>
      </w:r>
      <w:r>
        <w:rPr>
          <w:rFonts w:asciiTheme="minorHAnsi" w:hAnsiTheme="minorHAnsi" w:cstheme="minorHAnsi"/>
          <w:szCs w:val="24"/>
          <w:lang w:val="pl"/>
        </w:rPr>
        <w:t>szczególnych rozwiązaniach dotyczących wsparcia służb mundurowych z 2020 r., nadzorowana przez ministra właściwego do spraw wewnętrznych, wprowadziła takie same zmiany w kilku przepisach zawartych w ustawie o Policji i ustawie o Straży Granicznej dotyczących prowadzenia postępowań dyscyplinarnych. Ponadto 29 grudnia 2020 r. i 28 września 2021 r. Minister Spraw Wewnętrznych i Administracji przyjął rozporządzenie w sprawie obiegu dokumentów związanych z postępowaniem dyscyplinarnym, odpowiednio, w Straży Granicznej i Policji. Zgodnie ze znowelizowaną ustawą o Policji, przełożony dyscyplinarny będzie wszczynał postępowanie dyscyplinarne m.in. z własnej inicjatywy, na wniosek bezpośredniego przełożonego policjanta, na polecenie wyższego przełożonego itp. Postępowanie dyscyplinarne prowadzone jest przez rzecznika dyscyplinarnego, który gromadzi materiał dowodowy i</w:t>
      </w:r>
      <w:r w:rsidR="004665EB">
        <w:rPr>
          <w:rFonts w:asciiTheme="minorHAnsi" w:hAnsiTheme="minorHAnsi" w:cstheme="minorHAnsi"/>
          <w:szCs w:val="24"/>
          <w:lang w:val="pl"/>
        </w:rPr>
        <w:t> </w:t>
      </w:r>
      <w:r>
        <w:rPr>
          <w:rFonts w:asciiTheme="minorHAnsi" w:hAnsiTheme="minorHAnsi" w:cstheme="minorHAnsi"/>
          <w:szCs w:val="24"/>
          <w:lang w:val="pl"/>
        </w:rPr>
        <w:t xml:space="preserve">podejmuje czynności niezbędne do wyjaśnienia sprawy. W toku postępowania funkcjonariusz policji ma prawo m.in. do zgłaszania wniosków dowodowych </w:t>
      </w:r>
      <w:r>
        <w:rPr>
          <w:rFonts w:asciiTheme="minorHAnsi" w:hAnsiTheme="minorHAnsi" w:cstheme="minorHAnsi"/>
          <w:szCs w:val="24"/>
          <w:lang w:val="pl"/>
        </w:rPr>
        <w:lastRenderedPageBreak/>
        <w:t>i</w:t>
      </w:r>
      <w:r w:rsidR="004665EB">
        <w:rPr>
          <w:rFonts w:asciiTheme="minorHAnsi" w:hAnsiTheme="minorHAnsi" w:cstheme="minorHAnsi"/>
          <w:szCs w:val="24"/>
          <w:lang w:val="pl"/>
        </w:rPr>
        <w:t> </w:t>
      </w:r>
      <w:r>
        <w:rPr>
          <w:rFonts w:asciiTheme="minorHAnsi" w:hAnsiTheme="minorHAnsi" w:cstheme="minorHAnsi"/>
          <w:szCs w:val="24"/>
          <w:lang w:val="pl"/>
        </w:rPr>
        <w:t>ustanowienia obrońcy. Przełożony dyscyplinarny podejmie decyzję w sprawie postępowania dyscyplinarnego, od której przysługuje odwołanie do wyższego przełożonego dyscyplinarnego. Ten ostatni wyznacza komisję do rozpatrzenia odwołania, liczącą trzech członków, z których dwóch jest powoływanych przez wyższego przełożonego dyscyplinarnego, a jeden przez zakładową organizację związkową wskazaną przez funkcjonariusza policji. Komisja sporządza sprawozdanie zawierające propozycję sposobu rozstrzygnięcia odwołania, jednak ostateczna decyzja należy do wyższego przełożonego dyscyplinarnego. Decyzja może zostać zaskarżona do sądu administracyjnego.</w:t>
      </w:r>
    </w:p>
    <w:p w14:paraId="06982555" w14:textId="77777777" w:rsidR="00FB36FC" w:rsidRPr="00E608CB" w:rsidRDefault="00FB36FC" w:rsidP="007C3F6F">
      <w:pPr>
        <w:rPr>
          <w:rFonts w:asciiTheme="minorHAnsi" w:hAnsiTheme="minorHAnsi" w:cstheme="minorHAnsi"/>
          <w:color w:val="000000" w:themeColor="text1"/>
          <w:u w:val="single"/>
        </w:rPr>
      </w:pPr>
    </w:p>
    <w:p w14:paraId="164C63A7" w14:textId="4796DE7B" w:rsidR="00FB36FC" w:rsidRPr="004665EB" w:rsidRDefault="00FB36FC" w:rsidP="00FB36FC">
      <w:pPr>
        <w:pStyle w:val="question"/>
        <w:numPr>
          <w:ilvl w:val="0"/>
          <w:numId w:val="14"/>
        </w:numPr>
        <w:contextualSpacing/>
        <w:rPr>
          <w:rFonts w:asciiTheme="minorHAnsi" w:hAnsiTheme="minorHAnsi" w:cstheme="minorHAnsi"/>
          <w:color w:val="000000" w:themeColor="text1"/>
          <w:szCs w:val="24"/>
          <w:lang w:val="pl-PL"/>
        </w:rPr>
      </w:pPr>
      <w:r>
        <w:rPr>
          <w:rFonts w:asciiTheme="minorHAnsi" w:hAnsiTheme="minorHAnsi" w:cstheme="minorHAnsi"/>
          <w:color w:val="000000" w:themeColor="text1"/>
          <w:u w:val="single"/>
          <w:lang w:val="pl"/>
        </w:rPr>
        <w:t>GRECO</w:t>
      </w:r>
      <w:r>
        <w:rPr>
          <w:rFonts w:asciiTheme="minorHAnsi" w:hAnsiTheme="minorHAnsi" w:cstheme="minorHAnsi"/>
          <w:color w:val="000000" w:themeColor="text1"/>
          <w:lang w:val="pl"/>
        </w:rPr>
        <w:t xml:space="preserve"> zauważa, w odniesieniu do pierwszej części zalecenia, że zakres obowiązków Biura Nadzoru Wewnętrznego (BNW) jest szerszy niż Biura Spraw Wewnętrznych Policji (BSWP)</w:t>
      </w:r>
      <w:r>
        <w:rPr>
          <w:rFonts w:asciiTheme="minorHAnsi" w:hAnsiTheme="minorHAnsi" w:cstheme="minorHAnsi"/>
          <w:szCs w:val="24"/>
          <w:lang w:val="pl"/>
        </w:rPr>
        <w:t xml:space="preserve"> i Biura Spraw Wewnętrznych Straży Granicznej (BSWSG), które mogą podlegać kontroli BNW. Chociaż wszystkie trzy organy są odpowiedzialne za zapobieganie przestępstwom, ich wykrywanie i ściganie, GRECO jest zdania, że istnieje </w:t>
      </w:r>
      <w:r>
        <w:rPr>
          <w:rFonts w:asciiTheme="minorHAnsi" w:hAnsiTheme="minorHAnsi" w:cstheme="minorHAnsi"/>
          <w:color w:val="000000" w:themeColor="text1"/>
          <w:lang w:val="pl"/>
        </w:rPr>
        <w:t>rozgraniczenie obowiązków między tymi trzema organami i uważa, że zastosowano się do tej części zalecenia. W odniesieniu do drugiej części zalecenia zarówno ustawa o Policji, jak i</w:t>
      </w:r>
      <w:r w:rsidR="004665EB">
        <w:rPr>
          <w:rFonts w:asciiTheme="minorHAnsi" w:hAnsiTheme="minorHAnsi" w:cstheme="minorHAnsi"/>
          <w:color w:val="000000" w:themeColor="text1"/>
          <w:lang w:val="pl"/>
        </w:rPr>
        <w:t> </w:t>
      </w:r>
      <w:r>
        <w:rPr>
          <w:rFonts w:asciiTheme="minorHAnsi" w:hAnsiTheme="minorHAnsi" w:cstheme="minorHAnsi"/>
          <w:color w:val="000000" w:themeColor="text1"/>
          <w:lang w:val="pl"/>
        </w:rPr>
        <w:t>ustawa o Straży Granicznej zostały poddane tym samym zmianom ustawowym dotyczącym niektórych przepisów odnoszących się do prowadzenia postępowań dyscyplinarnych. Minister Spraw Wewnętrznych wydał w tej sprawie dwa rozporządzenia. W znowelizowanej ustawie o Policji przewidziano dalsze doprecyzowanie obowiązków dotyczących prowadzenia postępowań dyscyplinarnych w</w:t>
      </w:r>
      <w:r w:rsidR="004665EB">
        <w:rPr>
          <w:rFonts w:asciiTheme="minorHAnsi" w:hAnsiTheme="minorHAnsi" w:cstheme="minorHAnsi"/>
          <w:color w:val="000000" w:themeColor="text1"/>
          <w:lang w:val="pl"/>
        </w:rPr>
        <w:t> </w:t>
      </w:r>
      <w:r>
        <w:rPr>
          <w:rFonts w:asciiTheme="minorHAnsi" w:hAnsiTheme="minorHAnsi" w:cstheme="minorHAnsi"/>
          <w:color w:val="000000" w:themeColor="text1"/>
          <w:lang w:val="pl"/>
        </w:rPr>
        <w:t>Policji. GRECO uważa, że w pełni zastosowano się do obu części tego zalecenia.</w:t>
      </w:r>
    </w:p>
    <w:p w14:paraId="25E4FB56" w14:textId="77777777" w:rsidR="00FB36FC" w:rsidRPr="004665EB" w:rsidRDefault="00FB36FC" w:rsidP="007C3F6F">
      <w:pPr>
        <w:pStyle w:val="question"/>
        <w:numPr>
          <w:ilvl w:val="0"/>
          <w:numId w:val="0"/>
        </w:numPr>
        <w:contextualSpacing/>
        <w:rPr>
          <w:rFonts w:asciiTheme="minorHAnsi" w:hAnsiTheme="minorHAnsi" w:cstheme="minorHAnsi"/>
          <w:szCs w:val="24"/>
          <w:lang w:val="pl-PL"/>
        </w:rPr>
      </w:pPr>
    </w:p>
    <w:p w14:paraId="53797EAF" w14:textId="7D38D515" w:rsidR="004D6EC0" w:rsidRPr="004665EB" w:rsidRDefault="00C46308" w:rsidP="004A1479">
      <w:pPr>
        <w:pStyle w:val="question"/>
        <w:numPr>
          <w:ilvl w:val="0"/>
          <w:numId w:val="14"/>
        </w:numPr>
        <w:tabs>
          <w:tab w:val="left" w:pos="567"/>
        </w:tabs>
        <w:contextualSpacing/>
        <w:rPr>
          <w:rFonts w:asciiTheme="minorHAnsi" w:hAnsiTheme="minorHAnsi" w:cstheme="minorHAnsi"/>
          <w:i/>
          <w:lang w:val="pl-PL"/>
        </w:rPr>
      </w:pPr>
      <w:r>
        <w:rPr>
          <w:rFonts w:asciiTheme="minorHAnsi" w:hAnsiTheme="minorHAnsi" w:cstheme="minorHAnsi"/>
          <w:szCs w:val="24"/>
          <w:u w:val="single"/>
          <w:lang w:val="pl"/>
        </w:rPr>
        <w:t>GRECO stwierdza, że zalecenie (xx) zostało wdrożone w sposób zadowalający.</w:t>
      </w:r>
    </w:p>
    <w:p w14:paraId="74DE57D9" w14:textId="77777777" w:rsidR="007C3F6F" w:rsidRPr="004665EB" w:rsidRDefault="007C3F6F" w:rsidP="007C3F6F">
      <w:pPr>
        <w:pStyle w:val="question"/>
        <w:numPr>
          <w:ilvl w:val="0"/>
          <w:numId w:val="0"/>
        </w:numPr>
        <w:tabs>
          <w:tab w:val="left" w:pos="567"/>
        </w:tabs>
        <w:contextualSpacing/>
        <w:rPr>
          <w:rFonts w:asciiTheme="minorHAnsi" w:hAnsiTheme="minorHAnsi" w:cstheme="minorHAnsi"/>
          <w:i/>
          <w:lang w:val="pl-PL"/>
        </w:rPr>
      </w:pPr>
    </w:p>
    <w:p w14:paraId="048D3D8B" w14:textId="08D6C985" w:rsidR="004D6EC0" w:rsidRPr="00E608CB" w:rsidRDefault="004D6EC0" w:rsidP="004D6EC0">
      <w:pPr>
        <w:tabs>
          <w:tab w:val="left" w:pos="567"/>
        </w:tabs>
        <w:contextualSpacing/>
        <w:jc w:val="both"/>
        <w:rPr>
          <w:rFonts w:asciiTheme="minorHAnsi" w:hAnsiTheme="minorHAnsi" w:cstheme="minorHAnsi"/>
          <w:b/>
          <w:bCs/>
        </w:rPr>
      </w:pPr>
      <w:r>
        <w:rPr>
          <w:rFonts w:asciiTheme="minorHAnsi" w:hAnsiTheme="minorHAnsi" w:cstheme="minorHAnsi"/>
          <w:lang w:val="pl"/>
        </w:rPr>
        <w:tab/>
      </w:r>
      <w:r>
        <w:rPr>
          <w:rFonts w:asciiTheme="minorHAnsi" w:hAnsiTheme="minorHAnsi" w:cstheme="minorHAnsi"/>
          <w:b/>
          <w:bCs/>
          <w:lang w:val="pl"/>
        </w:rPr>
        <w:t>Zalecenie (xxi)</w:t>
      </w:r>
    </w:p>
    <w:p w14:paraId="397EBD43" w14:textId="77777777" w:rsidR="004D6EC0" w:rsidRPr="00E608CB" w:rsidRDefault="004D6EC0" w:rsidP="004D6EC0">
      <w:pPr>
        <w:pStyle w:val="Akapitzlist"/>
        <w:rPr>
          <w:rFonts w:asciiTheme="minorHAnsi" w:hAnsiTheme="minorHAnsi" w:cstheme="minorHAnsi"/>
          <w:i/>
          <w:sz w:val="24"/>
        </w:rPr>
      </w:pPr>
    </w:p>
    <w:p w14:paraId="056B4E35" w14:textId="5503CB48" w:rsidR="004707F7" w:rsidRPr="004665EB" w:rsidRDefault="00D5388B" w:rsidP="004D6EC0">
      <w:pPr>
        <w:pStyle w:val="question"/>
        <w:numPr>
          <w:ilvl w:val="0"/>
          <w:numId w:val="14"/>
        </w:numPr>
        <w:tabs>
          <w:tab w:val="left" w:pos="567"/>
        </w:tabs>
        <w:contextualSpacing/>
        <w:rPr>
          <w:rFonts w:asciiTheme="minorHAnsi" w:hAnsiTheme="minorHAnsi" w:cstheme="minorHAnsi"/>
          <w:b/>
          <w:szCs w:val="24"/>
          <w:lang w:val="pl-PL"/>
        </w:rPr>
      </w:pPr>
      <w:r>
        <w:rPr>
          <w:rFonts w:asciiTheme="minorHAnsi" w:hAnsiTheme="minorHAnsi" w:cstheme="minorHAnsi"/>
          <w:i/>
          <w:iCs/>
          <w:szCs w:val="24"/>
          <w:lang w:val="pl"/>
        </w:rPr>
        <w:t>GRECO zaleciło ustanowienie przejrzystego procesu ujawniania przestępstw, uchybień i</w:t>
      </w:r>
      <w:r w:rsidR="004665EB">
        <w:rPr>
          <w:rFonts w:asciiTheme="minorHAnsi" w:hAnsiTheme="minorHAnsi" w:cstheme="minorHAnsi"/>
          <w:i/>
          <w:iCs/>
          <w:szCs w:val="24"/>
          <w:lang w:val="pl"/>
        </w:rPr>
        <w:t> </w:t>
      </w:r>
      <w:r>
        <w:rPr>
          <w:rFonts w:asciiTheme="minorHAnsi" w:hAnsiTheme="minorHAnsi" w:cstheme="minorHAnsi"/>
          <w:i/>
          <w:iCs/>
          <w:szCs w:val="24"/>
          <w:lang w:val="pl"/>
        </w:rPr>
        <w:t xml:space="preserve">naruszeń dyscyplinarnych w Policji i Straży Granicznej, wraz z odpowiednimi środkami ochrony przed działaniami odwetowymi </w:t>
      </w:r>
    </w:p>
    <w:p w14:paraId="1AC3DDC9" w14:textId="77777777" w:rsidR="005B3731" w:rsidRPr="004665EB" w:rsidRDefault="005B3731" w:rsidP="00B72625">
      <w:pPr>
        <w:tabs>
          <w:tab w:val="left" w:pos="567"/>
        </w:tabs>
        <w:ind w:left="567"/>
        <w:contextualSpacing/>
        <w:jc w:val="both"/>
        <w:rPr>
          <w:rFonts w:asciiTheme="minorHAnsi" w:hAnsiTheme="minorHAnsi" w:cstheme="minorHAnsi"/>
          <w:lang w:val="pl-PL"/>
        </w:rPr>
      </w:pPr>
    </w:p>
    <w:p w14:paraId="0C3446AC" w14:textId="4920EC54" w:rsidR="00F54F44" w:rsidRPr="004665EB" w:rsidRDefault="00F54F44" w:rsidP="007C3F6F">
      <w:pPr>
        <w:pStyle w:val="question"/>
        <w:numPr>
          <w:ilvl w:val="0"/>
          <w:numId w:val="14"/>
        </w:numPr>
        <w:contextualSpacing/>
        <w:rPr>
          <w:rFonts w:asciiTheme="minorHAnsi" w:hAnsiTheme="minorHAnsi" w:cstheme="minorHAnsi"/>
          <w:lang w:val="pl-PL"/>
        </w:rPr>
      </w:pPr>
      <w:r>
        <w:rPr>
          <w:rFonts w:asciiTheme="minorHAnsi" w:hAnsiTheme="minorHAnsi" w:cstheme="minorHAnsi"/>
          <w:u w:val="single"/>
          <w:lang w:val="pl"/>
        </w:rPr>
        <w:t>GRECO</w:t>
      </w:r>
      <w:r>
        <w:rPr>
          <w:rFonts w:asciiTheme="minorHAnsi" w:hAnsiTheme="minorHAnsi" w:cstheme="minorHAnsi"/>
          <w:lang w:val="pl"/>
        </w:rPr>
        <w:t xml:space="preserve"> przypomina, że zalecenie to nie zostało wdrożone, ponieważ nie ustanowiono jeszcze jednoznacznego procesu ujawniania przestępstw, wykroczeń i naruszeń dyscyplinarnych w Policji i Straży Granicznej.</w:t>
      </w:r>
    </w:p>
    <w:p w14:paraId="4C87E1AA" w14:textId="398F824C" w:rsidR="00F54F44" w:rsidRPr="004665EB" w:rsidRDefault="00F54F44" w:rsidP="00F54F44">
      <w:pPr>
        <w:pStyle w:val="Akapitzlist"/>
        <w:rPr>
          <w:rFonts w:asciiTheme="minorHAnsi" w:hAnsiTheme="minorHAnsi" w:cstheme="minorHAnsi"/>
          <w:u w:val="single"/>
          <w:lang w:val="pl-PL"/>
        </w:rPr>
      </w:pPr>
    </w:p>
    <w:p w14:paraId="65DDACEB" w14:textId="75BB05FC" w:rsidR="001B3ECC" w:rsidRPr="004665EB" w:rsidRDefault="005B3731" w:rsidP="007C3F6F">
      <w:pPr>
        <w:pStyle w:val="question"/>
        <w:numPr>
          <w:ilvl w:val="0"/>
          <w:numId w:val="14"/>
        </w:numPr>
        <w:contextualSpacing/>
        <w:rPr>
          <w:rFonts w:asciiTheme="minorHAnsi" w:hAnsiTheme="minorHAnsi" w:cstheme="minorHAnsi"/>
          <w:lang w:val="pl-PL"/>
        </w:rPr>
      </w:pPr>
      <w:r>
        <w:rPr>
          <w:rFonts w:asciiTheme="minorHAnsi" w:hAnsiTheme="minorHAnsi" w:cstheme="minorHAnsi"/>
          <w:szCs w:val="24"/>
          <w:u w:val="single"/>
          <w:lang w:val="pl"/>
        </w:rPr>
        <w:t>Władze polskie</w:t>
      </w:r>
      <w:r>
        <w:rPr>
          <w:rFonts w:asciiTheme="minorHAnsi" w:hAnsiTheme="minorHAnsi" w:cstheme="minorHAnsi"/>
          <w:szCs w:val="24"/>
          <w:lang w:val="pl"/>
        </w:rPr>
        <w:t xml:space="preserve"> informują, że projekt ustawy o ochronie sygnalistów, mający na celu transpozycję dyrektywy UE 2019/137 z dnia 23 października 2019 r., oczekuje na rozpatrzenie przez parlamentarny Stały Komitet Rady Ministrów. Będzie ono miało zastosowanie do osób fizycznych, które zgłaszają lub ujawniają informacje o</w:t>
      </w:r>
      <w:r w:rsidR="004665EB">
        <w:rPr>
          <w:rFonts w:asciiTheme="minorHAnsi" w:hAnsiTheme="minorHAnsi" w:cstheme="minorHAnsi"/>
          <w:szCs w:val="24"/>
          <w:lang w:val="pl"/>
        </w:rPr>
        <w:t> </w:t>
      </w:r>
      <w:r>
        <w:rPr>
          <w:rFonts w:asciiTheme="minorHAnsi" w:hAnsiTheme="minorHAnsi" w:cstheme="minorHAnsi"/>
          <w:szCs w:val="24"/>
          <w:lang w:val="pl"/>
        </w:rPr>
        <w:t>naruszeniach w środowisku pracy. Rozwiązania zawarte w projekcie ustawy nie będą zmieniały istniejących przepisów mających na celu ochronę sygnalistów (takich jak zasada niedyskryminacji i zasada równego traktowania w zakresie zatrudnienia), przewidzianych w Kodeksie pracy. Ustanowione zostaną kanały sprawozdawczości wewnętrznej i zewnętrznej, wraz z zasadami ich funkcjonowania oraz zasadami upubliczniania informacji.</w:t>
      </w:r>
    </w:p>
    <w:p w14:paraId="15B66847" w14:textId="77777777" w:rsidR="007C3F6F" w:rsidRPr="004665EB" w:rsidRDefault="007C3F6F" w:rsidP="007C3F6F">
      <w:pPr>
        <w:pStyle w:val="question"/>
        <w:numPr>
          <w:ilvl w:val="0"/>
          <w:numId w:val="0"/>
        </w:numPr>
        <w:contextualSpacing/>
        <w:rPr>
          <w:rFonts w:asciiTheme="minorHAnsi" w:hAnsiTheme="minorHAnsi" w:cstheme="minorHAnsi"/>
          <w:lang w:val="pl-PL"/>
        </w:rPr>
      </w:pPr>
    </w:p>
    <w:p w14:paraId="74AF0F35" w14:textId="0570455F" w:rsidR="00CB3655" w:rsidRPr="004665EB" w:rsidRDefault="00C46308" w:rsidP="00906ABA">
      <w:pPr>
        <w:pStyle w:val="question"/>
        <w:numPr>
          <w:ilvl w:val="0"/>
          <w:numId w:val="14"/>
        </w:numPr>
        <w:tabs>
          <w:tab w:val="left" w:pos="567"/>
        </w:tabs>
        <w:contextualSpacing/>
        <w:rPr>
          <w:rFonts w:asciiTheme="minorHAnsi" w:hAnsiTheme="minorHAnsi" w:cstheme="minorHAnsi"/>
          <w:b/>
          <w:iCs/>
          <w:szCs w:val="24"/>
          <w:lang w:val="pl-PL"/>
        </w:rPr>
      </w:pPr>
      <w:r>
        <w:rPr>
          <w:rFonts w:asciiTheme="minorHAnsi" w:hAnsiTheme="minorHAnsi" w:cstheme="minorHAnsi"/>
          <w:szCs w:val="24"/>
          <w:u w:val="single"/>
          <w:lang w:val="pl"/>
        </w:rPr>
        <w:lastRenderedPageBreak/>
        <w:t>GRECO</w:t>
      </w:r>
      <w:r>
        <w:rPr>
          <w:rFonts w:asciiTheme="minorHAnsi" w:hAnsiTheme="minorHAnsi" w:cstheme="minorHAnsi"/>
          <w:szCs w:val="24"/>
          <w:lang w:val="pl"/>
        </w:rPr>
        <w:t xml:space="preserve"> przyjmuje do wiadomości, że projekt ustawy o ochronie sygnalistów jest przedmiotem konsultacji parlamentarnych. Niemniej do czasu przyjęcia projektu ustawy przez polski parlament, a także wprowadzenia odpowiedniego systemu zgłaszania podejrzeń, ustanowienia kanałów zgłaszania i zapewnienia środków ochronnych wobec sygnalistów w Policji i Straży Granicznej, GRECO nie może uznać, że zastosowano się do tego zalecenia, choćby częściowo.</w:t>
      </w:r>
    </w:p>
    <w:p w14:paraId="6FA4B9E4" w14:textId="44F7E65D" w:rsidR="004D6EC0" w:rsidRPr="004665EB" w:rsidRDefault="004D6EC0" w:rsidP="00CB3655">
      <w:pPr>
        <w:pStyle w:val="question"/>
        <w:numPr>
          <w:ilvl w:val="0"/>
          <w:numId w:val="0"/>
        </w:numPr>
        <w:tabs>
          <w:tab w:val="left" w:pos="567"/>
        </w:tabs>
        <w:contextualSpacing/>
        <w:rPr>
          <w:rFonts w:asciiTheme="minorHAnsi" w:hAnsiTheme="minorHAnsi" w:cstheme="minorHAnsi"/>
          <w:szCs w:val="24"/>
          <w:lang w:val="pl-PL"/>
        </w:rPr>
      </w:pPr>
    </w:p>
    <w:p w14:paraId="0ECA89DE" w14:textId="6630F905" w:rsidR="004707F7" w:rsidRPr="004665EB" w:rsidRDefault="00C46308" w:rsidP="00B72625">
      <w:pPr>
        <w:pStyle w:val="question"/>
        <w:numPr>
          <w:ilvl w:val="0"/>
          <w:numId w:val="14"/>
        </w:numPr>
        <w:tabs>
          <w:tab w:val="left" w:pos="567"/>
        </w:tabs>
        <w:contextualSpacing/>
        <w:rPr>
          <w:rFonts w:asciiTheme="minorHAnsi" w:hAnsiTheme="minorHAnsi" w:cstheme="minorHAnsi"/>
          <w:b/>
          <w:szCs w:val="24"/>
          <w:lang w:val="pl-PL"/>
        </w:rPr>
      </w:pPr>
      <w:r>
        <w:rPr>
          <w:rFonts w:asciiTheme="minorHAnsi" w:hAnsiTheme="minorHAnsi" w:cstheme="minorHAnsi"/>
          <w:szCs w:val="24"/>
          <w:u w:val="single"/>
          <w:lang w:val="pl"/>
        </w:rPr>
        <w:t>GRECO stwierdza, że zalecenie xxi nie zostało wdrożone.</w:t>
      </w:r>
      <w:r>
        <w:rPr>
          <w:rFonts w:asciiTheme="minorHAnsi" w:hAnsiTheme="minorHAnsi" w:cstheme="minorHAnsi"/>
          <w:szCs w:val="24"/>
          <w:lang w:val="pl"/>
        </w:rPr>
        <w:t xml:space="preserve"> </w:t>
      </w:r>
    </w:p>
    <w:p w14:paraId="41F0052C" w14:textId="77777777" w:rsidR="005B3731" w:rsidRPr="004665EB" w:rsidRDefault="005B3731" w:rsidP="005B3731">
      <w:pPr>
        <w:pStyle w:val="question"/>
        <w:numPr>
          <w:ilvl w:val="0"/>
          <w:numId w:val="0"/>
        </w:numPr>
        <w:tabs>
          <w:tab w:val="left" w:pos="567"/>
        </w:tabs>
        <w:contextualSpacing/>
        <w:rPr>
          <w:rFonts w:asciiTheme="minorHAnsi" w:hAnsiTheme="minorHAnsi" w:cstheme="minorHAnsi"/>
          <w:b/>
          <w:szCs w:val="24"/>
          <w:lang w:val="pl-PL"/>
        </w:rPr>
      </w:pPr>
    </w:p>
    <w:p w14:paraId="0B17B410" w14:textId="5BD3A90B" w:rsidR="00787268" w:rsidRPr="00E608CB" w:rsidRDefault="00787268" w:rsidP="002126D2">
      <w:pPr>
        <w:tabs>
          <w:tab w:val="left" w:pos="567"/>
        </w:tabs>
        <w:contextualSpacing/>
        <w:jc w:val="both"/>
        <w:rPr>
          <w:rFonts w:asciiTheme="minorHAnsi" w:hAnsiTheme="minorHAnsi" w:cstheme="minorHAnsi"/>
          <w:b/>
        </w:rPr>
      </w:pPr>
      <w:r>
        <w:rPr>
          <w:rFonts w:asciiTheme="minorHAnsi" w:hAnsiTheme="minorHAnsi" w:cstheme="minorHAnsi"/>
          <w:b/>
          <w:bCs/>
          <w:lang w:val="pl"/>
        </w:rPr>
        <w:t>III.</w:t>
      </w:r>
      <w:r>
        <w:rPr>
          <w:rFonts w:asciiTheme="minorHAnsi" w:hAnsiTheme="minorHAnsi" w:cstheme="minorHAnsi"/>
          <w:b/>
          <w:bCs/>
          <w:lang w:val="pl"/>
        </w:rPr>
        <w:tab/>
      </w:r>
      <w:r>
        <w:rPr>
          <w:rFonts w:asciiTheme="minorHAnsi" w:hAnsiTheme="minorHAnsi" w:cstheme="minorHAnsi"/>
          <w:b/>
          <w:bCs/>
          <w:u w:val="single"/>
          <w:lang w:val="pl"/>
        </w:rPr>
        <w:t xml:space="preserve">WNIOSKI </w:t>
      </w:r>
    </w:p>
    <w:p w14:paraId="276375F2" w14:textId="77777777" w:rsidR="00787268" w:rsidRPr="00E608CB" w:rsidRDefault="00787268" w:rsidP="002126D2">
      <w:pPr>
        <w:tabs>
          <w:tab w:val="left" w:pos="567"/>
        </w:tabs>
        <w:contextualSpacing/>
        <w:jc w:val="both"/>
        <w:rPr>
          <w:rFonts w:asciiTheme="minorHAnsi" w:hAnsiTheme="minorHAnsi" w:cstheme="minorHAnsi"/>
        </w:rPr>
      </w:pPr>
    </w:p>
    <w:p w14:paraId="5E9CF21A" w14:textId="79F47572" w:rsidR="0041571F" w:rsidRPr="004665EB" w:rsidRDefault="0093144C" w:rsidP="0041571F">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b/>
          <w:bCs/>
          <w:szCs w:val="24"/>
          <w:lang w:val="pl"/>
        </w:rPr>
        <w:t xml:space="preserve">W świetle powyższego GRECO stwierdza, że Polska wdrożyła w zadowalający sposób dwa z dwudziestu jeden zaleceń zawartych w raporcie ewaluacyjnym z piątej rundy. </w:t>
      </w:r>
      <w:r>
        <w:rPr>
          <w:rFonts w:asciiTheme="minorHAnsi" w:hAnsiTheme="minorHAnsi" w:cstheme="minorHAnsi"/>
          <w:szCs w:val="24"/>
          <w:lang w:val="pl"/>
        </w:rPr>
        <w:t xml:space="preserve">Cztery zalecenia zostały częściowo wdrożone, a piętnaście zaleceń nie zostało wdrożonych. Ściślej, zalecenia (xvii) i (xx) zostały wdrożone w sposób zadowalający lub uwzględnione w zadowalający sposób, zalecenia (ii), (ix), (xiv) i (xv) zostały częściowo wdrożone, a zalecenia (i), (iii)–(viii), (x)–(xiii), (xvi), (xviii), (xix) i (xxi) nie zostały wdrożone. </w:t>
      </w:r>
    </w:p>
    <w:p w14:paraId="23038057" w14:textId="77777777" w:rsidR="0041571F" w:rsidRPr="004665EB" w:rsidRDefault="0041571F" w:rsidP="0041571F">
      <w:pPr>
        <w:pStyle w:val="question"/>
        <w:numPr>
          <w:ilvl w:val="0"/>
          <w:numId w:val="0"/>
        </w:numPr>
        <w:ind w:left="567"/>
        <w:contextualSpacing/>
        <w:rPr>
          <w:rFonts w:asciiTheme="minorHAnsi" w:hAnsiTheme="minorHAnsi" w:cstheme="minorHAnsi"/>
          <w:szCs w:val="24"/>
          <w:lang w:val="pl-PL"/>
        </w:rPr>
      </w:pPr>
    </w:p>
    <w:p w14:paraId="1D4E8131" w14:textId="76985C4F" w:rsidR="0041571F" w:rsidRPr="004665EB" w:rsidRDefault="00F864F7" w:rsidP="00AF2EBC">
      <w:pPr>
        <w:pStyle w:val="question"/>
        <w:numPr>
          <w:ilvl w:val="0"/>
          <w:numId w:val="14"/>
        </w:numPr>
        <w:tabs>
          <w:tab w:val="left" w:pos="567"/>
        </w:tabs>
        <w:ind w:left="562" w:hanging="562"/>
        <w:contextualSpacing/>
        <w:rPr>
          <w:rFonts w:asciiTheme="minorHAnsi" w:hAnsiTheme="minorHAnsi" w:cstheme="minorHAnsi"/>
          <w:szCs w:val="24"/>
          <w:lang w:val="pl-PL"/>
        </w:rPr>
      </w:pPr>
      <w:r>
        <w:rPr>
          <w:rFonts w:asciiTheme="minorHAnsi" w:hAnsiTheme="minorHAnsi" w:cstheme="minorHAnsi"/>
          <w:szCs w:val="24"/>
          <w:lang w:val="pl"/>
        </w:rPr>
        <w:t>Jeśli chodzi o osoby pełniące najwyższe funkcje wykonawcze, sytuacja pozostała w</w:t>
      </w:r>
      <w:r w:rsidR="004665EB">
        <w:rPr>
          <w:rFonts w:asciiTheme="minorHAnsi" w:hAnsiTheme="minorHAnsi" w:cstheme="minorHAnsi"/>
          <w:szCs w:val="24"/>
          <w:lang w:val="pl"/>
        </w:rPr>
        <w:t> </w:t>
      </w:r>
      <w:r>
        <w:rPr>
          <w:rFonts w:asciiTheme="minorHAnsi" w:hAnsiTheme="minorHAnsi" w:cstheme="minorHAnsi"/>
          <w:szCs w:val="24"/>
          <w:lang w:val="pl"/>
        </w:rPr>
        <w:t>zasadniczej mierze taka sama, jak opisana w raporcie zgodności. Władze zadeklarowały pewne zamiary wdrożenia ograniczonej liczby zaleceń, które dotychczas nie przełożyły się jednak na konkretne działania. Władze zamierzają opublikować poradnik antykorupcyjny, który będzie zawierał wskazówki i konkretne przykłady dotyczące niektórych zasad etyki; planują wprowadzić moduł e-szkolenia i opracować specjalne poufne doradztwo dla PTEF, a także dążą do przyjęcia środków z myślą o</w:t>
      </w:r>
      <w:r w:rsidR="004665EB">
        <w:rPr>
          <w:rFonts w:asciiTheme="minorHAnsi" w:hAnsiTheme="minorHAnsi" w:cstheme="minorHAnsi"/>
          <w:szCs w:val="24"/>
          <w:lang w:val="pl"/>
        </w:rPr>
        <w:t> </w:t>
      </w:r>
      <w:r>
        <w:rPr>
          <w:rFonts w:asciiTheme="minorHAnsi" w:hAnsiTheme="minorHAnsi" w:cstheme="minorHAnsi"/>
          <w:szCs w:val="24"/>
          <w:lang w:val="pl"/>
        </w:rPr>
        <w:t>zreformowaniu systemu oświadczeń majątkowych. Niemniej nie odnotowano żadnych zauważalnych postępów we wdrażaniu zaległych zaleceń, a władze powtórzyły swoje oświadczenia przedstawione w raporcie zgodności. W związku z tym GRECO wzywa władze do podjęcia konkretnych działań, aby uwzględnić jego zalecenia i leżące u ich postaw obawy opisane w raporcie ewaluacyjnym.</w:t>
      </w:r>
    </w:p>
    <w:p w14:paraId="5D799683" w14:textId="77777777" w:rsidR="005E0780" w:rsidRPr="004665EB" w:rsidRDefault="005E0780" w:rsidP="0041571F">
      <w:pPr>
        <w:pStyle w:val="Akapitzlist"/>
        <w:rPr>
          <w:rFonts w:asciiTheme="minorHAnsi" w:hAnsiTheme="minorHAnsi" w:cstheme="minorHAnsi"/>
          <w:sz w:val="24"/>
          <w:lang w:val="pl-PL"/>
        </w:rPr>
      </w:pPr>
    </w:p>
    <w:p w14:paraId="39E12DBA" w14:textId="5BBE0698" w:rsidR="007C3F6F" w:rsidRPr="004665EB" w:rsidRDefault="007C3F6F" w:rsidP="007C3F6F">
      <w:pPr>
        <w:pStyle w:val="question"/>
        <w:numPr>
          <w:ilvl w:val="0"/>
          <w:numId w:val="14"/>
        </w:numPr>
        <w:tabs>
          <w:tab w:val="left" w:pos="567"/>
        </w:tabs>
        <w:autoSpaceDE w:val="0"/>
        <w:autoSpaceDN w:val="0"/>
        <w:adjustRightInd w:val="0"/>
        <w:contextualSpacing/>
        <w:rPr>
          <w:rFonts w:asciiTheme="minorHAnsi" w:hAnsiTheme="minorHAnsi" w:cstheme="minorHAnsi"/>
          <w:color w:val="000000"/>
          <w:szCs w:val="24"/>
          <w:lang w:val="pl-PL"/>
        </w:rPr>
      </w:pPr>
      <w:r>
        <w:rPr>
          <w:rFonts w:asciiTheme="minorHAnsi" w:hAnsiTheme="minorHAnsi" w:cstheme="minorHAnsi"/>
          <w:szCs w:val="24"/>
          <w:lang w:val="pl"/>
        </w:rPr>
        <w:t>W odniesieniu do organów ścigania (Policji i Straży Granicznej) władze poczyniły pewne widoczne postępy we wdrażaniu odpowiednich zaleceń. Wprowadzono szereg środków mających na celu identyfikację ryzyka korupcji i obszarów podatnych na korupcję w</w:t>
      </w:r>
      <w:r w:rsidR="004665EB">
        <w:rPr>
          <w:rFonts w:asciiTheme="minorHAnsi" w:hAnsiTheme="minorHAnsi" w:cstheme="minorHAnsi"/>
          <w:szCs w:val="24"/>
          <w:lang w:val="pl"/>
        </w:rPr>
        <w:t> </w:t>
      </w:r>
      <w:r>
        <w:rPr>
          <w:rFonts w:asciiTheme="minorHAnsi" w:hAnsiTheme="minorHAnsi" w:cstheme="minorHAnsi"/>
          <w:szCs w:val="24"/>
          <w:lang w:val="pl"/>
        </w:rPr>
        <w:t>Straży Granicznej, powołano poufnych doradców w Policji, oczekuje się przyjęcia zmienionych zasad postępowania dla Policji i Straży Granicznej, doprecyzowano obowiązki organów zajmujących się uczciwością i nadzorem nad Policją i Strażą Graniczną, a także obowiązki organów zaangażowanych w prowadzenie postępowań dyscyplinarnych w Policji. Niezależnie od tego, należy podjąć bardziej zdecydowane działania w wielu innych obszarach, takich jak opracowanie systemu zezwoleń na działalność dodatkową, wprowadzenie solidnego systemu weryfikacji oświadczeń majątkowych i deklaracji o braku konfliktu interesów, przyjęcie i wdrożenie projektu ustawy o ochronie sygnalistów oraz, co najważniejsze, mianowanie, awansowanie i</w:t>
      </w:r>
      <w:r w:rsidR="004665EB">
        <w:rPr>
          <w:rFonts w:asciiTheme="minorHAnsi" w:hAnsiTheme="minorHAnsi" w:cstheme="minorHAnsi"/>
          <w:szCs w:val="24"/>
          <w:lang w:val="pl"/>
        </w:rPr>
        <w:t> </w:t>
      </w:r>
      <w:r>
        <w:rPr>
          <w:rFonts w:asciiTheme="minorHAnsi" w:hAnsiTheme="minorHAnsi" w:cstheme="minorHAnsi"/>
          <w:szCs w:val="24"/>
          <w:lang w:val="pl"/>
        </w:rPr>
        <w:t>odwoływanie wszystkich pracowników kadry kierowniczej wyższego szczebla w Policji i</w:t>
      </w:r>
      <w:r w:rsidR="004665EB">
        <w:rPr>
          <w:rFonts w:asciiTheme="minorHAnsi" w:hAnsiTheme="minorHAnsi" w:cstheme="minorHAnsi"/>
          <w:szCs w:val="24"/>
          <w:lang w:val="pl"/>
        </w:rPr>
        <w:t> </w:t>
      </w:r>
      <w:r>
        <w:rPr>
          <w:rFonts w:asciiTheme="minorHAnsi" w:hAnsiTheme="minorHAnsi" w:cstheme="minorHAnsi"/>
          <w:szCs w:val="24"/>
          <w:lang w:val="pl"/>
        </w:rPr>
        <w:t>Straży Granicznej na podstawie obiektywnych kryteriów, odpowiedniej weryfikacji oraz formalnego, konkurencyjnego i przejrzystego procesu.</w:t>
      </w:r>
    </w:p>
    <w:p w14:paraId="28CBF4BE" w14:textId="69217734" w:rsidR="0041571F" w:rsidRPr="004665EB" w:rsidRDefault="0041571F" w:rsidP="0041571F">
      <w:pPr>
        <w:pStyle w:val="question"/>
        <w:numPr>
          <w:ilvl w:val="0"/>
          <w:numId w:val="0"/>
        </w:numPr>
        <w:ind w:left="567"/>
        <w:contextualSpacing/>
        <w:rPr>
          <w:rFonts w:asciiTheme="minorHAnsi" w:hAnsiTheme="minorHAnsi" w:cstheme="minorHAnsi"/>
          <w:szCs w:val="24"/>
          <w:lang w:val="pl-PL"/>
        </w:rPr>
      </w:pPr>
    </w:p>
    <w:p w14:paraId="46CBE9A4" w14:textId="0D185B47" w:rsidR="00A44879" w:rsidRPr="004665EB" w:rsidRDefault="00A44879" w:rsidP="00A44879">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 xml:space="preserve">W związku z powyższym GRECO stwierdza, że Polska </w:t>
      </w:r>
      <w:r>
        <w:rPr>
          <w:rFonts w:asciiTheme="minorHAnsi" w:hAnsiTheme="minorHAnsi" w:cstheme="minorHAnsi"/>
          <w:szCs w:val="24"/>
          <w:u w:val="single"/>
          <w:lang w:val="pl"/>
        </w:rPr>
        <w:t>nie stosuje się w wystarczającym stopniu</w:t>
      </w:r>
      <w:r>
        <w:rPr>
          <w:rFonts w:asciiTheme="minorHAnsi" w:hAnsiTheme="minorHAnsi" w:cstheme="minorHAnsi"/>
          <w:szCs w:val="24"/>
          <w:lang w:val="pl"/>
        </w:rPr>
        <w:t xml:space="preserve"> do zaleceń zawartych w raporcie z piątej rundy oceny w rozumieniu zmienionego art. 31 bis ust. 10 Regulaminu. GRECO postanawia zatem zastosować zmieniony art. 32 ust. 2 pkt (i) i zwraca się do szefa delegacji Polski o przedstawienie sprawozdania z postępów we wdrażaniu zaległych zaleceń (tj. zaleceń (i)–(xvi) oraz (xviii)–(xxi)) tak szybko, jak to możliwe, lecz najpóźniej do 30 czerwca 2024 r.</w:t>
      </w:r>
    </w:p>
    <w:p w14:paraId="71018E90" w14:textId="77777777" w:rsidR="0041571F" w:rsidRPr="004665EB" w:rsidRDefault="0041571F" w:rsidP="0041571F">
      <w:pPr>
        <w:pStyle w:val="Akapitzlist"/>
        <w:rPr>
          <w:rFonts w:asciiTheme="minorHAnsi" w:hAnsiTheme="minorHAnsi" w:cstheme="minorHAnsi"/>
          <w:sz w:val="24"/>
          <w:lang w:val="pl-PL"/>
        </w:rPr>
      </w:pPr>
    </w:p>
    <w:p w14:paraId="0D61D4D1" w14:textId="732005DD" w:rsidR="005B57B6" w:rsidRPr="004665EB" w:rsidRDefault="0041571F" w:rsidP="00A64EB2">
      <w:pPr>
        <w:pStyle w:val="question"/>
        <w:numPr>
          <w:ilvl w:val="0"/>
          <w:numId w:val="14"/>
        </w:numPr>
        <w:tabs>
          <w:tab w:val="left" w:pos="567"/>
        </w:tabs>
        <w:contextualSpacing/>
        <w:rPr>
          <w:rFonts w:asciiTheme="minorHAnsi" w:hAnsiTheme="minorHAnsi" w:cstheme="minorHAnsi"/>
          <w:szCs w:val="24"/>
          <w:lang w:val="pl-PL"/>
        </w:rPr>
      </w:pPr>
      <w:r>
        <w:rPr>
          <w:rFonts w:asciiTheme="minorHAnsi" w:hAnsiTheme="minorHAnsi" w:cstheme="minorHAnsi"/>
          <w:szCs w:val="24"/>
          <w:lang w:val="pl"/>
        </w:rPr>
        <w:t>Na koniec GRECO zwraca się do władz Polski o jak najszybsze zezwolenie na publikację raportu, przetłumaczenie go na język narodowy i upublicznienie tłumaczenia.</w:t>
      </w:r>
      <w:bookmarkEnd w:id="0"/>
    </w:p>
    <w:sectPr w:rsidR="005B57B6" w:rsidRPr="004665EB" w:rsidSect="002126D2">
      <w:footerReference w:type="even" r:id="rId16"/>
      <w:footerReference w:type="default" r:id="rId17"/>
      <w:footerReference w:type="first" r:id="rId18"/>
      <w:pgSz w:w="11907" w:h="16840"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0CD6" w14:textId="77777777" w:rsidR="00634339" w:rsidRDefault="00634339" w:rsidP="00C95296">
      <w:r>
        <w:separator/>
      </w:r>
    </w:p>
  </w:endnote>
  <w:endnote w:type="continuationSeparator" w:id="0">
    <w:p w14:paraId="03A22DE7" w14:textId="77777777" w:rsidR="00634339" w:rsidRDefault="00634339" w:rsidP="00C9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Yu Gothic"/>
    <w:charset w:val="80"/>
    <w:family w:val="roman"/>
    <w:pitch w:val="variable"/>
    <w:sig w:usb0="00000001" w:usb1="08070000" w:usb2="00000010" w:usb3="00000000" w:csb0="00020000" w:csb1="00000000"/>
  </w:font>
  <w:font w:name="Lohit Hindi">
    <w:altName w:val="MS Mincho"/>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21777"/>
      <w:docPartObj>
        <w:docPartGallery w:val="Page Numbers (Bottom of Page)"/>
        <w:docPartUnique/>
      </w:docPartObj>
    </w:sdtPr>
    <w:sdtEndPr>
      <w:rPr>
        <w:noProof/>
        <w:sz w:val="24"/>
      </w:rPr>
    </w:sdtEndPr>
    <w:sdtContent>
      <w:p w14:paraId="6BC79D7A" w14:textId="77777777" w:rsidR="005E03C2" w:rsidRPr="00B73A4E" w:rsidRDefault="005E03C2">
        <w:pPr>
          <w:pStyle w:val="Stopka"/>
          <w:jc w:val="center"/>
          <w:rPr>
            <w:sz w:val="24"/>
          </w:rPr>
        </w:pPr>
        <w:r>
          <w:rPr>
            <w:sz w:val="24"/>
            <w:lang w:val="pl"/>
          </w:rPr>
          <w:fldChar w:fldCharType="begin"/>
        </w:r>
        <w:r>
          <w:rPr>
            <w:sz w:val="24"/>
            <w:lang w:val="pl"/>
          </w:rPr>
          <w:instrText xml:space="preserve"> PAGE   \* MERGEFORMAT </w:instrText>
        </w:r>
        <w:r>
          <w:rPr>
            <w:sz w:val="24"/>
            <w:lang w:val="pl"/>
          </w:rPr>
          <w:fldChar w:fldCharType="separate"/>
        </w:r>
        <w:r>
          <w:rPr>
            <w:noProof/>
            <w:sz w:val="24"/>
            <w:lang w:val="pl"/>
          </w:rPr>
          <w:t>32</w:t>
        </w:r>
        <w:r>
          <w:rPr>
            <w:noProof/>
            <w:sz w:val="24"/>
            <w:lang w:val="pl"/>
          </w:rPr>
          <w:fldChar w:fldCharType="end"/>
        </w:r>
      </w:p>
    </w:sdtContent>
  </w:sdt>
  <w:p w14:paraId="63F1544B" w14:textId="77777777" w:rsidR="005E03C2" w:rsidRDefault="005E03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CB0A" w14:textId="77777777" w:rsidR="005E03C2" w:rsidRDefault="005E03C2">
    <w:pPr>
      <w:pStyle w:val="Stopka"/>
      <w:framePr w:wrap="around" w:vAnchor="text" w:hAnchor="margin" w:xAlign="center" w:y="1"/>
      <w:rPr>
        <w:rStyle w:val="Numerstrony"/>
      </w:rPr>
    </w:pPr>
    <w:r>
      <w:rPr>
        <w:rStyle w:val="Numerstrony"/>
        <w:lang w:val="pl"/>
      </w:rPr>
      <w:fldChar w:fldCharType="begin"/>
    </w:r>
    <w:r>
      <w:rPr>
        <w:rStyle w:val="Numerstrony"/>
        <w:lang w:val="pl"/>
      </w:rPr>
      <w:instrText xml:space="preserve">PAGE  </w:instrText>
    </w:r>
    <w:r>
      <w:rPr>
        <w:rStyle w:val="Numerstrony"/>
        <w:lang w:val="pl"/>
      </w:rPr>
      <w:fldChar w:fldCharType="separate"/>
    </w:r>
    <w:r>
      <w:rPr>
        <w:rStyle w:val="Numerstrony"/>
        <w:noProof/>
        <w:lang w:val="pl"/>
      </w:rPr>
      <w:t>9</w:t>
    </w:r>
    <w:r>
      <w:rPr>
        <w:rStyle w:val="Numerstrony"/>
        <w:lang w:val="pl"/>
      </w:rPr>
      <w:fldChar w:fldCharType="end"/>
    </w:r>
  </w:p>
  <w:p w14:paraId="450E1AB8" w14:textId="77777777" w:rsidR="005E03C2" w:rsidRDefault="005E03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819A" w14:textId="77777777" w:rsidR="005E03C2" w:rsidRPr="003229D5" w:rsidRDefault="005E03C2">
    <w:pPr>
      <w:pStyle w:val="Stopka"/>
      <w:framePr w:wrap="around" w:vAnchor="text" w:hAnchor="margin" w:xAlign="center" w:y="1"/>
      <w:rPr>
        <w:rStyle w:val="Numerstrony"/>
        <w:rFonts w:ascii="Verdana" w:hAnsi="Verdana"/>
      </w:rPr>
    </w:pPr>
    <w:r>
      <w:rPr>
        <w:rStyle w:val="Numerstrony"/>
        <w:rFonts w:ascii="Verdana" w:hAnsi="Verdana"/>
        <w:lang w:val="pl"/>
      </w:rPr>
      <w:fldChar w:fldCharType="begin"/>
    </w:r>
    <w:r>
      <w:rPr>
        <w:rStyle w:val="Numerstrony"/>
        <w:rFonts w:ascii="Verdana" w:hAnsi="Verdana"/>
        <w:lang w:val="pl"/>
      </w:rPr>
      <w:instrText xml:space="preserve">PAGE  </w:instrText>
    </w:r>
    <w:r>
      <w:rPr>
        <w:rStyle w:val="Numerstrony"/>
        <w:rFonts w:ascii="Verdana" w:hAnsi="Verdana"/>
        <w:lang w:val="pl"/>
      </w:rPr>
      <w:fldChar w:fldCharType="separate"/>
    </w:r>
    <w:r>
      <w:rPr>
        <w:rStyle w:val="Numerstrony"/>
        <w:rFonts w:ascii="Verdana" w:hAnsi="Verdana"/>
        <w:noProof/>
        <w:lang w:val="pl"/>
      </w:rPr>
      <w:t>6</w:t>
    </w:r>
    <w:r>
      <w:rPr>
        <w:rStyle w:val="Numerstrony"/>
        <w:rFonts w:ascii="Verdana" w:hAnsi="Verdana"/>
        <w:lang w:val="pl"/>
      </w:rPr>
      <w:fldChar w:fldCharType="end"/>
    </w:r>
  </w:p>
  <w:p w14:paraId="6D3EA40B" w14:textId="77777777" w:rsidR="005E03C2" w:rsidRDefault="005E03C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3082"/>
      <w:gridCol w:w="3126"/>
      <w:gridCol w:w="3079"/>
    </w:tblGrid>
    <w:tr w:rsidR="005E03C2" w:rsidRPr="00A74AD8" w14:paraId="5782EC36" w14:textId="77777777">
      <w:tc>
        <w:tcPr>
          <w:tcW w:w="3082" w:type="dxa"/>
          <w:tcBorders>
            <w:top w:val="single" w:sz="4" w:space="0" w:color="auto"/>
          </w:tcBorders>
          <w:vAlign w:val="center"/>
        </w:tcPr>
        <w:p w14:paraId="7C9B5BD4" w14:textId="77777777" w:rsidR="005E03C2" w:rsidRPr="004665EB" w:rsidRDefault="005E03C2" w:rsidP="00EF381D">
          <w:pPr>
            <w:tabs>
              <w:tab w:val="center" w:pos="4320"/>
              <w:tab w:val="right" w:pos="8640"/>
            </w:tabs>
            <w:rPr>
              <w:rFonts w:asciiTheme="minorHAnsi" w:hAnsiTheme="minorHAnsi" w:cstheme="minorHAnsi"/>
              <w:sz w:val="16"/>
              <w:szCs w:val="14"/>
              <w:lang w:val="fr-FR"/>
            </w:rPr>
          </w:pPr>
          <w:r w:rsidRPr="004665EB">
            <w:rPr>
              <w:rFonts w:asciiTheme="minorHAnsi" w:hAnsiTheme="minorHAnsi" w:cstheme="minorHAnsi"/>
              <w:sz w:val="16"/>
              <w:lang w:val="fr-FR"/>
            </w:rPr>
            <w:t>Secrétariat</w:t>
          </w:r>
        </w:p>
        <w:p w14:paraId="6F1ECCA6" w14:textId="77777777" w:rsidR="005E03C2" w:rsidRPr="004665EB" w:rsidRDefault="005E03C2" w:rsidP="00EF381D">
          <w:pPr>
            <w:tabs>
              <w:tab w:val="center" w:pos="4320"/>
              <w:tab w:val="right" w:pos="8640"/>
            </w:tabs>
            <w:rPr>
              <w:rFonts w:asciiTheme="minorHAnsi" w:hAnsiTheme="minorHAnsi" w:cstheme="minorHAnsi"/>
              <w:sz w:val="16"/>
              <w:szCs w:val="14"/>
              <w:lang w:val="fr-FR"/>
            </w:rPr>
          </w:pPr>
          <w:r w:rsidRPr="004665EB">
            <w:rPr>
              <w:rFonts w:asciiTheme="minorHAnsi" w:hAnsiTheme="minorHAnsi" w:cstheme="minorHAnsi"/>
              <w:sz w:val="16"/>
              <w:lang w:val="fr-FR"/>
            </w:rPr>
            <w:t>Conseil de l'Europe</w:t>
          </w:r>
        </w:p>
        <w:p w14:paraId="0B9DE73B" w14:textId="77777777" w:rsidR="005E03C2" w:rsidRPr="004665EB" w:rsidRDefault="00000000" w:rsidP="00EF381D">
          <w:pPr>
            <w:tabs>
              <w:tab w:val="center" w:pos="4320"/>
              <w:tab w:val="right" w:pos="8640"/>
            </w:tabs>
            <w:rPr>
              <w:rFonts w:asciiTheme="minorHAnsi" w:hAnsiTheme="minorHAnsi" w:cstheme="minorHAnsi"/>
              <w:sz w:val="16"/>
              <w:szCs w:val="14"/>
              <w:lang w:val="fr-FR"/>
            </w:rPr>
          </w:pPr>
          <w:hyperlink r:id="rId1">
            <w:r w:rsidR="00743967" w:rsidRPr="004665EB">
              <w:rPr>
                <w:rFonts w:asciiTheme="minorHAnsi" w:hAnsiTheme="minorHAnsi"/>
                <w:color w:val="0000FF"/>
                <w:sz w:val="16"/>
                <w:u w:val="single"/>
                <w:lang w:val="fr-FR"/>
              </w:rPr>
              <w:t>www.coe.int/greco</w:t>
            </w:r>
          </w:hyperlink>
        </w:p>
      </w:tc>
      <w:tc>
        <w:tcPr>
          <w:tcW w:w="3126" w:type="dxa"/>
          <w:tcBorders>
            <w:top w:val="single" w:sz="4" w:space="0" w:color="auto"/>
          </w:tcBorders>
          <w:vAlign w:val="center"/>
        </w:tcPr>
        <w:p w14:paraId="43BC7DB4" w14:textId="77777777" w:rsidR="005E03C2" w:rsidRPr="00A22214" w:rsidRDefault="005E03C2" w:rsidP="00EF381D">
          <w:pPr>
            <w:tabs>
              <w:tab w:val="center" w:pos="4320"/>
              <w:tab w:val="right" w:pos="8640"/>
            </w:tabs>
            <w:ind w:firstLine="39"/>
            <w:jc w:val="center"/>
            <w:rPr>
              <w:rFonts w:asciiTheme="minorHAnsi" w:hAnsiTheme="minorHAnsi" w:cstheme="minorHAnsi"/>
              <w:sz w:val="16"/>
              <w:szCs w:val="14"/>
            </w:rPr>
          </w:pPr>
          <w:r>
            <w:rPr>
              <w:rFonts w:asciiTheme="minorHAnsi" w:hAnsiTheme="minorHAnsi" w:cstheme="minorHAnsi"/>
              <w:sz w:val="16"/>
              <w:lang w:val="pl"/>
            </w:rPr>
            <w:t>F-67075 Strasbourg Cedex</w:t>
          </w:r>
        </w:p>
        <w:p w14:paraId="312F2FDE" w14:textId="77777777" w:rsidR="005E03C2" w:rsidRPr="00A22214" w:rsidRDefault="005E03C2" w:rsidP="00EF381D">
          <w:pPr>
            <w:tabs>
              <w:tab w:val="center" w:pos="4320"/>
              <w:tab w:val="right" w:pos="8640"/>
            </w:tabs>
            <w:ind w:firstLine="39"/>
            <w:jc w:val="center"/>
            <w:rPr>
              <w:rFonts w:asciiTheme="minorHAnsi" w:hAnsiTheme="minorHAnsi" w:cstheme="minorHAnsi"/>
              <w:sz w:val="16"/>
              <w:szCs w:val="14"/>
            </w:rPr>
          </w:pPr>
          <w:r>
            <w:rPr>
              <w:rFonts w:asciiTheme="minorHAnsi" w:hAnsiTheme="minorHAnsi" w:cstheme="minorHAnsi"/>
              <w:sz w:val="16"/>
              <w:szCs w:val="14"/>
              <w:lang w:val="pl"/>
            </w:rPr>
            <w:sym w:font="Wingdings" w:char="F028"/>
          </w:r>
          <w:r>
            <w:rPr>
              <w:rFonts w:asciiTheme="minorHAnsi" w:hAnsiTheme="minorHAnsi" w:cstheme="minorHAnsi"/>
              <w:sz w:val="16"/>
              <w:lang w:val="pl"/>
            </w:rPr>
            <w:t xml:space="preserve"> +33 3 88 41 20 00</w:t>
          </w:r>
        </w:p>
        <w:p w14:paraId="7A4C2A71" w14:textId="77777777" w:rsidR="005E03C2" w:rsidRPr="00A22214" w:rsidRDefault="005E03C2" w:rsidP="00EF381D">
          <w:pPr>
            <w:tabs>
              <w:tab w:val="center" w:pos="4320"/>
              <w:tab w:val="right" w:pos="8640"/>
            </w:tabs>
            <w:ind w:firstLine="39"/>
            <w:jc w:val="center"/>
            <w:rPr>
              <w:rFonts w:asciiTheme="minorHAnsi" w:hAnsiTheme="minorHAnsi" w:cstheme="minorHAnsi"/>
              <w:color w:val="0000FF"/>
              <w:sz w:val="16"/>
              <w:szCs w:val="14"/>
            </w:rPr>
          </w:pPr>
          <w:r>
            <w:rPr>
              <w:rFonts w:asciiTheme="minorHAnsi" w:hAnsiTheme="minorHAnsi" w:cstheme="minorHAnsi"/>
              <w:sz w:val="16"/>
              <w:lang w:val="pl"/>
            </w:rPr>
            <w:t>Faks: +33 3 88 41 39 55</w:t>
          </w:r>
        </w:p>
      </w:tc>
      <w:tc>
        <w:tcPr>
          <w:tcW w:w="3079" w:type="dxa"/>
          <w:tcBorders>
            <w:top w:val="single" w:sz="4" w:space="0" w:color="auto"/>
          </w:tcBorders>
          <w:vAlign w:val="center"/>
        </w:tcPr>
        <w:p w14:paraId="5705263D" w14:textId="77777777" w:rsidR="005E03C2" w:rsidRPr="004665EB" w:rsidRDefault="005E03C2" w:rsidP="00EF381D">
          <w:pPr>
            <w:tabs>
              <w:tab w:val="center" w:pos="4320"/>
              <w:tab w:val="right" w:pos="8640"/>
            </w:tabs>
            <w:jc w:val="right"/>
            <w:rPr>
              <w:rFonts w:asciiTheme="minorHAnsi" w:hAnsiTheme="minorHAnsi" w:cstheme="minorHAnsi"/>
              <w:sz w:val="16"/>
              <w:szCs w:val="14"/>
              <w:lang w:val="fr-FR"/>
            </w:rPr>
          </w:pPr>
          <w:r w:rsidRPr="004665EB">
            <w:rPr>
              <w:rFonts w:asciiTheme="minorHAnsi" w:hAnsiTheme="minorHAnsi" w:cstheme="minorHAnsi"/>
              <w:sz w:val="16"/>
              <w:lang w:val="fr-FR"/>
            </w:rPr>
            <w:t xml:space="preserve">Direction générale I </w:t>
          </w:r>
        </w:p>
        <w:p w14:paraId="7B98CF4B" w14:textId="77777777" w:rsidR="005E03C2" w:rsidRPr="004665EB" w:rsidRDefault="005E03C2" w:rsidP="00EF381D">
          <w:pPr>
            <w:tabs>
              <w:tab w:val="center" w:pos="4320"/>
              <w:tab w:val="right" w:pos="8640"/>
            </w:tabs>
            <w:jc w:val="right"/>
            <w:rPr>
              <w:rFonts w:asciiTheme="minorHAnsi" w:hAnsiTheme="minorHAnsi" w:cstheme="minorHAnsi"/>
              <w:sz w:val="16"/>
              <w:szCs w:val="14"/>
              <w:lang w:val="fr-FR"/>
            </w:rPr>
          </w:pPr>
          <w:r w:rsidRPr="004665EB">
            <w:rPr>
              <w:rFonts w:asciiTheme="minorHAnsi" w:hAnsiTheme="minorHAnsi" w:cstheme="minorHAnsi"/>
              <w:sz w:val="16"/>
              <w:lang w:val="fr-FR"/>
            </w:rPr>
            <w:t>Droits de l'homme et État de droit</w:t>
          </w:r>
        </w:p>
        <w:p w14:paraId="305567FC" w14:textId="77777777" w:rsidR="005E03C2" w:rsidRPr="004665EB" w:rsidRDefault="005E03C2" w:rsidP="00EF381D">
          <w:pPr>
            <w:tabs>
              <w:tab w:val="center" w:pos="4320"/>
              <w:tab w:val="right" w:pos="8640"/>
            </w:tabs>
            <w:jc w:val="right"/>
            <w:rPr>
              <w:rFonts w:asciiTheme="minorHAnsi" w:hAnsiTheme="minorHAnsi" w:cstheme="minorHAnsi"/>
              <w:sz w:val="16"/>
              <w:szCs w:val="14"/>
              <w:lang w:val="fr-FR"/>
            </w:rPr>
          </w:pPr>
          <w:r w:rsidRPr="004665EB">
            <w:rPr>
              <w:rFonts w:asciiTheme="minorHAnsi" w:hAnsiTheme="minorHAnsi" w:cstheme="minorHAnsi"/>
              <w:sz w:val="16"/>
              <w:lang w:val="fr-FR"/>
            </w:rPr>
            <w:t>Direction de la société de l'information et de l'action contre la criminalité</w:t>
          </w:r>
        </w:p>
      </w:tc>
    </w:tr>
  </w:tbl>
  <w:p w14:paraId="54ACC043" w14:textId="77777777" w:rsidR="005E03C2" w:rsidRPr="004665EB" w:rsidRDefault="005E03C2" w:rsidP="00EF381D">
    <w:pPr>
      <w:tabs>
        <w:tab w:val="center" w:pos="4320"/>
        <w:tab w:val="right" w:pos="8640"/>
      </w:tabs>
      <w:rPr>
        <w:rFonts w:asciiTheme="minorHAnsi" w:hAnsiTheme="minorHAnsi" w:cstheme="minorHAnsi"/>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396" w14:textId="77777777" w:rsidR="00634339" w:rsidRDefault="00634339" w:rsidP="00C95296">
      <w:r>
        <w:separator/>
      </w:r>
    </w:p>
  </w:footnote>
  <w:footnote w:type="continuationSeparator" w:id="0">
    <w:p w14:paraId="6D52B313" w14:textId="77777777" w:rsidR="00634339" w:rsidRDefault="00634339" w:rsidP="00C95296">
      <w:r>
        <w:continuationSeparator/>
      </w:r>
    </w:p>
  </w:footnote>
  <w:footnote w:id="1">
    <w:p w14:paraId="7D2DFB3D" w14:textId="0EF88D4B" w:rsidR="005E03C2" w:rsidRPr="004665EB" w:rsidRDefault="005E03C2">
      <w:pPr>
        <w:pStyle w:val="Tekstprzypisudolnego"/>
        <w:rPr>
          <w:rFonts w:asciiTheme="minorHAnsi" w:hAnsiTheme="minorHAnsi" w:cstheme="minorHAnsi"/>
          <w:lang w:val="pl-PL"/>
        </w:rPr>
      </w:pPr>
      <w:r>
        <w:rPr>
          <w:rStyle w:val="Odwoanieprzypisudolnego"/>
          <w:rFonts w:asciiTheme="minorHAnsi" w:hAnsiTheme="minorHAnsi" w:cstheme="minorHAnsi"/>
          <w:lang w:val="pl"/>
        </w:rPr>
        <w:footnoteRef/>
      </w:r>
      <w:r>
        <w:rPr>
          <w:rFonts w:asciiTheme="minorHAnsi" w:hAnsiTheme="minorHAnsi" w:cstheme="minorHAnsi"/>
          <w:lang w:val="pl"/>
        </w:rPr>
        <w:t xml:space="preserve"> Procedurę zgodności z piątej rundy oceny GRECO reguluje zmieniony Regulamin: zmieniony art. 31 bis i</w:t>
      </w:r>
      <w:r w:rsidR="004665EB">
        <w:rPr>
          <w:rFonts w:asciiTheme="minorHAnsi" w:hAnsiTheme="minorHAnsi" w:cstheme="minorHAnsi"/>
          <w:lang w:val="pl"/>
        </w:rPr>
        <w:t> </w:t>
      </w:r>
      <w:r>
        <w:rPr>
          <w:rFonts w:asciiTheme="minorHAnsi" w:hAnsiTheme="minorHAnsi" w:cstheme="minorHAnsi"/>
          <w:lang w:val="pl"/>
        </w:rPr>
        <w:t>zmieniony art. 32.</w:t>
      </w:r>
    </w:p>
  </w:footnote>
  <w:footnote w:id="2">
    <w:p w14:paraId="20F53323" w14:textId="1B701D38" w:rsidR="00FD7242" w:rsidRPr="004665EB" w:rsidRDefault="00FD7242">
      <w:pPr>
        <w:pStyle w:val="Tekstprzypisudolnego"/>
        <w:rPr>
          <w:rFonts w:asciiTheme="minorHAnsi" w:hAnsiTheme="minorHAnsi" w:cstheme="minorHAnsi"/>
          <w:lang w:val="pl-PL"/>
        </w:rPr>
      </w:pPr>
      <w:r>
        <w:rPr>
          <w:rStyle w:val="Odwoanieprzypisudolnego"/>
          <w:rFonts w:asciiTheme="minorHAnsi" w:hAnsiTheme="minorHAnsi" w:cstheme="minorHAnsi"/>
          <w:lang w:val="pl"/>
        </w:rPr>
        <w:footnoteRef/>
      </w:r>
      <w:r>
        <w:rPr>
          <w:rFonts w:asciiTheme="minorHAnsi" w:hAnsiTheme="minorHAnsi" w:cstheme="minorHAnsi"/>
          <w:lang w:val="pl"/>
        </w:rPr>
        <w:t xml:space="preserve"> Najwyższa Izba Kontroli miała dobrze udokumentowane problemy związane z brakiem oceny wpływu na inicjatywy rządowe.</w:t>
      </w:r>
    </w:p>
  </w:footnote>
  <w:footnote w:id="3">
    <w:p w14:paraId="7A423E6D" w14:textId="3CD141C8" w:rsidR="003E7634" w:rsidRPr="004665EB" w:rsidRDefault="003E7634">
      <w:pPr>
        <w:pStyle w:val="Tekstprzypisudolnego"/>
        <w:rPr>
          <w:rFonts w:asciiTheme="minorHAnsi" w:hAnsiTheme="minorHAnsi" w:cstheme="minorHAnsi"/>
          <w:lang w:val="pl-PL"/>
        </w:rPr>
      </w:pPr>
      <w:r>
        <w:rPr>
          <w:rStyle w:val="Odwoanieprzypisudolnego"/>
          <w:rFonts w:asciiTheme="minorHAnsi" w:hAnsiTheme="minorHAnsi" w:cstheme="minorHAnsi"/>
          <w:lang w:val="pl"/>
        </w:rPr>
        <w:footnoteRef/>
      </w:r>
      <w:r>
        <w:rPr>
          <w:rFonts w:asciiTheme="minorHAnsi" w:hAnsiTheme="minorHAnsi" w:cstheme="minorHAnsi"/>
          <w:lang w:val="pl"/>
        </w:rPr>
        <w:t xml:space="preserve"> Władze odniosły się do ograniczeń w prowadzeniu działalności gospodarczej i pełnieniu przez PTEF niektórych funkcji określonych w ustawie z 1997 r. o ograniczeniu prowadzenia działalności gospodarczej przez osoby pełniące funkcje publiczne, do której odniesiono się już w raporcie ewaluacyjnym.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15:restartNumberingAfterBreak="0">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15:restartNumberingAfterBreak="0">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90B8C"/>
    <w:multiLevelType w:val="hybridMultilevel"/>
    <w:tmpl w:val="405EA56A"/>
    <w:lvl w:ilvl="0" w:tplc="05FAC766">
      <w:start w:val="1"/>
      <w:numFmt w:val="decimal"/>
      <w:lvlText w:val="%1."/>
      <w:lvlJc w:val="left"/>
      <w:pPr>
        <w:tabs>
          <w:tab w:val="num" w:pos="567"/>
        </w:tabs>
        <w:ind w:left="567" w:hanging="567"/>
      </w:pPr>
      <w:rPr>
        <w:rFonts w:hint="default"/>
        <w:b w:val="0"/>
        <w:i w:val="0"/>
        <w:color w:val="auto"/>
        <w:lang w:val="en-G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192AC3"/>
    <w:multiLevelType w:val="hybridMultilevel"/>
    <w:tmpl w:val="B544A798"/>
    <w:lvl w:ilvl="0" w:tplc="B066C1A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58F365D"/>
    <w:multiLevelType w:val="multilevel"/>
    <w:tmpl w:val="A4F2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9533B"/>
    <w:multiLevelType w:val="hybridMultilevel"/>
    <w:tmpl w:val="A7A62296"/>
    <w:lvl w:ilvl="0" w:tplc="05FAC766">
      <w:start w:val="1"/>
      <w:numFmt w:val="decimal"/>
      <w:lvlText w:val="%1."/>
      <w:lvlJc w:val="left"/>
      <w:pPr>
        <w:tabs>
          <w:tab w:val="num" w:pos="567"/>
        </w:tabs>
        <w:ind w:left="567" w:hanging="567"/>
      </w:pPr>
      <w:rPr>
        <w:rFonts w:hint="default"/>
        <w:b w:val="0"/>
        <w:i w:val="0"/>
        <w:color w:val="auto"/>
        <w:lang w:val="en-G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F43FE"/>
    <w:multiLevelType w:val="hybridMultilevel"/>
    <w:tmpl w:val="62920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3" w15:restartNumberingAfterBreak="0">
    <w:nsid w:val="414F3EC2"/>
    <w:multiLevelType w:val="hybridMultilevel"/>
    <w:tmpl w:val="5B844876"/>
    <w:lvl w:ilvl="0" w:tplc="514428D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44873045"/>
    <w:multiLevelType w:val="singleLevel"/>
    <w:tmpl w:val="4D74DDF8"/>
    <w:lvl w:ilvl="0">
      <w:start w:val="1"/>
      <w:numFmt w:val="upperRoman"/>
      <w:pStyle w:val="Nagwek9"/>
      <w:lvlText w:val="%1."/>
      <w:lvlJc w:val="left"/>
      <w:pPr>
        <w:tabs>
          <w:tab w:val="num" w:pos="720"/>
        </w:tabs>
        <w:ind w:left="720" w:hanging="720"/>
      </w:pPr>
      <w:rPr>
        <w:rFonts w:cs="Times New Roman" w:hint="default"/>
        <w:u w:val="none"/>
      </w:rPr>
    </w:lvl>
  </w:abstractNum>
  <w:abstractNum w:abstractNumId="15" w15:restartNumberingAfterBreak="0">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B739BC"/>
    <w:multiLevelType w:val="multilevel"/>
    <w:tmpl w:val="23CA440C"/>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0506A4"/>
    <w:multiLevelType w:val="hybridMultilevel"/>
    <w:tmpl w:val="2744E300"/>
    <w:lvl w:ilvl="0" w:tplc="663C7B6A">
      <w:start w:val="4"/>
      <w:numFmt w:val="bullet"/>
      <w:lvlText w:val="-"/>
      <w:lvlJc w:val="left"/>
      <w:pPr>
        <w:ind w:left="927" w:hanging="360"/>
      </w:pPr>
      <w:rPr>
        <w:rFonts w:ascii="Calibri" w:eastAsia="Times New Roman" w:hAnsi="Calibri" w:cs="Calibri"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B6829A4"/>
    <w:multiLevelType w:val="hybridMultilevel"/>
    <w:tmpl w:val="74D8F12A"/>
    <w:lvl w:ilvl="0" w:tplc="755499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ED60A9"/>
    <w:multiLevelType w:val="hybridMultilevel"/>
    <w:tmpl w:val="0BFE75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9E5748"/>
    <w:multiLevelType w:val="hybridMultilevel"/>
    <w:tmpl w:val="191A75C6"/>
    <w:lvl w:ilvl="0" w:tplc="9DE8460A">
      <w:start w:val="1"/>
      <w:numFmt w:val="decimal"/>
      <w:lvlText w:val="%1."/>
      <w:lvlJc w:val="left"/>
      <w:pPr>
        <w:tabs>
          <w:tab w:val="num" w:pos="567"/>
        </w:tabs>
        <w:ind w:left="567" w:hanging="567"/>
      </w:pPr>
      <w:rPr>
        <w:rFonts w:ascii="Calibri" w:hAnsi="Calibri" w:cs="Calibri"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330087"/>
    <w:multiLevelType w:val="hybridMultilevel"/>
    <w:tmpl w:val="E346ADD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62D3756C"/>
    <w:multiLevelType w:val="hybridMultilevel"/>
    <w:tmpl w:val="489E6C66"/>
    <w:lvl w:ilvl="0" w:tplc="1AF2040A">
      <w:start w:val="1"/>
      <w:numFmt w:val="decimal"/>
      <w:lvlText w:val="%1."/>
      <w:lvlJc w:val="left"/>
      <w:pPr>
        <w:ind w:left="2718" w:hanging="360"/>
      </w:pPr>
      <w:rPr>
        <w:b w:val="0"/>
      </w:rPr>
    </w:lvl>
    <w:lvl w:ilvl="1" w:tplc="04150019">
      <w:start w:val="1"/>
      <w:numFmt w:val="lowerLetter"/>
      <w:lvlText w:val="%2."/>
      <w:lvlJc w:val="left"/>
      <w:pPr>
        <w:ind w:left="3438" w:hanging="360"/>
      </w:pPr>
    </w:lvl>
    <w:lvl w:ilvl="2" w:tplc="0415001B">
      <w:start w:val="1"/>
      <w:numFmt w:val="lowerRoman"/>
      <w:lvlText w:val="%3."/>
      <w:lvlJc w:val="right"/>
      <w:pPr>
        <w:ind w:left="4158" w:hanging="180"/>
      </w:pPr>
    </w:lvl>
    <w:lvl w:ilvl="3" w:tplc="0415000F">
      <w:start w:val="1"/>
      <w:numFmt w:val="decimal"/>
      <w:lvlText w:val="%4."/>
      <w:lvlJc w:val="left"/>
      <w:pPr>
        <w:ind w:left="4878" w:hanging="360"/>
      </w:pPr>
    </w:lvl>
    <w:lvl w:ilvl="4" w:tplc="04150019">
      <w:start w:val="1"/>
      <w:numFmt w:val="lowerLetter"/>
      <w:lvlText w:val="%5."/>
      <w:lvlJc w:val="left"/>
      <w:pPr>
        <w:ind w:left="5598" w:hanging="360"/>
      </w:pPr>
    </w:lvl>
    <w:lvl w:ilvl="5" w:tplc="0415001B">
      <w:start w:val="1"/>
      <w:numFmt w:val="lowerRoman"/>
      <w:lvlText w:val="%6."/>
      <w:lvlJc w:val="right"/>
      <w:pPr>
        <w:ind w:left="6318" w:hanging="180"/>
      </w:pPr>
    </w:lvl>
    <w:lvl w:ilvl="6" w:tplc="0415000F">
      <w:start w:val="1"/>
      <w:numFmt w:val="decimal"/>
      <w:lvlText w:val="%7."/>
      <w:lvlJc w:val="left"/>
      <w:pPr>
        <w:ind w:left="7038" w:hanging="360"/>
      </w:pPr>
    </w:lvl>
    <w:lvl w:ilvl="7" w:tplc="04150019">
      <w:start w:val="1"/>
      <w:numFmt w:val="lowerLetter"/>
      <w:lvlText w:val="%8."/>
      <w:lvlJc w:val="left"/>
      <w:pPr>
        <w:ind w:left="7758" w:hanging="360"/>
      </w:pPr>
    </w:lvl>
    <w:lvl w:ilvl="8" w:tplc="0415001B">
      <w:start w:val="1"/>
      <w:numFmt w:val="lowerRoman"/>
      <w:lvlText w:val="%9."/>
      <w:lvlJc w:val="right"/>
      <w:pPr>
        <w:ind w:left="8478" w:hanging="180"/>
      </w:pPr>
    </w:lvl>
  </w:abstractNum>
  <w:abstractNum w:abstractNumId="24" w15:restartNumberingAfterBreak="0">
    <w:nsid w:val="710221EF"/>
    <w:multiLevelType w:val="hybridMultilevel"/>
    <w:tmpl w:val="1A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44F4F"/>
    <w:multiLevelType w:val="hybridMultilevel"/>
    <w:tmpl w:val="887ED11E"/>
    <w:lvl w:ilvl="0" w:tplc="86B094C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2870B2"/>
    <w:multiLevelType w:val="hybridMultilevel"/>
    <w:tmpl w:val="7E8C1DFC"/>
    <w:lvl w:ilvl="0" w:tplc="D2E07800">
      <w:start w:val="97"/>
      <w:numFmt w:val="decimal"/>
      <w:lvlText w:val="%1."/>
      <w:lvlJc w:val="left"/>
      <w:pPr>
        <w:ind w:left="927" w:hanging="360"/>
      </w:pPr>
      <w:rPr>
        <w:rFonts w:hint="default"/>
        <w:i w:val="0"/>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16cid:durableId="1645887512">
    <w:abstractNumId w:val="1"/>
  </w:num>
  <w:num w:numId="2" w16cid:durableId="1281036924">
    <w:abstractNumId w:val="0"/>
  </w:num>
  <w:num w:numId="3" w16cid:durableId="271860220">
    <w:abstractNumId w:val="1"/>
  </w:num>
  <w:num w:numId="4" w16cid:durableId="1104307368">
    <w:abstractNumId w:val="0"/>
  </w:num>
  <w:num w:numId="5" w16cid:durableId="2129471263">
    <w:abstractNumId w:val="1"/>
  </w:num>
  <w:num w:numId="6" w16cid:durableId="1351377117">
    <w:abstractNumId w:val="0"/>
  </w:num>
  <w:num w:numId="7" w16cid:durableId="18090532">
    <w:abstractNumId w:val="14"/>
  </w:num>
  <w:num w:numId="8" w16cid:durableId="1172523885">
    <w:abstractNumId w:val="20"/>
  </w:num>
  <w:num w:numId="9" w16cid:durableId="169759391">
    <w:abstractNumId w:val="5"/>
  </w:num>
  <w:num w:numId="10" w16cid:durableId="1703238131">
    <w:abstractNumId w:val="8"/>
  </w:num>
  <w:num w:numId="11" w16cid:durableId="326325506">
    <w:abstractNumId w:val="27"/>
  </w:num>
  <w:num w:numId="12" w16cid:durableId="1929345023">
    <w:abstractNumId w:val="15"/>
  </w:num>
  <w:num w:numId="13" w16cid:durableId="1524854538">
    <w:abstractNumId w:val="12"/>
  </w:num>
  <w:num w:numId="14" w16cid:durableId="1707215133">
    <w:abstractNumId w:val="21"/>
  </w:num>
  <w:num w:numId="15" w16cid:durableId="1900624573">
    <w:abstractNumId w:val="19"/>
  </w:num>
  <w:num w:numId="16" w16cid:durableId="7761466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029241">
    <w:abstractNumId w:val="12"/>
  </w:num>
  <w:num w:numId="18" w16cid:durableId="1859196831">
    <w:abstractNumId w:val="10"/>
  </w:num>
  <w:num w:numId="19" w16cid:durableId="78645299">
    <w:abstractNumId w:val="6"/>
  </w:num>
  <w:num w:numId="20" w16cid:durableId="1244725471">
    <w:abstractNumId w:val="12"/>
  </w:num>
  <w:num w:numId="21" w16cid:durableId="929585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957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506926">
    <w:abstractNumId w:val="18"/>
  </w:num>
  <w:num w:numId="24" w16cid:durableId="1126509743">
    <w:abstractNumId w:val="11"/>
  </w:num>
  <w:num w:numId="25" w16cid:durableId="303390944">
    <w:abstractNumId w:val="16"/>
    <w:lvlOverride w:ilvl="0">
      <w:lvl w:ilvl="0">
        <w:start w:val="1"/>
        <w:numFmt w:val="decimal"/>
        <w:lvlText w:val="%1)"/>
        <w:lvlJc w:val="left"/>
        <w:pPr>
          <w:ind w:left="720" w:hanging="360"/>
        </w:pPr>
        <w:rPr>
          <w:rFonts w:ascii="Times New Roman" w:hAnsi="Times New Roman" w:cs="Times New Roman" w:hint="default"/>
        </w:rPr>
      </w:lvl>
    </w:lvlOverride>
  </w:num>
  <w:num w:numId="26" w16cid:durableId="818614847">
    <w:abstractNumId w:val="16"/>
    <w:lvlOverride w:ilvl="0">
      <w:startOverride w:val="1"/>
      <w:lvl w:ilvl="0">
        <w:start w:val="1"/>
        <w:numFmt w:val="decimal"/>
        <w:lvlText w:val="%1)"/>
        <w:lvlJc w:val="left"/>
        <w:pPr>
          <w:ind w:left="720" w:hanging="360"/>
        </w:pPr>
        <w:rPr>
          <w:rFonts w:ascii="Times New Roman" w:hAnsi="Times New Roman" w:cs="Times New Roman" w:hint="default"/>
        </w:rPr>
      </w:lvl>
    </w:lvlOverride>
  </w:num>
  <w:num w:numId="27" w16cid:durableId="88474558">
    <w:abstractNumId w:val="16"/>
  </w:num>
  <w:num w:numId="28" w16cid:durableId="128090052">
    <w:abstractNumId w:val="22"/>
  </w:num>
  <w:num w:numId="29" w16cid:durableId="1602569422">
    <w:abstractNumId w:val="17"/>
  </w:num>
  <w:num w:numId="30" w16cid:durableId="1741560111">
    <w:abstractNumId w:val="9"/>
  </w:num>
  <w:num w:numId="31" w16cid:durableId="996572521">
    <w:abstractNumId w:val="24"/>
  </w:num>
  <w:num w:numId="32" w16cid:durableId="465004104">
    <w:abstractNumId w:val="25"/>
  </w:num>
  <w:num w:numId="33" w16cid:durableId="1416127354">
    <w:abstractNumId w:val="7"/>
  </w:num>
  <w:num w:numId="34" w16cid:durableId="2021005104">
    <w:abstractNumId w:val="26"/>
  </w:num>
  <w:num w:numId="35" w16cid:durableId="10360032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D3B163-8377-4C08-85E8-7CB879701082}"/>
    <w:docVar w:name="dgnword-eventsink" w:val="627194864"/>
    <w:docVar w:name="LW_DocType" w:val="NORMAL"/>
  </w:docVars>
  <w:rsids>
    <w:rsidRoot w:val="009975B3"/>
    <w:rsid w:val="000021D8"/>
    <w:rsid w:val="00002FFF"/>
    <w:rsid w:val="00003098"/>
    <w:rsid w:val="00003439"/>
    <w:rsid w:val="00003713"/>
    <w:rsid w:val="00007E1B"/>
    <w:rsid w:val="00010E4E"/>
    <w:rsid w:val="00011C26"/>
    <w:rsid w:val="00011E76"/>
    <w:rsid w:val="00013D1A"/>
    <w:rsid w:val="00013F35"/>
    <w:rsid w:val="00015BE6"/>
    <w:rsid w:val="00015D63"/>
    <w:rsid w:val="000169B0"/>
    <w:rsid w:val="0002009B"/>
    <w:rsid w:val="000227E5"/>
    <w:rsid w:val="00023D03"/>
    <w:rsid w:val="00023ED6"/>
    <w:rsid w:val="000270D5"/>
    <w:rsid w:val="000326B1"/>
    <w:rsid w:val="00032AD2"/>
    <w:rsid w:val="00033177"/>
    <w:rsid w:val="00034BC7"/>
    <w:rsid w:val="00035873"/>
    <w:rsid w:val="00035CDF"/>
    <w:rsid w:val="00036B35"/>
    <w:rsid w:val="00036B6E"/>
    <w:rsid w:val="0003787B"/>
    <w:rsid w:val="0004212A"/>
    <w:rsid w:val="0004231C"/>
    <w:rsid w:val="00043D8D"/>
    <w:rsid w:val="000455BE"/>
    <w:rsid w:val="00045AAD"/>
    <w:rsid w:val="00047283"/>
    <w:rsid w:val="00047C2F"/>
    <w:rsid w:val="00050D82"/>
    <w:rsid w:val="00050F7F"/>
    <w:rsid w:val="0005490A"/>
    <w:rsid w:val="00054D40"/>
    <w:rsid w:val="000574DE"/>
    <w:rsid w:val="0006091A"/>
    <w:rsid w:val="00060F5A"/>
    <w:rsid w:val="00061915"/>
    <w:rsid w:val="000627FA"/>
    <w:rsid w:val="00063B66"/>
    <w:rsid w:val="000644D2"/>
    <w:rsid w:val="00065879"/>
    <w:rsid w:val="00067078"/>
    <w:rsid w:val="00067986"/>
    <w:rsid w:val="000707BA"/>
    <w:rsid w:val="000715C4"/>
    <w:rsid w:val="00071639"/>
    <w:rsid w:val="00071B6E"/>
    <w:rsid w:val="00071CCE"/>
    <w:rsid w:val="00072737"/>
    <w:rsid w:val="0007304E"/>
    <w:rsid w:val="000743A2"/>
    <w:rsid w:val="00076AAE"/>
    <w:rsid w:val="00076CCB"/>
    <w:rsid w:val="00077E69"/>
    <w:rsid w:val="0008033F"/>
    <w:rsid w:val="00080378"/>
    <w:rsid w:val="00080D7D"/>
    <w:rsid w:val="0008138D"/>
    <w:rsid w:val="00082604"/>
    <w:rsid w:val="00082778"/>
    <w:rsid w:val="0008327C"/>
    <w:rsid w:val="000833AA"/>
    <w:rsid w:val="00085635"/>
    <w:rsid w:val="000868C9"/>
    <w:rsid w:val="000873EA"/>
    <w:rsid w:val="0009160E"/>
    <w:rsid w:val="00092301"/>
    <w:rsid w:val="0009359A"/>
    <w:rsid w:val="00093883"/>
    <w:rsid w:val="00093B65"/>
    <w:rsid w:val="000941F7"/>
    <w:rsid w:val="0009438B"/>
    <w:rsid w:val="000967E5"/>
    <w:rsid w:val="0009766A"/>
    <w:rsid w:val="00097D49"/>
    <w:rsid w:val="000A0803"/>
    <w:rsid w:val="000A12F9"/>
    <w:rsid w:val="000A1DD7"/>
    <w:rsid w:val="000A2723"/>
    <w:rsid w:val="000A2907"/>
    <w:rsid w:val="000A335E"/>
    <w:rsid w:val="000A38BA"/>
    <w:rsid w:val="000A3B54"/>
    <w:rsid w:val="000A478B"/>
    <w:rsid w:val="000A54E8"/>
    <w:rsid w:val="000A6E92"/>
    <w:rsid w:val="000A7167"/>
    <w:rsid w:val="000A7298"/>
    <w:rsid w:val="000B08D3"/>
    <w:rsid w:val="000B1D33"/>
    <w:rsid w:val="000B295F"/>
    <w:rsid w:val="000B36BA"/>
    <w:rsid w:val="000B45B1"/>
    <w:rsid w:val="000B65DC"/>
    <w:rsid w:val="000C0473"/>
    <w:rsid w:val="000C51F5"/>
    <w:rsid w:val="000C65F1"/>
    <w:rsid w:val="000D1652"/>
    <w:rsid w:val="000D16D7"/>
    <w:rsid w:val="000D1D69"/>
    <w:rsid w:val="000D288A"/>
    <w:rsid w:val="000D3F41"/>
    <w:rsid w:val="000D4A54"/>
    <w:rsid w:val="000D588A"/>
    <w:rsid w:val="000D5C07"/>
    <w:rsid w:val="000D64A1"/>
    <w:rsid w:val="000D678C"/>
    <w:rsid w:val="000D7E2E"/>
    <w:rsid w:val="000E0765"/>
    <w:rsid w:val="000E1316"/>
    <w:rsid w:val="000E1673"/>
    <w:rsid w:val="000E17E3"/>
    <w:rsid w:val="000E224A"/>
    <w:rsid w:val="000E24A4"/>
    <w:rsid w:val="000E2A35"/>
    <w:rsid w:val="000E357D"/>
    <w:rsid w:val="000F1D76"/>
    <w:rsid w:val="000F23E5"/>
    <w:rsid w:val="000F33AA"/>
    <w:rsid w:val="000F38C8"/>
    <w:rsid w:val="000F3A54"/>
    <w:rsid w:val="000F61BF"/>
    <w:rsid w:val="000F66EB"/>
    <w:rsid w:val="000F71F0"/>
    <w:rsid w:val="00100FC2"/>
    <w:rsid w:val="00101841"/>
    <w:rsid w:val="00101E70"/>
    <w:rsid w:val="00102CDA"/>
    <w:rsid w:val="00103943"/>
    <w:rsid w:val="001039F3"/>
    <w:rsid w:val="00103DA5"/>
    <w:rsid w:val="00103ED3"/>
    <w:rsid w:val="00103F84"/>
    <w:rsid w:val="00105523"/>
    <w:rsid w:val="001059F6"/>
    <w:rsid w:val="00105BF5"/>
    <w:rsid w:val="001060CE"/>
    <w:rsid w:val="00106120"/>
    <w:rsid w:val="0010772C"/>
    <w:rsid w:val="00111220"/>
    <w:rsid w:val="00111623"/>
    <w:rsid w:val="00111E3A"/>
    <w:rsid w:val="00112920"/>
    <w:rsid w:val="0011323D"/>
    <w:rsid w:val="00113C0B"/>
    <w:rsid w:val="00113DA4"/>
    <w:rsid w:val="00114D78"/>
    <w:rsid w:val="001150D3"/>
    <w:rsid w:val="00115187"/>
    <w:rsid w:val="00115A87"/>
    <w:rsid w:val="00115A95"/>
    <w:rsid w:val="00124995"/>
    <w:rsid w:val="001262D5"/>
    <w:rsid w:val="00127B3C"/>
    <w:rsid w:val="00130A90"/>
    <w:rsid w:val="00132C85"/>
    <w:rsid w:val="0013302B"/>
    <w:rsid w:val="00133820"/>
    <w:rsid w:val="00133DF6"/>
    <w:rsid w:val="00134D6B"/>
    <w:rsid w:val="00134F14"/>
    <w:rsid w:val="00135ABF"/>
    <w:rsid w:val="0013627C"/>
    <w:rsid w:val="001367F0"/>
    <w:rsid w:val="00141D4C"/>
    <w:rsid w:val="0014216C"/>
    <w:rsid w:val="00143C6B"/>
    <w:rsid w:val="00143E2B"/>
    <w:rsid w:val="00143F57"/>
    <w:rsid w:val="0014755F"/>
    <w:rsid w:val="00147C70"/>
    <w:rsid w:val="001509EA"/>
    <w:rsid w:val="00150E17"/>
    <w:rsid w:val="001519B4"/>
    <w:rsid w:val="00151DC6"/>
    <w:rsid w:val="00152125"/>
    <w:rsid w:val="001528DD"/>
    <w:rsid w:val="00153027"/>
    <w:rsid w:val="00154052"/>
    <w:rsid w:val="00154204"/>
    <w:rsid w:val="00154823"/>
    <w:rsid w:val="00154C58"/>
    <w:rsid w:val="001565CF"/>
    <w:rsid w:val="001600D2"/>
    <w:rsid w:val="00162699"/>
    <w:rsid w:val="0017161B"/>
    <w:rsid w:val="0017258A"/>
    <w:rsid w:val="00172CA4"/>
    <w:rsid w:val="00175E8E"/>
    <w:rsid w:val="00176098"/>
    <w:rsid w:val="00180F2A"/>
    <w:rsid w:val="00181A18"/>
    <w:rsid w:val="00183450"/>
    <w:rsid w:val="0018355F"/>
    <w:rsid w:val="00184637"/>
    <w:rsid w:val="001854D0"/>
    <w:rsid w:val="0018622B"/>
    <w:rsid w:val="00186358"/>
    <w:rsid w:val="001906CB"/>
    <w:rsid w:val="00191DE5"/>
    <w:rsid w:val="00192B50"/>
    <w:rsid w:val="0019354F"/>
    <w:rsid w:val="001942C1"/>
    <w:rsid w:val="00194520"/>
    <w:rsid w:val="0019545C"/>
    <w:rsid w:val="001977F0"/>
    <w:rsid w:val="001A00E6"/>
    <w:rsid w:val="001A14F9"/>
    <w:rsid w:val="001A563A"/>
    <w:rsid w:val="001A5E73"/>
    <w:rsid w:val="001A7C55"/>
    <w:rsid w:val="001B08D3"/>
    <w:rsid w:val="001B13D4"/>
    <w:rsid w:val="001B2213"/>
    <w:rsid w:val="001B3010"/>
    <w:rsid w:val="001B3C6A"/>
    <w:rsid w:val="001B3ECC"/>
    <w:rsid w:val="001B5C92"/>
    <w:rsid w:val="001B72D3"/>
    <w:rsid w:val="001B775F"/>
    <w:rsid w:val="001C33B2"/>
    <w:rsid w:val="001C3CC9"/>
    <w:rsid w:val="001C3D6C"/>
    <w:rsid w:val="001C4C56"/>
    <w:rsid w:val="001C4D73"/>
    <w:rsid w:val="001C4F96"/>
    <w:rsid w:val="001C533E"/>
    <w:rsid w:val="001D378D"/>
    <w:rsid w:val="001D3E0F"/>
    <w:rsid w:val="001D3E22"/>
    <w:rsid w:val="001D6C17"/>
    <w:rsid w:val="001E02B3"/>
    <w:rsid w:val="001E07B9"/>
    <w:rsid w:val="001E104D"/>
    <w:rsid w:val="001E105D"/>
    <w:rsid w:val="001E1B4D"/>
    <w:rsid w:val="001E37CC"/>
    <w:rsid w:val="001E389D"/>
    <w:rsid w:val="001E3B04"/>
    <w:rsid w:val="001E6449"/>
    <w:rsid w:val="001E6C36"/>
    <w:rsid w:val="001E7569"/>
    <w:rsid w:val="001F0053"/>
    <w:rsid w:val="001F0441"/>
    <w:rsid w:val="001F0F0C"/>
    <w:rsid w:val="001F14A5"/>
    <w:rsid w:val="001F1B5F"/>
    <w:rsid w:val="001F39A3"/>
    <w:rsid w:val="001F5BF5"/>
    <w:rsid w:val="00202BFE"/>
    <w:rsid w:val="002037BB"/>
    <w:rsid w:val="00203B91"/>
    <w:rsid w:val="00204D49"/>
    <w:rsid w:val="00205D96"/>
    <w:rsid w:val="00207C16"/>
    <w:rsid w:val="00211629"/>
    <w:rsid w:val="00211A48"/>
    <w:rsid w:val="00211D9B"/>
    <w:rsid w:val="00211FF6"/>
    <w:rsid w:val="0021221B"/>
    <w:rsid w:val="002126D2"/>
    <w:rsid w:val="002130A8"/>
    <w:rsid w:val="00214E6B"/>
    <w:rsid w:val="0021617B"/>
    <w:rsid w:val="00222FCE"/>
    <w:rsid w:val="0022454E"/>
    <w:rsid w:val="00226257"/>
    <w:rsid w:val="0022632D"/>
    <w:rsid w:val="002263B2"/>
    <w:rsid w:val="00226706"/>
    <w:rsid w:val="00226AFF"/>
    <w:rsid w:val="00227104"/>
    <w:rsid w:val="00231A0A"/>
    <w:rsid w:val="0023292E"/>
    <w:rsid w:val="00236C04"/>
    <w:rsid w:val="00237007"/>
    <w:rsid w:val="00237ED1"/>
    <w:rsid w:val="00240C8F"/>
    <w:rsid w:val="00240CC7"/>
    <w:rsid w:val="0024134D"/>
    <w:rsid w:val="00243FF3"/>
    <w:rsid w:val="00245F60"/>
    <w:rsid w:val="0024615B"/>
    <w:rsid w:val="00246300"/>
    <w:rsid w:val="002465A9"/>
    <w:rsid w:val="00250635"/>
    <w:rsid w:val="0025194B"/>
    <w:rsid w:val="00254037"/>
    <w:rsid w:val="00254712"/>
    <w:rsid w:val="00254C6D"/>
    <w:rsid w:val="00255BED"/>
    <w:rsid w:val="00257172"/>
    <w:rsid w:val="00257F24"/>
    <w:rsid w:val="002600C9"/>
    <w:rsid w:val="00261160"/>
    <w:rsid w:val="002615B1"/>
    <w:rsid w:val="00261B6A"/>
    <w:rsid w:val="002621A5"/>
    <w:rsid w:val="00263A46"/>
    <w:rsid w:val="00264482"/>
    <w:rsid w:val="00265480"/>
    <w:rsid w:val="002662F6"/>
    <w:rsid w:val="00266C6C"/>
    <w:rsid w:val="0026736B"/>
    <w:rsid w:val="002717FB"/>
    <w:rsid w:val="00271DF5"/>
    <w:rsid w:val="00275838"/>
    <w:rsid w:val="00276426"/>
    <w:rsid w:val="00276E84"/>
    <w:rsid w:val="00277799"/>
    <w:rsid w:val="0028031D"/>
    <w:rsid w:val="002818C0"/>
    <w:rsid w:val="00282DC5"/>
    <w:rsid w:val="0028325A"/>
    <w:rsid w:val="002834AA"/>
    <w:rsid w:val="00284D18"/>
    <w:rsid w:val="002852FF"/>
    <w:rsid w:val="002854CB"/>
    <w:rsid w:val="002866BB"/>
    <w:rsid w:val="00287903"/>
    <w:rsid w:val="00287CFF"/>
    <w:rsid w:val="00287F4C"/>
    <w:rsid w:val="00290F02"/>
    <w:rsid w:val="00291098"/>
    <w:rsid w:val="00291401"/>
    <w:rsid w:val="00291A0B"/>
    <w:rsid w:val="00292D90"/>
    <w:rsid w:val="00292EA0"/>
    <w:rsid w:val="00292F14"/>
    <w:rsid w:val="002930E0"/>
    <w:rsid w:val="00294896"/>
    <w:rsid w:val="0029592B"/>
    <w:rsid w:val="00296BFB"/>
    <w:rsid w:val="00296CD7"/>
    <w:rsid w:val="002977AA"/>
    <w:rsid w:val="00297EAB"/>
    <w:rsid w:val="002A0AD3"/>
    <w:rsid w:val="002A0B7C"/>
    <w:rsid w:val="002A0C00"/>
    <w:rsid w:val="002A0EB4"/>
    <w:rsid w:val="002A1E13"/>
    <w:rsid w:val="002A525D"/>
    <w:rsid w:val="002A58A2"/>
    <w:rsid w:val="002A728A"/>
    <w:rsid w:val="002B0A20"/>
    <w:rsid w:val="002B0ADF"/>
    <w:rsid w:val="002B274B"/>
    <w:rsid w:val="002B4E97"/>
    <w:rsid w:val="002B5F88"/>
    <w:rsid w:val="002C057C"/>
    <w:rsid w:val="002C0732"/>
    <w:rsid w:val="002C169F"/>
    <w:rsid w:val="002C2476"/>
    <w:rsid w:val="002C2982"/>
    <w:rsid w:val="002C2E0E"/>
    <w:rsid w:val="002C4AAF"/>
    <w:rsid w:val="002C4FD5"/>
    <w:rsid w:val="002C52E4"/>
    <w:rsid w:val="002D03A4"/>
    <w:rsid w:val="002D1BA2"/>
    <w:rsid w:val="002D38B7"/>
    <w:rsid w:val="002D45B3"/>
    <w:rsid w:val="002D4A50"/>
    <w:rsid w:val="002D513A"/>
    <w:rsid w:val="002D5152"/>
    <w:rsid w:val="002D5857"/>
    <w:rsid w:val="002D60DA"/>
    <w:rsid w:val="002D6B6A"/>
    <w:rsid w:val="002D77DA"/>
    <w:rsid w:val="002D7AF2"/>
    <w:rsid w:val="002E29FB"/>
    <w:rsid w:val="002E5E8A"/>
    <w:rsid w:val="002E618B"/>
    <w:rsid w:val="002E6B97"/>
    <w:rsid w:val="002E71EB"/>
    <w:rsid w:val="002F225A"/>
    <w:rsid w:val="002F2474"/>
    <w:rsid w:val="002F273D"/>
    <w:rsid w:val="002F2C50"/>
    <w:rsid w:val="002F366B"/>
    <w:rsid w:val="002F38E9"/>
    <w:rsid w:val="002F4171"/>
    <w:rsid w:val="002F44E6"/>
    <w:rsid w:val="002F4D58"/>
    <w:rsid w:val="002F5023"/>
    <w:rsid w:val="002F5BBF"/>
    <w:rsid w:val="002F72AF"/>
    <w:rsid w:val="002F74D7"/>
    <w:rsid w:val="003001BC"/>
    <w:rsid w:val="00300E8B"/>
    <w:rsid w:val="003015CD"/>
    <w:rsid w:val="00302AD4"/>
    <w:rsid w:val="00303EA0"/>
    <w:rsid w:val="0030468C"/>
    <w:rsid w:val="00304DA1"/>
    <w:rsid w:val="00304EC7"/>
    <w:rsid w:val="00305186"/>
    <w:rsid w:val="00305C1A"/>
    <w:rsid w:val="003100C7"/>
    <w:rsid w:val="00310804"/>
    <w:rsid w:val="0031136D"/>
    <w:rsid w:val="00311D1D"/>
    <w:rsid w:val="00312552"/>
    <w:rsid w:val="00312ED8"/>
    <w:rsid w:val="003130C3"/>
    <w:rsid w:val="003147A5"/>
    <w:rsid w:val="00314D05"/>
    <w:rsid w:val="00317BBB"/>
    <w:rsid w:val="00317C92"/>
    <w:rsid w:val="00320CB2"/>
    <w:rsid w:val="00321C09"/>
    <w:rsid w:val="003229D5"/>
    <w:rsid w:val="0032366A"/>
    <w:rsid w:val="003244DE"/>
    <w:rsid w:val="003263F0"/>
    <w:rsid w:val="00330C8D"/>
    <w:rsid w:val="00330DB6"/>
    <w:rsid w:val="0033188A"/>
    <w:rsid w:val="00331A7B"/>
    <w:rsid w:val="003323D2"/>
    <w:rsid w:val="00332D79"/>
    <w:rsid w:val="00334BB6"/>
    <w:rsid w:val="00334ED1"/>
    <w:rsid w:val="00335582"/>
    <w:rsid w:val="00336FA5"/>
    <w:rsid w:val="00343A7A"/>
    <w:rsid w:val="003447C4"/>
    <w:rsid w:val="00345E97"/>
    <w:rsid w:val="00346879"/>
    <w:rsid w:val="003502E4"/>
    <w:rsid w:val="003505D7"/>
    <w:rsid w:val="003507A9"/>
    <w:rsid w:val="00353B1B"/>
    <w:rsid w:val="0035406A"/>
    <w:rsid w:val="003541C8"/>
    <w:rsid w:val="00354E1C"/>
    <w:rsid w:val="00355451"/>
    <w:rsid w:val="003557DA"/>
    <w:rsid w:val="00357A56"/>
    <w:rsid w:val="00361FA4"/>
    <w:rsid w:val="00362461"/>
    <w:rsid w:val="003636EE"/>
    <w:rsid w:val="00363A1F"/>
    <w:rsid w:val="00366A23"/>
    <w:rsid w:val="00370B97"/>
    <w:rsid w:val="00370C88"/>
    <w:rsid w:val="003716FE"/>
    <w:rsid w:val="003718A8"/>
    <w:rsid w:val="00371AAD"/>
    <w:rsid w:val="003720AB"/>
    <w:rsid w:val="00372349"/>
    <w:rsid w:val="003729E6"/>
    <w:rsid w:val="00373A06"/>
    <w:rsid w:val="00373E38"/>
    <w:rsid w:val="00374995"/>
    <w:rsid w:val="00376309"/>
    <w:rsid w:val="0037793D"/>
    <w:rsid w:val="003815EC"/>
    <w:rsid w:val="00382493"/>
    <w:rsid w:val="00385ABE"/>
    <w:rsid w:val="003869A5"/>
    <w:rsid w:val="00386CBA"/>
    <w:rsid w:val="00387802"/>
    <w:rsid w:val="00387B58"/>
    <w:rsid w:val="00390212"/>
    <w:rsid w:val="003903AE"/>
    <w:rsid w:val="003913B6"/>
    <w:rsid w:val="003914DA"/>
    <w:rsid w:val="00391F5B"/>
    <w:rsid w:val="003926FD"/>
    <w:rsid w:val="00393D4B"/>
    <w:rsid w:val="00395326"/>
    <w:rsid w:val="00395E1D"/>
    <w:rsid w:val="00396105"/>
    <w:rsid w:val="00396990"/>
    <w:rsid w:val="003A02DE"/>
    <w:rsid w:val="003A04E0"/>
    <w:rsid w:val="003A16BD"/>
    <w:rsid w:val="003A17B0"/>
    <w:rsid w:val="003A2291"/>
    <w:rsid w:val="003A2ECB"/>
    <w:rsid w:val="003A34DA"/>
    <w:rsid w:val="003A52F6"/>
    <w:rsid w:val="003A6AED"/>
    <w:rsid w:val="003A798B"/>
    <w:rsid w:val="003A7D71"/>
    <w:rsid w:val="003B02E4"/>
    <w:rsid w:val="003B0ABE"/>
    <w:rsid w:val="003B196E"/>
    <w:rsid w:val="003B1EEF"/>
    <w:rsid w:val="003B2962"/>
    <w:rsid w:val="003B303C"/>
    <w:rsid w:val="003B5172"/>
    <w:rsid w:val="003B730A"/>
    <w:rsid w:val="003B75D2"/>
    <w:rsid w:val="003B7F5D"/>
    <w:rsid w:val="003C0763"/>
    <w:rsid w:val="003C0C89"/>
    <w:rsid w:val="003C1085"/>
    <w:rsid w:val="003C1864"/>
    <w:rsid w:val="003C200D"/>
    <w:rsid w:val="003C2574"/>
    <w:rsid w:val="003C46FA"/>
    <w:rsid w:val="003C4EF2"/>
    <w:rsid w:val="003C57B9"/>
    <w:rsid w:val="003C5EDA"/>
    <w:rsid w:val="003C7061"/>
    <w:rsid w:val="003C75AB"/>
    <w:rsid w:val="003D06CC"/>
    <w:rsid w:val="003D0ACA"/>
    <w:rsid w:val="003D0D96"/>
    <w:rsid w:val="003D19B7"/>
    <w:rsid w:val="003D31F6"/>
    <w:rsid w:val="003D44E1"/>
    <w:rsid w:val="003D554F"/>
    <w:rsid w:val="003D58E6"/>
    <w:rsid w:val="003D5A97"/>
    <w:rsid w:val="003D716F"/>
    <w:rsid w:val="003D7908"/>
    <w:rsid w:val="003E0C21"/>
    <w:rsid w:val="003E1589"/>
    <w:rsid w:val="003E2097"/>
    <w:rsid w:val="003E20BF"/>
    <w:rsid w:val="003E2429"/>
    <w:rsid w:val="003E247B"/>
    <w:rsid w:val="003E2663"/>
    <w:rsid w:val="003E2D3B"/>
    <w:rsid w:val="003E6ACD"/>
    <w:rsid w:val="003E6B4F"/>
    <w:rsid w:val="003E7634"/>
    <w:rsid w:val="003F1115"/>
    <w:rsid w:val="003F1D35"/>
    <w:rsid w:val="003F2856"/>
    <w:rsid w:val="003F316B"/>
    <w:rsid w:val="003F3707"/>
    <w:rsid w:val="003F4588"/>
    <w:rsid w:val="003F760C"/>
    <w:rsid w:val="003F7907"/>
    <w:rsid w:val="00401589"/>
    <w:rsid w:val="00404D77"/>
    <w:rsid w:val="0040648A"/>
    <w:rsid w:val="0041182B"/>
    <w:rsid w:val="00411C9E"/>
    <w:rsid w:val="00414597"/>
    <w:rsid w:val="00415620"/>
    <w:rsid w:val="0041571F"/>
    <w:rsid w:val="00416D68"/>
    <w:rsid w:val="00416DB1"/>
    <w:rsid w:val="00416DFF"/>
    <w:rsid w:val="00416F86"/>
    <w:rsid w:val="00421A7F"/>
    <w:rsid w:val="004220B5"/>
    <w:rsid w:val="00422CC8"/>
    <w:rsid w:val="00422D48"/>
    <w:rsid w:val="004239D2"/>
    <w:rsid w:val="00423C1E"/>
    <w:rsid w:val="00424D6C"/>
    <w:rsid w:val="00425135"/>
    <w:rsid w:val="00426A81"/>
    <w:rsid w:val="00427416"/>
    <w:rsid w:val="004275AC"/>
    <w:rsid w:val="00430CD8"/>
    <w:rsid w:val="004349B2"/>
    <w:rsid w:val="00434C74"/>
    <w:rsid w:val="00435A3F"/>
    <w:rsid w:val="004365F2"/>
    <w:rsid w:val="00442F0E"/>
    <w:rsid w:val="0044491C"/>
    <w:rsid w:val="00444D40"/>
    <w:rsid w:val="00444E9C"/>
    <w:rsid w:val="00444FB0"/>
    <w:rsid w:val="00445CEB"/>
    <w:rsid w:val="004462FB"/>
    <w:rsid w:val="00446688"/>
    <w:rsid w:val="00453F83"/>
    <w:rsid w:val="00454AD0"/>
    <w:rsid w:val="00456F4E"/>
    <w:rsid w:val="00457802"/>
    <w:rsid w:val="004600D9"/>
    <w:rsid w:val="0046046D"/>
    <w:rsid w:val="00460C10"/>
    <w:rsid w:val="00461997"/>
    <w:rsid w:val="00461A65"/>
    <w:rsid w:val="00462980"/>
    <w:rsid w:val="00462AB5"/>
    <w:rsid w:val="00463A55"/>
    <w:rsid w:val="00464C2C"/>
    <w:rsid w:val="004665EB"/>
    <w:rsid w:val="004707F7"/>
    <w:rsid w:val="00472B73"/>
    <w:rsid w:val="004740A1"/>
    <w:rsid w:val="0047633E"/>
    <w:rsid w:val="00480D5D"/>
    <w:rsid w:val="00481DC3"/>
    <w:rsid w:val="00483720"/>
    <w:rsid w:val="0048397F"/>
    <w:rsid w:val="00484333"/>
    <w:rsid w:val="00484D8D"/>
    <w:rsid w:val="0048686A"/>
    <w:rsid w:val="004874CB"/>
    <w:rsid w:val="00487A85"/>
    <w:rsid w:val="00490523"/>
    <w:rsid w:val="0049425C"/>
    <w:rsid w:val="0049480D"/>
    <w:rsid w:val="00494E78"/>
    <w:rsid w:val="00494FB9"/>
    <w:rsid w:val="00496BB1"/>
    <w:rsid w:val="004971D0"/>
    <w:rsid w:val="00497C9B"/>
    <w:rsid w:val="004A016C"/>
    <w:rsid w:val="004A01E6"/>
    <w:rsid w:val="004A247B"/>
    <w:rsid w:val="004A32C2"/>
    <w:rsid w:val="004A4CDA"/>
    <w:rsid w:val="004A63B2"/>
    <w:rsid w:val="004A6FAE"/>
    <w:rsid w:val="004A78A6"/>
    <w:rsid w:val="004B11DE"/>
    <w:rsid w:val="004B1948"/>
    <w:rsid w:val="004B3A07"/>
    <w:rsid w:val="004B633F"/>
    <w:rsid w:val="004C14FE"/>
    <w:rsid w:val="004C75A0"/>
    <w:rsid w:val="004D0681"/>
    <w:rsid w:val="004D1D55"/>
    <w:rsid w:val="004D3471"/>
    <w:rsid w:val="004D3E4A"/>
    <w:rsid w:val="004D3E5F"/>
    <w:rsid w:val="004D4932"/>
    <w:rsid w:val="004D5FDB"/>
    <w:rsid w:val="004D6570"/>
    <w:rsid w:val="004D6EC0"/>
    <w:rsid w:val="004D7AC1"/>
    <w:rsid w:val="004D7B19"/>
    <w:rsid w:val="004E09D5"/>
    <w:rsid w:val="004E0DB6"/>
    <w:rsid w:val="004E1C1B"/>
    <w:rsid w:val="004E24BC"/>
    <w:rsid w:val="004E2A50"/>
    <w:rsid w:val="004E321C"/>
    <w:rsid w:val="004E4DAB"/>
    <w:rsid w:val="004E4DB0"/>
    <w:rsid w:val="004E52A9"/>
    <w:rsid w:val="004E5BDB"/>
    <w:rsid w:val="004E6446"/>
    <w:rsid w:val="004E6894"/>
    <w:rsid w:val="004F02A1"/>
    <w:rsid w:val="004F03BF"/>
    <w:rsid w:val="004F0D8B"/>
    <w:rsid w:val="004F16ED"/>
    <w:rsid w:val="004F3055"/>
    <w:rsid w:val="004F4B43"/>
    <w:rsid w:val="004F5937"/>
    <w:rsid w:val="004F5B3F"/>
    <w:rsid w:val="004F6B71"/>
    <w:rsid w:val="004F7232"/>
    <w:rsid w:val="004F7BA5"/>
    <w:rsid w:val="005010CB"/>
    <w:rsid w:val="0050235C"/>
    <w:rsid w:val="0050281C"/>
    <w:rsid w:val="00503D42"/>
    <w:rsid w:val="005043FD"/>
    <w:rsid w:val="0050441D"/>
    <w:rsid w:val="005045F4"/>
    <w:rsid w:val="005074CC"/>
    <w:rsid w:val="00510823"/>
    <w:rsid w:val="00510C2A"/>
    <w:rsid w:val="005121BF"/>
    <w:rsid w:val="00512285"/>
    <w:rsid w:val="00515C4E"/>
    <w:rsid w:val="00517AE1"/>
    <w:rsid w:val="00521574"/>
    <w:rsid w:val="00521C07"/>
    <w:rsid w:val="005229C6"/>
    <w:rsid w:val="00522E2A"/>
    <w:rsid w:val="005249DA"/>
    <w:rsid w:val="00525085"/>
    <w:rsid w:val="0052550A"/>
    <w:rsid w:val="00525E78"/>
    <w:rsid w:val="005260A6"/>
    <w:rsid w:val="00527441"/>
    <w:rsid w:val="0053041D"/>
    <w:rsid w:val="005306FD"/>
    <w:rsid w:val="00532003"/>
    <w:rsid w:val="00532599"/>
    <w:rsid w:val="005331B6"/>
    <w:rsid w:val="00533637"/>
    <w:rsid w:val="00534844"/>
    <w:rsid w:val="00535EBC"/>
    <w:rsid w:val="0053675B"/>
    <w:rsid w:val="005407A4"/>
    <w:rsid w:val="00540B64"/>
    <w:rsid w:val="00543A31"/>
    <w:rsid w:val="00544BCC"/>
    <w:rsid w:val="00544EEC"/>
    <w:rsid w:val="00545C61"/>
    <w:rsid w:val="0054623F"/>
    <w:rsid w:val="005463D2"/>
    <w:rsid w:val="0054773E"/>
    <w:rsid w:val="00550FD9"/>
    <w:rsid w:val="0055265C"/>
    <w:rsid w:val="005530DB"/>
    <w:rsid w:val="00553A61"/>
    <w:rsid w:val="005541DA"/>
    <w:rsid w:val="00554B13"/>
    <w:rsid w:val="00555601"/>
    <w:rsid w:val="0055592E"/>
    <w:rsid w:val="00555B59"/>
    <w:rsid w:val="00557DDC"/>
    <w:rsid w:val="005637D9"/>
    <w:rsid w:val="00563821"/>
    <w:rsid w:val="0056470B"/>
    <w:rsid w:val="005647E0"/>
    <w:rsid w:val="00567FC7"/>
    <w:rsid w:val="005703F0"/>
    <w:rsid w:val="00570C34"/>
    <w:rsid w:val="005711E7"/>
    <w:rsid w:val="00571B45"/>
    <w:rsid w:val="0057685C"/>
    <w:rsid w:val="00581699"/>
    <w:rsid w:val="00582DC0"/>
    <w:rsid w:val="00583639"/>
    <w:rsid w:val="00587E3C"/>
    <w:rsid w:val="005912E2"/>
    <w:rsid w:val="00593696"/>
    <w:rsid w:val="00593BBC"/>
    <w:rsid w:val="00594FEA"/>
    <w:rsid w:val="0059514B"/>
    <w:rsid w:val="00596DF0"/>
    <w:rsid w:val="00596F00"/>
    <w:rsid w:val="00597BC1"/>
    <w:rsid w:val="005A210A"/>
    <w:rsid w:val="005A23DC"/>
    <w:rsid w:val="005A297C"/>
    <w:rsid w:val="005A2D6D"/>
    <w:rsid w:val="005A4431"/>
    <w:rsid w:val="005A5057"/>
    <w:rsid w:val="005A6FA4"/>
    <w:rsid w:val="005A7CC3"/>
    <w:rsid w:val="005B2557"/>
    <w:rsid w:val="005B3731"/>
    <w:rsid w:val="005B4847"/>
    <w:rsid w:val="005B51F3"/>
    <w:rsid w:val="005B57B6"/>
    <w:rsid w:val="005B7538"/>
    <w:rsid w:val="005C0918"/>
    <w:rsid w:val="005C14C6"/>
    <w:rsid w:val="005C14F2"/>
    <w:rsid w:val="005C21AA"/>
    <w:rsid w:val="005C2230"/>
    <w:rsid w:val="005C22EE"/>
    <w:rsid w:val="005C51C8"/>
    <w:rsid w:val="005C587A"/>
    <w:rsid w:val="005C76BB"/>
    <w:rsid w:val="005D07B4"/>
    <w:rsid w:val="005D07C2"/>
    <w:rsid w:val="005D1812"/>
    <w:rsid w:val="005D1FC7"/>
    <w:rsid w:val="005D3442"/>
    <w:rsid w:val="005D3C58"/>
    <w:rsid w:val="005D4F0D"/>
    <w:rsid w:val="005D525E"/>
    <w:rsid w:val="005D704B"/>
    <w:rsid w:val="005D7F3F"/>
    <w:rsid w:val="005E03C2"/>
    <w:rsid w:val="005E0780"/>
    <w:rsid w:val="005E0EA6"/>
    <w:rsid w:val="005E24E1"/>
    <w:rsid w:val="005E26DA"/>
    <w:rsid w:val="005E2B39"/>
    <w:rsid w:val="005E2E9F"/>
    <w:rsid w:val="005E3653"/>
    <w:rsid w:val="005E3A38"/>
    <w:rsid w:val="005E4110"/>
    <w:rsid w:val="005E4456"/>
    <w:rsid w:val="005E453D"/>
    <w:rsid w:val="005E4C04"/>
    <w:rsid w:val="005E5E70"/>
    <w:rsid w:val="005E6666"/>
    <w:rsid w:val="005E7FF4"/>
    <w:rsid w:val="005F07BA"/>
    <w:rsid w:val="005F2798"/>
    <w:rsid w:val="005F28A2"/>
    <w:rsid w:val="005F4A55"/>
    <w:rsid w:val="005F5141"/>
    <w:rsid w:val="00600762"/>
    <w:rsid w:val="00601100"/>
    <w:rsid w:val="006013F4"/>
    <w:rsid w:val="006022D2"/>
    <w:rsid w:val="00602EDC"/>
    <w:rsid w:val="00604E8C"/>
    <w:rsid w:val="00611773"/>
    <w:rsid w:val="006141EF"/>
    <w:rsid w:val="00614DAC"/>
    <w:rsid w:val="00615591"/>
    <w:rsid w:val="006160AF"/>
    <w:rsid w:val="00617C45"/>
    <w:rsid w:val="00620C0D"/>
    <w:rsid w:val="006215A0"/>
    <w:rsid w:val="00621EF4"/>
    <w:rsid w:val="00622A78"/>
    <w:rsid w:val="00622EE0"/>
    <w:rsid w:val="00623256"/>
    <w:rsid w:val="006247FA"/>
    <w:rsid w:val="00624C8A"/>
    <w:rsid w:val="00624FB7"/>
    <w:rsid w:val="006256DF"/>
    <w:rsid w:val="00626592"/>
    <w:rsid w:val="00626A6E"/>
    <w:rsid w:val="00627D04"/>
    <w:rsid w:val="00627E49"/>
    <w:rsid w:val="00630E66"/>
    <w:rsid w:val="006335B9"/>
    <w:rsid w:val="006341B0"/>
    <w:rsid w:val="00634339"/>
    <w:rsid w:val="00636233"/>
    <w:rsid w:val="00637B39"/>
    <w:rsid w:val="006409DD"/>
    <w:rsid w:val="00640E43"/>
    <w:rsid w:val="0064297E"/>
    <w:rsid w:val="00643949"/>
    <w:rsid w:val="00647129"/>
    <w:rsid w:val="00647365"/>
    <w:rsid w:val="00647472"/>
    <w:rsid w:val="006477F8"/>
    <w:rsid w:val="006503F2"/>
    <w:rsid w:val="0065094C"/>
    <w:rsid w:val="00652585"/>
    <w:rsid w:val="006528CF"/>
    <w:rsid w:val="00652B79"/>
    <w:rsid w:val="00652D93"/>
    <w:rsid w:val="0065305C"/>
    <w:rsid w:val="00653260"/>
    <w:rsid w:val="006534EC"/>
    <w:rsid w:val="0065355E"/>
    <w:rsid w:val="00654FF9"/>
    <w:rsid w:val="00660269"/>
    <w:rsid w:val="00660AA7"/>
    <w:rsid w:val="006631EF"/>
    <w:rsid w:val="0066347A"/>
    <w:rsid w:val="00664A3D"/>
    <w:rsid w:val="00664ED0"/>
    <w:rsid w:val="00665B79"/>
    <w:rsid w:val="00667074"/>
    <w:rsid w:val="006676C0"/>
    <w:rsid w:val="00670E57"/>
    <w:rsid w:val="00671907"/>
    <w:rsid w:val="00674835"/>
    <w:rsid w:val="006778C7"/>
    <w:rsid w:val="00677E27"/>
    <w:rsid w:val="0068390C"/>
    <w:rsid w:val="00683D6D"/>
    <w:rsid w:val="006844F2"/>
    <w:rsid w:val="00684DC0"/>
    <w:rsid w:val="006857ED"/>
    <w:rsid w:val="006906DF"/>
    <w:rsid w:val="00690FB8"/>
    <w:rsid w:val="006913D5"/>
    <w:rsid w:val="006914DE"/>
    <w:rsid w:val="00691E7E"/>
    <w:rsid w:val="00693290"/>
    <w:rsid w:val="00693CD5"/>
    <w:rsid w:val="00693F00"/>
    <w:rsid w:val="0069404F"/>
    <w:rsid w:val="00695831"/>
    <w:rsid w:val="00695907"/>
    <w:rsid w:val="006966CD"/>
    <w:rsid w:val="00697C74"/>
    <w:rsid w:val="006A0615"/>
    <w:rsid w:val="006A1E05"/>
    <w:rsid w:val="006A3096"/>
    <w:rsid w:val="006A3151"/>
    <w:rsid w:val="006A33DE"/>
    <w:rsid w:val="006A5558"/>
    <w:rsid w:val="006A5C6F"/>
    <w:rsid w:val="006A5C77"/>
    <w:rsid w:val="006A64E1"/>
    <w:rsid w:val="006A6BD3"/>
    <w:rsid w:val="006A7BD2"/>
    <w:rsid w:val="006A7DBA"/>
    <w:rsid w:val="006B0929"/>
    <w:rsid w:val="006B2C44"/>
    <w:rsid w:val="006B4333"/>
    <w:rsid w:val="006B461C"/>
    <w:rsid w:val="006B47D0"/>
    <w:rsid w:val="006B4B73"/>
    <w:rsid w:val="006B5D05"/>
    <w:rsid w:val="006B5EB0"/>
    <w:rsid w:val="006B7C36"/>
    <w:rsid w:val="006C10C9"/>
    <w:rsid w:val="006C2289"/>
    <w:rsid w:val="006C3B93"/>
    <w:rsid w:val="006C465D"/>
    <w:rsid w:val="006C65AE"/>
    <w:rsid w:val="006C65D5"/>
    <w:rsid w:val="006C68E2"/>
    <w:rsid w:val="006C6A7E"/>
    <w:rsid w:val="006C7331"/>
    <w:rsid w:val="006C7EF9"/>
    <w:rsid w:val="006D11DE"/>
    <w:rsid w:val="006D192F"/>
    <w:rsid w:val="006D1CF3"/>
    <w:rsid w:val="006D369A"/>
    <w:rsid w:val="006D3F99"/>
    <w:rsid w:val="006D4691"/>
    <w:rsid w:val="006D6AFF"/>
    <w:rsid w:val="006E3C9C"/>
    <w:rsid w:val="006E4FAE"/>
    <w:rsid w:val="006E521B"/>
    <w:rsid w:val="006E5D1A"/>
    <w:rsid w:val="006E7B47"/>
    <w:rsid w:val="006E7EAC"/>
    <w:rsid w:val="006F0ABD"/>
    <w:rsid w:val="006F11FB"/>
    <w:rsid w:val="006F1CA2"/>
    <w:rsid w:val="006F2062"/>
    <w:rsid w:val="006F33BE"/>
    <w:rsid w:val="006F3865"/>
    <w:rsid w:val="006F3F71"/>
    <w:rsid w:val="006F4382"/>
    <w:rsid w:val="006F77BA"/>
    <w:rsid w:val="00707EB6"/>
    <w:rsid w:val="00711DDC"/>
    <w:rsid w:val="007139C6"/>
    <w:rsid w:val="007150DF"/>
    <w:rsid w:val="00715680"/>
    <w:rsid w:val="00716A3A"/>
    <w:rsid w:val="007209EE"/>
    <w:rsid w:val="00721237"/>
    <w:rsid w:val="00723B23"/>
    <w:rsid w:val="00723DB1"/>
    <w:rsid w:val="00724369"/>
    <w:rsid w:val="00724D04"/>
    <w:rsid w:val="00727499"/>
    <w:rsid w:val="00727D74"/>
    <w:rsid w:val="00730B44"/>
    <w:rsid w:val="00731BC8"/>
    <w:rsid w:val="00732569"/>
    <w:rsid w:val="00732B5E"/>
    <w:rsid w:val="00732CDD"/>
    <w:rsid w:val="00732CFA"/>
    <w:rsid w:val="007357D7"/>
    <w:rsid w:val="00743967"/>
    <w:rsid w:val="00744203"/>
    <w:rsid w:val="00745EAE"/>
    <w:rsid w:val="0074627E"/>
    <w:rsid w:val="007467D3"/>
    <w:rsid w:val="007472DE"/>
    <w:rsid w:val="00750790"/>
    <w:rsid w:val="00751441"/>
    <w:rsid w:val="00751596"/>
    <w:rsid w:val="00751A2D"/>
    <w:rsid w:val="007528BA"/>
    <w:rsid w:val="00753AFE"/>
    <w:rsid w:val="00753E64"/>
    <w:rsid w:val="00755318"/>
    <w:rsid w:val="00756EAF"/>
    <w:rsid w:val="007601C2"/>
    <w:rsid w:val="00760709"/>
    <w:rsid w:val="00760B25"/>
    <w:rsid w:val="00762FEF"/>
    <w:rsid w:val="007663C9"/>
    <w:rsid w:val="007666D5"/>
    <w:rsid w:val="00766E04"/>
    <w:rsid w:val="00770250"/>
    <w:rsid w:val="00770C9E"/>
    <w:rsid w:val="00772575"/>
    <w:rsid w:val="00772AC8"/>
    <w:rsid w:val="00773B6F"/>
    <w:rsid w:val="00773B7F"/>
    <w:rsid w:val="00774B9A"/>
    <w:rsid w:val="007770C2"/>
    <w:rsid w:val="0078196D"/>
    <w:rsid w:val="007824C9"/>
    <w:rsid w:val="007829C9"/>
    <w:rsid w:val="00782D80"/>
    <w:rsid w:val="00783E6B"/>
    <w:rsid w:val="0078540C"/>
    <w:rsid w:val="007858BB"/>
    <w:rsid w:val="00787261"/>
    <w:rsid w:val="00787268"/>
    <w:rsid w:val="0078768B"/>
    <w:rsid w:val="0078777A"/>
    <w:rsid w:val="00787A3D"/>
    <w:rsid w:val="00787CA4"/>
    <w:rsid w:val="00791711"/>
    <w:rsid w:val="00791D6C"/>
    <w:rsid w:val="00792BC7"/>
    <w:rsid w:val="007934D1"/>
    <w:rsid w:val="00793796"/>
    <w:rsid w:val="0079404C"/>
    <w:rsid w:val="00794D36"/>
    <w:rsid w:val="00797A4C"/>
    <w:rsid w:val="00797BB8"/>
    <w:rsid w:val="007A3A53"/>
    <w:rsid w:val="007A44DA"/>
    <w:rsid w:val="007A518E"/>
    <w:rsid w:val="007A57DB"/>
    <w:rsid w:val="007A6205"/>
    <w:rsid w:val="007A7421"/>
    <w:rsid w:val="007B0BAB"/>
    <w:rsid w:val="007B1193"/>
    <w:rsid w:val="007B215B"/>
    <w:rsid w:val="007B2358"/>
    <w:rsid w:val="007B2CDF"/>
    <w:rsid w:val="007B2DEF"/>
    <w:rsid w:val="007B441F"/>
    <w:rsid w:val="007B4A90"/>
    <w:rsid w:val="007B5725"/>
    <w:rsid w:val="007C04CD"/>
    <w:rsid w:val="007C08E3"/>
    <w:rsid w:val="007C15BB"/>
    <w:rsid w:val="007C25D3"/>
    <w:rsid w:val="007C279D"/>
    <w:rsid w:val="007C27E2"/>
    <w:rsid w:val="007C2810"/>
    <w:rsid w:val="007C30EF"/>
    <w:rsid w:val="007C3F6F"/>
    <w:rsid w:val="007C4173"/>
    <w:rsid w:val="007C572E"/>
    <w:rsid w:val="007C6D0C"/>
    <w:rsid w:val="007C76F4"/>
    <w:rsid w:val="007D09B3"/>
    <w:rsid w:val="007D0E38"/>
    <w:rsid w:val="007D1842"/>
    <w:rsid w:val="007D1B97"/>
    <w:rsid w:val="007D28A9"/>
    <w:rsid w:val="007D4098"/>
    <w:rsid w:val="007D4E72"/>
    <w:rsid w:val="007D5967"/>
    <w:rsid w:val="007D60CF"/>
    <w:rsid w:val="007D629B"/>
    <w:rsid w:val="007D7358"/>
    <w:rsid w:val="007E00DC"/>
    <w:rsid w:val="007E0448"/>
    <w:rsid w:val="007E04AE"/>
    <w:rsid w:val="007E0C0D"/>
    <w:rsid w:val="007E214C"/>
    <w:rsid w:val="007E2509"/>
    <w:rsid w:val="007E3C37"/>
    <w:rsid w:val="007E641C"/>
    <w:rsid w:val="007E7879"/>
    <w:rsid w:val="007F0995"/>
    <w:rsid w:val="007F0CD9"/>
    <w:rsid w:val="007F2DBE"/>
    <w:rsid w:val="007F50B0"/>
    <w:rsid w:val="007F5345"/>
    <w:rsid w:val="007F60D4"/>
    <w:rsid w:val="007F680A"/>
    <w:rsid w:val="007F778F"/>
    <w:rsid w:val="007F796D"/>
    <w:rsid w:val="008030B5"/>
    <w:rsid w:val="00804082"/>
    <w:rsid w:val="00804AF2"/>
    <w:rsid w:val="00814EC8"/>
    <w:rsid w:val="00815EB1"/>
    <w:rsid w:val="00816D5C"/>
    <w:rsid w:val="00817D8A"/>
    <w:rsid w:val="00821EBD"/>
    <w:rsid w:val="00824A99"/>
    <w:rsid w:val="00826019"/>
    <w:rsid w:val="00830140"/>
    <w:rsid w:val="008317F1"/>
    <w:rsid w:val="00831965"/>
    <w:rsid w:val="00832F77"/>
    <w:rsid w:val="0083367E"/>
    <w:rsid w:val="00835E94"/>
    <w:rsid w:val="00835F73"/>
    <w:rsid w:val="00836D58"/>
    <w:rsid w:val="00837250"/>
    <w:rsid w:val="00840219"/>
    <w:rsid w:val="00841BE7"/>
    <w:rsid w:val="00842350"/>
    <w:rsid w:val="00842AC7"/>
    <w:rsid w:val="00844A98"/>
    <w:rsid w:val="00844E5E"/>
    <w:rsid w:val="00845AED"/>
    <w:rsid w:val="00846155"/>
    <w:rsid w:val="00846256"/>
    <w:rsid w:val="008468A9"/>
    <w:rsid w:val="00850B15"/>
    <w:rsid w:val="00851715"/>
    <w:rsid w:val="00853728"/>
    <w:rsid w:val="00855150"/>
    <w:rsid w:val="0085759C"/>
    <w:rsid w:val="00857E27"/>
    <w:rsid w:val="00857ED2"/>
    <w:rsid w:val="00860644"/>
    <w:rsid w:val="00860893"/>
    <w:rsid w:val="00860C10"/>
    <w:rsid w:val="00861AB9"/>
    <w:rsid w:val="00862097"/>
    <w:rsid w:val="00863A71"/>
    <w:rsid w:val="008651B7"/>
    <w:rsid w:val="0086642E"/>
    <w:rsid w:val="008664DB"/>
    <w:rsid w:val="008665E8"/>
    <w:rsid w:val="00867273"/>
    <w:rsid w:val="00867E4A"/>
    <w:rsid w:val="008703D1"/>
    <w:rsid w:val="008711A2"/>
    <w:rsid w:val="00872BCB"/>
    <w:rsid w:val="00873842"/>
    <w:rsid w:val="00876354"/>
    <w:rsid w:val="00876E87"/>
    <w:rsid w:val="00877B56"/>
    <w:rsid w:val="008810A1"/>
    <w:rsid w:val="0088110F"/>
    <w:rsid w:val="008820E8"/>
    <w:rsid w:val="00884799"/>
    <w:rsid w:val="008904ED"/>
    <w:rsid w:val="008932AD"/>
    <w:rsid w:val="00893E8E"/>
    <w:rsid w:val="0089635F"/>
    <w:rsid w:val="008971EC"/>
    <w:rsid w:val="008A22BA"/>
    <w:rsid w:val="008A4916"/>
    <w:rsid w:val="008A5D8A"/>
    <w:rsid w:val="008A6619"/>
    <w:rsid w:val="008A743B"/>
    <w:rsid w:val="008A79FA"/>
    <w:rsid w:val="008B02F8"/>
    <w:rsid w:val="008B10D7"/>
    <w:rsid w:val="008B3435"/>
    <w:rsid w:val="008B4D70"/>
    <w:rsid w:val="008B5681"/>
    <w:rsid w:val="008B5ADA"/>
    <w:rsid w:val="008C0F3D"/>
    <w:rsid w:val="008C1A9D"/>
    <w:rsid w:val="008C5A16"/>
    <w:rsid w:val="008C6739"/>
    <w:rsid w:val="008C69B4"/>
    <w:rsid w:val="008D0052"/>
    <w:rsid w:val="008D04EA"/>
    <w:rsid w:val="008D16EC"/>
    <w:rsid w:val="008D1D89"/>
    <w:rsid w:val="008D22E5"/>
    <w:rsid w:val="008D245B"/>
    <w:rsid w:val="008D2920"/>
    <w:rsid w:val="008D439C"/>
    <w:rsid w:val="008D54BA"/>
    <w:rsid w:val="008D5E19"/>
    <w:rsid w:val="008D6DA1"/>
    <w:rsid w:val="008D7109"/>
    <w:rsid w:val="008E1A01"/>
    <w:rsid w:val="008E22D7"/>
    <w:rsid w:val="008E50C2"/>
    <w:rsid w:val="008E6C6A"/>
    <w:rsid w:val="008F02DD"/>
    <w:rsid w:val="008F1B85"/>
    <w:rsid w:val="008F23E2"/>
    <w:rsid w:val="008F389D"/>
    <w:rsid w:val="008F6115"/>
    <w:rsid w:val="008F69D9"/>
    <w:rsid w:val="008F768A"/>
    <w:rsid w:val="009005AA"/>
    <w:rsid w:val="00900693"/>
    <w:rsid w:val="0090106A"/>
    <w:rsid w:val="0090164E"/>
    <w:rsid w:val="0090307E"/>
    <w:rsid w:val="00904733"/>
    <w:rsid w:val="00905CC0"/>
    <w:rsid w:val="00906546"/>
    <w:rsid w:val="00906ABA"/>
    <w:rsid w:val="00906DF0"/>
    <w:rsid w:val="00910468"/>
    <w:rsid w:val="009149A8"/>
    <w:rsid w:val="009162EE"/>
    <w:rsid w:val="00916648"/>
    <w:rsid w:val="00917586"/>
    <w:rsid w:val="00921264"/>
    <w:rsid w:val="009212A0"/>
    <w:rsid w:val="00921C76"/>
    <w:rsid w:val="00922075"/>
    <w:rsid w:val="00925D2D"/>
    <w:rsid w:val="00925E36"/>
    <w:rsid w:val="00926314"/>
    <w:rsid w:val="0092645E"/>
    <w:rsid w:val="00927996"/>
    <w:rsid w:val="009279BD"/>
    <w:rsid w:val="009306C1"/>
    <w:rsid w:val="0093144C"/>
    <w:rsid w:val="009318B2"/>
    <w:rsid w:val="00931A52"/>
    <w:rsid w:val="00932109"/>
    <w:rsid w:val="009321BC"/>
    <w:rsid w:val="00933794"/>
    <w:rsid w:val="009338E7"/>
    <w:rsid w:val="00935335"/>
    <w:rsid w:val="00936454"/>
    <w:rsid w:val="00936B4F"/>
    <w:rsid w:val="009375C9"/>
    <w:rsid w:val="0094099C"/>
    <w:rsid w:val="00941037"/>
    <w:rsid w:val="00941C90"/>
    <w:rsid w:val="00942FFE"/>
    <w:rsid w:val="00943664"/>
    <w:rsid w:val="00943C02"/>
    <w:rsid w:val="00944D81"/>
    <w:rsid w:val="009455F8"/>
    <w:rsid w:val="00945EDC"/>
    <w:rsid w:val="00947F94"/>
    <w:rsid w:val="00950044"/>
    <w:rsid w:val="00950A99"/>
    <w:rsid w:val="00951192"/>
    <w:rsid w:val="009524E8"/>
    <w:rsid w:val="00953A68"/>
    <w:rsid w:val="009551EB"/>
    <w:rsid w:val="009569D9"/>
    <w:rsid w:val="00956BB9"/>
    <w:rsid w:val="00957609"/>
    <w:rsid w:val="009608EB"/>
    <w:rsid w:val="009625DD"/>
    <w:rsid w:val="00962799"/>
    <w:rsid w:val="009637D1"/>
    <w:rsid w:val="00965370"/>
    <w:rsid w:val="00965870"/>
    <w:rsid w:val="009667B0"/>
    <w:rsid w:val="00966F05"/>
    <w:rsid w:val="009672E6"/>
    <w:rsid w:val="00971469"/>
    <w:rsid w:val="00971BCF"/>
    <w:rsid w:val="00971EDA"/>
    <w:rsid w:val="00971FDB"/>
    <w:rsid w:val="009731E1"/>
    <w:rsid w:val="00973CBD"/>
    <w:rsid w:val="00975C76"/>
    <w:rsid w:val="009775EA"/>
    <w:rsid w:val="009811CE"/>
    <w:rsid w:val="00981943"/>
    <w:rsid w:val="00981C4E"/>
    <w:rsid w:val="0098215D"/>
    <w:rsid w:val="00983004"/>
    <w:rsid w:val="00983114"/>
    <w:rsid w:val="009831F3"/>
    <w:rsid w:val="0098359B"/>
    <w:rsid w:val="00984427"/>
    <w:rsid w:val="009853A4"/>
    <w:rsid w:val="00985597"/>
    <w:rsid w:val="00987154"/>
    <w:rsid w:val="009878B0"/>
    <w:rsid w:val="00992B1F"/>
    <w:rsid w:val="00993E8B"/>
    <w:rsid w:val="00996025"/>
    <w:rsid w:val="009975B3"/>
    <w:rsid w:val="0099767E"/>
    <w:rsid w:val="009A0268"/>
    <w:rsid w:val="009A1F3F"/>
    <w:rsid w:val="009A46F0"/>
    <w:rsid w:val="009A498B"/>
    <w:rsid w:val="009A5163"/>
    <w:rsid w:val="009A6462"/>
    <w:rsid w:val="009A75F5"/>
    <w:rsid w:val="009A762B"/>
    <w:rsid w:val="009B05C0"/>
    <w:rsid w:val="009B0ACF"/>
    <w:rsid w:val="009B1012"/>
    <w:rsid w:val="009B1FB5"/>
    <w:rsid w:val="009B5611"/>
    <w:rsid w:val="009B5F1D"/>
    <w:rsid w:val="009B65CA"/>
    <w:rsid w:val="009B6DEC"/>
    <w:rsid w:val="009C0F33"/>
    <w:rsid w:val="009C10A3"/>
    <w:rsid w:val="009C1827"/>
    <w:rsid w:val="009C5C7B"/>
    <w:rsid w:val="009C7D44"/>
    <w:rsid w:val="009C7DBD"/>
    <w:rsid w:val="009C7FFC"/>
    <w:rsid w:val="009D22E6"/>
    <w:rsid w:val="009D30D7"/>
    <w:rsid w:val="009D38DE"/>
    <w:rsid w:val="009D420F"/>
    <w:rsid w:val="009D55AA"/>
    <w:rsid w:val="009D5852"/>
    <w:rsid w:val="009D75FE"/>
    <w:rsid w:val="009D7C6F"/>
    <w:rsid w:val="009D7D7B"/>
    <w:rsid w:val="009E1615"/>
    <w:rsid w:val="009E18D2"/>
    <w:rsid w:val="009E1BF5"/>
    <w:rsid w:val="009E2519"/>
    <w:rsid w:val="009E4238"/>
    <w:rsid w:val="009E4C84"/>
    <w:rsid w:val="009E550E"/>
    <w:rsid w:val="009E58AE"/>
    <w:rsid w:val="009E65AD"/>
    <w:rsid w:val="009E6908"/>
    <w:rsid w:val="009F091B"/>
    <w:rsid w:val="009F0E6F"/>
    <w:rsid w:val="009F2CBF"/>
    <w:rsid w:val="009F378D"/>
    <w:rsid w:val="009F4C6F"/>
    <w:rsid w:val="009F5B7C"/>
    <w:rsid w:val="009F6FE2"/>
    <w:rsid w:val="00A00E63"/>
    <w:rsid w:val="00A03ABD"/>
    <w:rsid w:val="00A052A9"/>
    <w:rsid w:val="00A0556E"/>
    <w:rsid w:val="00A10C44"/>
    <w:rsid w:val="00A129E8"/>
    <w:rsid w:val="00A12E22"/>
    <w:rsid w:val="00A1411F"/>
    <w:rsid w:val="00A149D3"/>
    <w:rsid w:val="00A16FDA"/>
    <w:rsid w:val="00A171F2"/>
    <w:rsid w:val="00A17FCD"/>
    <w:rsid w:val="00A210FD"/>
    <w:rsid w:val="00A22C7F"/>
    <w:rsid w:val="00A23484"/>
    <w:rsid w:val="00A23C9F"/>
    <w:rsid w:val="00A23F9F"/>
    <w:rsid w:val="00A24805"/>
    <w:rsid w:val="00A25216"/>
    <w:rsid w:val="00A2766B"/>
    <w:rsid w:val="00A318CF"/>
    <w:rsid w:val="00A31C6A"/>
    <w:rsid w:val="00A33031"/>
    <w:rsid w:val="00A33F44"/>
    <w:rsid w:val="00A36BF7"/>
    <w:rsid w:val="00A36C11"/>
    <w:rsid w:val="00A412E2"/>
    <w:rsid w:val="00A41589"/>
    <w:rsid w:val="00A41A87"/>
    <w:rsid w:val="00A422F9"/>
    <w:rsid w:val="00A44879"/>
    <w:rsid w:val="00A45356"/>
    <w:rsid w:val="00A45C4C"/>
    <w:rsid w:val="00A4612B"/>
    <w:rsid w:val="00A46F96"/>
    <w:rsid w:val="00A47A30"/>
    <w:rsid w:val="00A507FE"/>
    <w:rsid w:val="00A52A12"/>
    <w:rsid w:val="00A52A58"/>
    <w:rsid w:val="00A530A3"/>
    <w:rsid w:val="00A53A2F"/>
    <w:rsid w:val="00A574F5"/>
    <w:rsid w:val="00A613CD"/>
    <w:rsid w:val="00A61D9C"/>
    <w:rsid w:val="00A62593"/>
    <w:rsid w:val="00A633D9"/>
    <w:rsid w:val="00A63A31"/>
    <w:rsid w:val="00A63A99"/>
    <w:rsid w:val="00A63AE8"/>
    <w:rsid w:val="00A64EB2"/>
    <w:rsid w:val="00A6715F"/>
    <w:rsid w:val="00A67CAC"/>
    <w:rsid w:val="00A7187C"/>
    <w:rsid w:val="00A74720"/>
    <w:rsid w:val="00A74AD8"/>
    <w:rsid w:val="00A753CE"/>
    <w:rsid w:val="00A77BCB"/>
    <w:rsid w:val="00A8009F"/>
    <w:rsid w:val="00A80248"/>
    <w:rsid w:val="00A819D7"/>
    <w:rsid w:val="00A81D97"/>
    <w:rsid w:val="00A85316"/>
    <w:rsid w:val="00A8560B"/>
    <w:rsid w:val="00A85637"/>
    <w:rsid w:val="00A875A8"/>
    <w:rsid w:val="00A9098C"/>
    <w:rsid w:val="00A91399"/>
    <w:rsid w:val="00A91A2B"/>
    <w:rsid w:val="00A91D81"/>
    <w:rsid w:val="00A96499"/>
    <w:rsid w:val="00A973B3"/>
    <w:rsid w:val="00AA1DC9"/>
    <w:rsid w:val="00AA1F18"/>
    <w:rsid w:val="00AA3418"/>
    <w:rsid w:val="00AA3598"/>
    <w:rsid w:val="00AA497D"/>
    <w:rsid w:val="00AA4A52"/>
    <w:rsid w:val="00AA5C33"/>
    <w:rsid w:val="00AA5C9B"/>
    <w:rsid w:val="00AA7AAC"/>
    <w:rsid w:val="00AB032A"/>
    <w:rsid w:val="00AB035B"/>
    <w:rsid w:val="00AB1374"/>
    <w:rsid w:val="00AB1B1D"/>
    <w:rsid w:val="00AB5E53"/>
    <w:rsid w:val="00AB6F23"/>
    <w:rsid w:val="00AB7BED"/>
    <w:rsid w:val="00AB7F9D"/>
    <w:rsid w:val="00AC15FB"/>
    <w:rsid w:val="00AC24F0"/>
    <w:rsid w:val="00AC2F5C"/>
    <w:rsid w:val="00AC3A80"/>
    <w:rsid w:val="00AC4306"/>
    <w:rsid w:val="00AC4B17"/>
    <w:rsid w:val="00AC58AA"/>
    <w:rsid w:val="00AC660C"/>
    <w:rsid w:val="00AC703A"/>
    <w:rsid w:val="00AD1075"/>
    <w:rsid w:val="00AD16BE"/>
    <w:rsid w:val="00AD1B17"/>
    <w:rsid w:val="00AD4344"/>
    <w:rsid w:val="00AD445D"/>
    <w:rsid w:val="00AD4E7D"/>
    <w:rsid w:val="00AD52AE"/>
    <w:rsid w:val="00AD78A4"/>
    <w:rsid w:val="00AD7B45"/>
    <w:rsid w:val="00AE010F"/>
    <w:rsid w:val="00AE0F70"/>
    <w:rsid w:val="00AE4409"/>
    <w:rsid w:val="00AE5AA0"/>
    <w:rsid w:val="00AE5D3D"/>
    <w:rsid w:val="00AE5E9F"/>
    <w:rsid w:val="00AE5FFA"/>
    <w:rsid w:val="00AE7233"/>
    <w:rsid w:val="00AE73B4"/>
    <w:rsid w:val="00AE7D9D"/>
    <w:rsid w:val="00AF0C3A"/>
    <w:rsid w:val="00AF1EC8"/>
    <w:rsid w:val="00AF2698"/>
    <w:rsid w:val="00AF2B25"/>
    <w:rsid w:val="00AF2EBC"/>
    <w:rsid w:val="00AF5103"/>
    <w:rsid w:val="00AF5561"/>
    <w:rsid w:val="00B00272"/>
    <w:rsid w:val="00B02A2E"/>
    <w:rsid w:val="00B030ED"/>
    <w:rsid w:val="00B03CA4"/>
    <w:rsid w:val="00B04FCC"/>
    <w:rsid w:val="00B054E9"/>
    <w:rsid w:val="00B058D4"/>
    <w:rsid w:val="00B062BE"/>
    <w:rsid w:val="00B12AB8"/>
    <w:rsid w:val="00B13ECA"/>
    <w:rsid w:val="00B13FF7"/>
    <w:rsid w:val="00B146E0"/>
    <w:rsid w:val="00B152B7"/>
    <w:rsid w:val="00B163E0"/>
    <w:rsid w:val="00B17558"/>
    <w:rsid w:val="00B17F6C"/>
    <w:rsid w:val="00B20019"/>
    <w:rsid w:val="00B202CD"/>
    <w:rsid w:val="00B2081B"/>
    <w:rsid w:val="00B22F6E"/>
    <w:rsid w:val="00B22FAF"/>
    <w:rsid w:val="00B239AB"/>
    <w:rsid w:val="00B248D7"/>
    <w:rsid w:val="00B24B5F"/>
    <w:rsid w:val="00B24DA2"/>
    <w:rsid w:val="00B26CC7"/>
    <w:rsid w:val="00B27347"/>
    <w:rsid w:val="00B3068C"/>
    <w:rsid w:val="00B30FC2"/>
    <w:rsid w:val="00B31D61"/>
    <w:rsid w:val="00B320E7"/>
    <w:rsid w:val="00B32596"/>
    <w:rsid w:val="00B32EA0"/>
    <w:rsid w:val="00B33F98"/>
    <w:rsid w:val="00B349F0"/>
    <w:rsid w:val="00B3506E"/>
    <w:rsid w:val="00B3563A"/>
    <w:rsid w:val="00B40696"/>
    <w:rsid w:val="00B4084E"/>
    <w:rsid w:val="00B41128"/>
    <w:rsid w:val="00B44140"/>
    <w:rsid w:val="00B441AC"/>
    <w:rsid w:val="00B4605E"/>
    <w:rsid w:val="00B466F0"/>
    <w:rsid w:val="00B473B4"/>
    <w:rsid w:val="00B47692"/>
    <w:rsid w:val="00B47758"/>
    <w:rsid w:val="00B501E0"/>
    <w:rsid w:val="00B51B6F"/>
    <w:rsid w:val="00B51E4E"/>
    <w:rsid w:val="00B52EAF"/>
    <w:rsid w:val="00B54723"/>
    <w:rsid w:val="00B54820"/>
    <w:rsid w:val="00B54A8F"/>
    <w:rsid w:val="00B55AB7"/>
    <w:rsid w:val="00B578E9"/>
    <w:rsid w:val="00B6278B"/>
    <w:rsid w:val="00B63611"/>
    <w:rsid w:val="00B636D4"/>
    <w:rsid w:val="00B6402E"/>
    <w:rsid w:val="00B7002C"/>
    <w:rsid w:val="00B70BA4"/>
    <w:rsid w:val="00B7190B"/>
    <w:rsid w:val="00B72625"/>
    <w:rsid w:val="00B75254"/>
    <w:rsid w:val="00B769C4"/>
    <w:rsid w:val="00B803BF"/>
    <w:rsid w:val="00B806BC"/>
    <w:rsid w:val="00B80CAF"/>
    <w:rsid w:val="00B81C9D"/>
    <w:rsid w:val="00B820B9"/>
    <w:rsid w:val="00B82F5A"/>
    <w:rsid w:val="00B83858"/>
    <w:rsid w:val="00B83924"/>
    <w:rsid w:val="00B83ED8"/>
    <w:rsid w:val="00B83F02"/>
    <w:rsid w:val="00B8435F"/>
    <w:rsid w:val="00B84C9C"/>
    <w:rsid w:val="00B85FBE"/>
    <w:rsid w:val="00B90154"/>
    <w:rsid w:val="00B916A5"/>
    <w:rsid w:val="00B918C5"/>
    <w:rsid w:val="00B92DFE"/>
    <w:rsid w:val="00B946C1"/>
    <w:rsid w:val="00B95BCC"/>
    <w:rsid w:val="00B95BE4"/>
    <w:rsid w:val="00B9665C"/>
    <w:rsid w:val="00B96F4F"/>
    <w:rsid w:val="00BA0AE3"/>
    <w:rsid w:val="00BA13C9"/>
    <w:rsid w:val="00BA1BEB"/>
    <w:rsid w:val="00BA23DE"/>
    <w:rsid w:val="00BA24BD"/>
    <w:rsid w:val="00BA31FA"/>
    <w:rsid w:val="00BA4959"/>
    <w:rsid w:val="00BA5C36"/>
    <w:rsid w:val="00BA6026"/>
    <w:rsid w:val="00BA616F"/>
    <w:rsid w:val="00BA6326"/>
    <w:rsid w:val="00BA6935"/>
    <w:rsid w:val="00BA722C"/>
    <w:rsid w:val="00BA7236"/>
    <w:rsid w:val="00BB0FF0"/>
    <w:rsid w:val="00BB1B5F"/>
    <w:rsid w:val="00BB2F35"/>
    <w:rsid w:val="00BB31E6"/>
    <w:rsid w:val="00BB402D"/>
    <w:rsid w:val="00BB6FF7"/>
    <w:rsid w:val="00BB7557"/>
    <w:rsid w:val="00BC1E7C"/>
    <w:rsid w:val="00BC3790"/>
    <w:rsid w:val="00BC456A"/>
    <w:rsid w:val="00BC4A2C"/>
    <w:rsid w:val="00BC4F44"/>
    <w:rsid w:val="00BC5A49"/>
    <w:rsid w:val="00BC62A2"/>
    <w:rsid w:val="00BC6588"/>
    <w:rsid w:val="00BC6A8B"/>
    <w:rsid w:val="00BC7189"/>
    <w:rsid w:val="00BC7191"/>
    <w:rsid w:val="00BC7217"/>
    <w:rsid w:val="00BD073A"/>
    <w:rsid w:val="00BD0C0E"/>
    <w:rsid w:val="00BD1D1C"/>
    <w:rsid w:val="00BD25D8"/>
    <w:rsid w:val="00BD5EAB"/>
    <w:rsid w:val="00BD5ED6"/>
    <w:rsid w:val="00BD5F0B"/>
    <w:rsid w:val="00BD63CC"/>
    <w:rsid w:val="00BD655B"/>
    <w:rsid w:val="00BE0008"/>
    <w:rsid w:val="00BE11F5"/>
    <w:rsid w:val="00BE2650"/>
    <w:rsid w:val="00BE2BD5"/>
    <w:rsid w:val="00BE2D0C"/>
    <w:rsid w:val="00BE364C"/>
    <w:rsid w:val="00BE392B"/>
    <w:rsid w:val="00BE5092"/>
    <w:rsid w:val="00BF16B1"/>
    <w:rsid w:val="00BF2499"/>
    <w:rsid w:val="00BF266D"/>
    <w:rsid w:val="00BF2CC9"/>
    <w:rsid w:val="00BF363E"/>
    <w:rsid w:val="00BF4216"/>
    <w:rsid w:val="00BF54D1"/>
    <w:rsid w:val="00BF5968"/>
    <w:rsid w:val="00BF5D8D"/>
    <w:rsid w:val="00BF7E04"/>
    <w:rsid w:val="00C003E0"/>
    <w:rsid w:val="00C00CEC"/>
    <w:rsid w:val="00C02901"/>
    <w:rsid w:val="00C05598"/>
    <w:rsid w:val="00C059D8"/>
    <w:rsid w:val="00C111BE"/>
    <w:rsid w:val="00C125D2"/>
    <w:rsid w:val="00C12ADC"/>
    <w:rsid w:val="00C2015B"/>
    <w:rsid w:val="00C207BF"/>
    <w:rsid w:val="00C20B83"/>
    <w:rsid w:val="00C20BAA"/>
    <w:rsid w:val="00C21BD5"/>
    <w:rsid w:val="00C24B97"/>
    <w:rsid w:val="00C24C11"/>
    <w:rsid w:val="00C3063A"/>
    <w:rsid w:val="00C30A45"/>
    <w:rsid w:val="00C31482"/>
    <w:rsid w:val="00C31828"/>
    <w:rsid w:val="00C34598"/>
    <w:rsid w:val="00C34F85"/>
    <w:rsid w:val="00C375D8"/>
    <w:rsid w:val="00C37937"/>
    <w:rsid w:val="00C401E8"/>
    <w:rsid w:val="00C41860"/>
    <w:rsid w:val="00C429EB"/>
    <w:rsid w:val="00C42D4D"/>
    <w:rsid w:val="00C43B59"/>
    <w:rsid w:val="00C440B0"/>
    <w:rsid w:val="00C44668"/>
    <w:rsid w:val="00C46308"/>
    <w:rsid w:val="00C46A06"/>
    <w:rsid w:val="00C47651"/>
    <w:rsid w:val="00C50C5A"/>
    <w:rsid w:val="00C51986"/>
    <w:rsid w:val="00C51A49"/>
    <w:rsid w:val="00C52849"/>
    <w:rsid w:val="00C557B1"/>
    <w:rsid w:val="00C55E97"/>
    <w:rsid w:val="00C5617A"/>
    <w:rsid w:val="00C61652"/>
    <w:rsid w:val="00C61E23"/>
    <w:rsid w:val="00C623AA"/>
    <w:rsid w:val="00C63769"/>
    <w:rsid w:val="00C6381F"/>
    <w:rsid w:val="00C67EB3"/>
    <w:rsid w:val="00C70A82"/>
    <w:rsid w:val="00C71F63"/>
    <w:rsid w:val="00C7256E"/>
    <w:rsid w:val="00C74388"/>
    <w:rsid w:val="00C743C0"/>
    <w:rsid w:val="00C754EA"/>
    <w:rsid w:val="00C77A61"/>
    <w:rsid w:val="00C8006A"/>
    <w:rsid w:val="00C8064E"/>
    <w:rsid w:val="00C818AB"/>
    <w:rsid w:val="00C82192"/>
    <w:rsid w:val="00C826A0"/>
    <w:rsid w:val="00C83833"/>
    <w:rsid w:val="00C84252"/>
    <w:rsid w:val="00C87BC1"/>
    <w:rsid w:val="00C91F40"/>
    <w:rsid w:val="00C921AB"/>
    <w:rsid w:val="00C923B5"/>
    <w:rsid w:val="00C930D2"/>
    <w:rsid w:val="00C941E5"/>
    <w:rsid w:val="00C941F5"/>
    <w:rsid w:val="00C9443E"/>
    <w:rsid w:val="00C95296"/>
    <w:rsid w:val="00C9537B"/>
    <w:rsid w:val="00C96078"/>
    <w:rsid w:val="00C974F6"/>
    <w:rsid w:val="00CA05A3"/>
    <w:rsid w:val="00CA14EE"/>
    <w:rsid w:val="00CA1A03"/>
    <w:rsid w:val="00CA2B44"/>
    <w:rsid w:val="00CA32EC"/>
    <w:rsid w:val="00CA33D0"/>
    <w:rsid w:val="00CA363D"/>
    <w:rsid w:val="00CA3A2A"/>
    <w:rsid w:val="00CA4B9B"/>
    <w:rsid w:val="00CA4CEB"/>
    <w:rsid w:val="00CA51C7"/>
    <w:rsid w:val="00CA62D7"/>
    <w:rsid w:val="00CA678E"/>
    <w:rsid w:val="00CA6F35"/>
    <w:rsid w:val="00CA7177"/>
    <w:rsid w:val="00CA7DCF"/>
    <w:rsid w:val="00CB0497"/>
    <w:rsid w:val="00CB1093"/>
    <w:rsid w:val="00CB18F4"/>
    <w:rsid w:val="00CB21A9"/>
    <w:rsid w:val="00CB2246"/>
    <w:rsid w:val="00CB277A"/>
    <w:rsid w:val="00CB3655"/>
    <w:rsid w:val="00CB36C8"/>
    <w:rsid w:val="00CB40C1"/>
    <w:rsid w:val="00CB5BDA"/>
    <w:rsid w:val="00CB7777"/>
    <w:rsid w:val="00CB79EB"/>
    <w:rsid w:val="00CC1B31"/>
    <w:rsid w:val="00CC2986"/>
    <w:rsid w:val="00CC3FB2"/>
    <w:rsid w:val="00CC4981"/>
    <w:rsid w:val="00CC56E7"/>
    <w:rsid w:val="00CC5B99"/>
    <w:rsid w:val="00CC6421"/>
    <w:rsid w:val="00CD1464"/>
    <w:rsid w:val="00CD3B61"/>
    <w:rsid w:val="00CD3B79"/>
    <w:rsid w:val="00CD4A91"/>
    <w:rsid w:val="00CD5DB9"/>
    <w:rsid w:val="00CE11C5"/>
    <w:rsid w:val="00CE1B9E"/>
    <w:rsid w:val="00CE21C4"/>
    <w:rsid w:val="00CE2627"/>
    <w:rsid w:val="00CE351F"/>
    <w:rsid w:val="00CE4D1C"/>
    <w:rsid w:val="00CE5163"/>
    <w:rsid w:val="00CE73D6"/>
    <w:rsid w:val="00CE7BE3"/>
    <w:rsid w:val="00CE7D45"/>
    <w:rsid w:val="00CF04F0"/>
    <w:rsid w:val="00CF0B02"/>
    <w:rsid w:val="00CF113C"/>
    <w:rsid w:val="00CF121F"/>
    <w:rsid w:val="00CF249E"/>
    <w:rsid w:val="00CF2F81"/>
    <w:rsid w:val="00CF5135"/>
    <w:rsid w:val="00CF5482"/>
    <w:rsid w:val="00CF5783"/>
    <w:rsid w:val="00CF5A2C"/>
    <w:rsid w:val="00CF7043"/>
    <w:rsid w:val="00CF7E1F"/>
    <w:rsid w:val="00CF7F04"/>
    <w:rsid w:val="00CF7F58"/>
    <w:rsid w:val="00D005A0"/>
    <w:rsid w:val="00D00ABB"/>
    <w:rsid w:val="00D00E44"/>
    <w:rsid w:val="00D013CD"/>
    <w:rsid w:val="00D01452"/>
    <w:rsid w:val="00D0393F"/>
    <w:rsid w:val="00D060F3"/>
    <w:rsid w:val="00D0697A"/>
    <w:rsid w:val="00D06CBA"/>
    <w:rsid w:val="00D11C06"/>
    <w:rsid w:val="00D11F87"/>
    <w:rsid w:val="00D14CBC"/>
    <w:rsid w:val="00D15FA5"/>
    <w:rsid w:val="00D17205"/>
    <w:rsid w:val="00D179A0"/>
    <w:rsid w:val="00D20ACB"/>
    <w:rsid w:val="00D21BD7"/>
    <w:rsid w:val="00D21FAF"/>
    <w:rsid w:val="00D22DCD"/>
    <w:rsid w:val="00D24666"/>
    <w:rsid w:val="00D24704"/>
    <w:rsid w:val="00D26A09"/>
    <w:rsid w:val="00D303B0"/>
    <w:rsid w:val="00D32C9D"/>
    <w:rsid w:val="00D336AE"/>
    <w:rsid w:val="00D34436"/>
    <w:rsid w:val="00D34ADE"/>
    <w:rsid w:val="00D34D8A"/>
    <w:rsid w:val="00D35BA9"/>
    <w:rsid w:val="00D40418"/>
    <w:rsid w:val="00D409F4"/>
    <w:rsid w:val="00D415B3"/>
    <w:rsid w:val="00D41A28"/>
    <w:rsid w:val="00D41F02"/>
    <w:rsid w:val="00D44802"/>
    <w:rsid w:val="00D44E68"/>
    <w:rsid w:val="00D45842"/>
    <w:rsid w:val="00D471AC"/>
    <w:rsid w:val="00D50C46"/>
    <w:rsid w:val="00D51F2D"/>
    <w:rsid w:val="00D5388B"/>
    <w:rsid w:val="00D53F85"/>
    <w:rsid w:val="00D548F8"/>
    <w:rsid w:val="00D56677"/>
    <w:rsid w:val="00D56ADC"/>
    <w:rsid w:val="00D60909"/>
    <w:rsid w:val="00D615EC"/>
    <w:rsid w:val="00D62A1B"/>
    <w:rsid w:val="00D65E18"/>
    <w:rsid w:val="00D6725A"/>
    <w:rsid w:val="00D678E4"/>
    <w:rsid w:val="00D71CB1"/>
    <w:rsid w:val="00D72427"/>
    <w:rsid w:val="00D77181"/>
    <w:rsid w:val="00D77A6B"/>
    <w:rsid w:val="00D77DB5"/>
    <w:rsid w:val="00D82091"/>
    <w:rsid w:val="00D82634"/>
    <w:rsid w:val="00D840B3"/>
    <w:rsid w:val="00D845DF"/>
    <w:rsid w:val="00D84E59"/>
    <w:rsid w:val="00D8561C"/>
    <w:rsid w:val="00D86292"/>
    <w:rsid w:val="00D87A48"/>
    <w:rsid w:val="00D9398D"/>
    <w:rsid w:val="00D95715"/>
    <w:rsid w:val="00D95C0C"/>
    <w:rsid w:val="00D97247"/>
    <w:rsid w:val="00D975F1"/>
    <w:rsid w:val="00D97756"/>
    <w:rsid w:val="00D97CDE"/>
    <w:rsid w:val="00DA0A4C"/>
    <w:rsid w:val="00DA0C29"/>
    <w:rsid w:val="00DA2370"/>
    <w:rsid w:val="00DA3F5F"/>
    <w:rsid w:val="00DA526C"/>
    <w:rsid w:val="00DA568C"/>
    <w:rsid w:val="00DA711E"/>
    <w:rsid w:val="00DA72DF"/>
    <w:rsid w:val="00DA77C8"/>
    <w:rsid w:val="00DA7E75"/>
    <w:rsid w:val="00DB0E4E"/>
    <w:rsid w:val="00DB11DC"/>
    <w:rsid w:val="00DB3046"/>
    <w:rsid w:val="00DB39D1"/>
    <w:rsid w:val="00DB436B"/>
    <w:rsid w:val="00DB4888"/>
    <w:rsid w:val="00DC079C"/>
    <w:rsid w:val="00DC0B29"/>
    <w:rsid w:val="00DC12E0"/>
    <w:rsid w:val="00DC277D"/>
    <w:rsid w:val="00DC31EF"/>
    <w:rsid w:val="00DC5471"/>
    <w:rsid w:val="00DC5D4E"/>
    <w:rsid w:val="00DC7363"/>
    <w:rsid w:val="00DC7EF2"/>
    <w:rsid w:val="00DD04F7"/>
    <w:rsid w:val="00DD1446"/>
    <w:rsid w:val="00DD1C7F"/>
    <w:rsid w:val="00DD3FF8"/>
    <w:rsid w:val="00DD46FC"/>
    <w:rsid w:val="00DD58A9"/>
    <w:rsid w:val="00DD65FB"/>
    <w:rsid w:val="00DE02E3"/>
    <w:rsid w:val="00DE05FD"/>
    <w:rsid w:val="00DE15F3"/>
    <w:rsid w:val="00DE279B"/>
    <w:rsid w:val="00DE2CFD"/>
    <w:rsid w:val="00DE54E9"/>
    <w:rsid w:val="00DE6534"/>
    <w:rsid w:val="00DE6BAA"/>
    <w:rsid w:val="00DE77B4"/>
    <w:rsid w:val="00DF044D"/>
    <w:rsid w:val="00DF16AE"/>
    <w:rsid w:val="00DF184A"/>
    <w:rsid w:val="00DF3645"/>
    <w:rsid w:val="00DF4390"/>
    <w:rsid w:val="00DF64CE"/>
    <w:rsid w:val="00E00722"/>
    <w:rsid w:val="00E00B53"/>
    <w:rsid w:val="00E00F6C"/>
    <w:rsid w:val="00E01A14"/>
    <w:rsid w:val="00E02417"/>
    <w:rsid w:val="00E03CD9"/>
    <w:rsid w:val="00E0635F"/>
    <w:rsid w:val="00E06B2E"/>
    <w:rsid w:val="00E07A37"/>
    <w:rsid w:val="00E107A4"/>
    <w:rsid w:val="00E1135F"/>
    <w:rsid w:val="00E113DE"/>
    <w:rsid w:val="00E1382B"/>
    <w:rsid w:val="00E142CB"/>
    <w:rsid w:val="00E2098E"/>
    <w:rsid w:val="00E20B8E"/>
    <w:rsid w:val="00E21D15"/>
    <w:rsid w:val="00E224E0"/>
    <w:rsid w:val="00E233E9"/>
    <w:rsid w:val="00E25818"/>
    <w:rsid w:val="00E27D25"/>
    <w:rsid w:val="00E30EB6"/>
    <w:rsid w:val="00E31CF0"/>
    <w:rsid w:val="00E32A29"/>
    <w:rsid w:val="00E33792"/>
    <w:rsid w:val="00E33BDD"/>
    <w:rsid w:val="00E35157"/>
    <w:rsid w:val="00E425A7"/>
    <w:rsid w:val="00E425DD"/>
    <w:rsid w:val="00E42BD6"/>
    <w:rsid w:val="00E43106"/>
    <w:rsid w:val="00E43464"/>
    <w:rsid w:val="00E44FF9"/>
    <w:rsid w:val="00E45267"/>
    <w:rsid w:val="00E45E27"/>
    <w:rsid w:val="00E4724A"/>
    <w:rsid w:val="00E4731B"/>
    <w:rsid w:val="00E501D5"/>
    <w:rsid w:val="00E50B43"/>
    <w:rsid w:val="00E51CAE"/>
    <w:rsid w:val="00E521AC"/>
    <w:rsid w:val="00E52864"/>
    <w:rsid w:val="00E52BFA"/>
    <w:rsid w:val="00E53EAF"/>
    <w:rsid w:val="00E5421B"/>
    <w:rsid w:val="00E548E1"/>
    <w:rsid w:val="00E55448"/>
    <w:rsid w:val="00E55FC6"/>
    <w:rsid w:val="00E56AFD"/>
    <w:rsid w:val="00E608CB"/>
    <w:rsid w:val="00E61A14"/>
    <w:rsid w:val="00E61AE3"/>
    <w:rsid w:val="00E621B5"/>
    <w:rsid w:val="00E63329"/>
    <w:rsid w:val="00E63A14"/>
    <w:rsid w:val="00E64B8B"/>
    <w:rsid w:val="00E64FFB"/>
    <w:rsid w:val="00E650AD"/>
    <w:rsid w:val="00E652F0"/>
    <w:rsid w:val="00E65783"/>
    <w:rsid w:val="00E65DB7"/>
    <w:rsid w:val="00E66173"/>
    <w:rsid w:val="00E66865"/>
    <w:rsid w:val="00E6755C"/>
    <w:rsid w:val="00E67D6B"/>
    <w:rsid w:val="00E67DCD"/>
    <w:rsid w:val="00E70C94"/>
    <w:rsid w:val="00E70F6D"/>
    <w:rsid w:val="00E71C41"/>
    <w:rsid w:val="00E72AC8"/>
    <w:rsid w:val="00E7307D"/>
    <w:rsid w:val="00E7422A"/>
    <w:rsid w:val="00E749E5"/>
    <w:rsid w:val="00E74F2C"/>
    <w:rsid w:val="00E7751D"/>
    <w:rsid w:val="00E77FB4"/>
    <w:rsid w:val="00E804B0"/>
    <w:rsid w:val="00E81585"/>
    <w:rsid w:val="00E81935"/>
    <w:rsid w:val="00E828EC"/>
    <w:rsid w:val="00E83B62"/>
    <w:rsid w:val="00E83DF1"/>
    <w:rsid w:val="00E83E35"/>
    <w:rsid w:val="00E86D78"/>
    <w:rsid w:val="00E8770F"/>
    <w:rsid w:val="00E901EA"/>
    <w:rsid w:val="00E91269"/>
    <w:rsid w:val="00E91702"/>
    <w:rsid w:val="00E934F5"/>
    <w:rsid w:val="00E97CAE"/>
    <w:rsid w:val="00EA0C20"/>
    <w:rsid w:val="00EA0CC4"/>
    <w:rsid w:val="00EA1074"/>
    <w:rsid w:val="00EA126F"/>
    <w:rsid w:val="00EA14C6"/>
    <w:rsid w:val="00EA18E4"/>
    <w:rsid w:val="00EA1C52"/>
    <w:rsid w:val="00EA213E"/>
    <w:rsid w:val="00EA2F39"/>
    <w:rsid w:val="00EA395B"/>
    <w:rsid w:val="00EA3DAE"/>
    <w:rsid w:val="00EA503B"/>
    <w:rsid w:val="00EB080E"/>
    <w:rsid w:val="00EB1C31"/>
    <w:rsid w:val="00EB1EEE"/>
    <w:rsid w:val="00EB4642"/>
    <w:rsid w:val="00EB46D3"/>
    <w:rsid w:val="00EB537B"/>
    <w:rsid w:val="00EB6BA7"/>
    <w:rsid w:val="00EB721F"/>
    <w:rsid w:val="00EB74A1"/>
    <w:rsid w:val="00EC2298"/>
    <w:rsid w:val="00EC2429"/>
    <w:rsid w:val="00EC2652"/>
    <w:rsid w:val="00EC6AA3"/>
    <w:rsid w:val="00EC7C2C"/>
    <w:rsid w:val="00EC7CA2"/>
    <w:rsid w:val="00ED124B"/>
    <w:rsid w:val="00ED19A2"/>
    <w:rsid w:val="00ED3494"/>
    <w:rsid w:val="00ED36C9"/>
    <w:rsid w:val="00ED38F3"/>
    <w:rsid w:val="00ED4927"/>
    <w:rsid w:val="00ED6F6E"/>
    <w:rsid w:val="00ED7D00"/>
    <w:rsid w:val="00ED7DF0"/>
    <w:rsid w:val="00EE1024"/>
    <w:rsid w:val="00EE1A14"/>
    <w:rsid w:val="00EE1B15"/>
    <w:rsid w:val="00EE3256"/>
    <w:rsid w:val="00EE6B59"/>
    <w:rsid w:val="00EE6DFF"/>
    <w:rsid w:val="00EF2D9A"/>
    <w:rsid w:val="00EF381D"/>
    <w:rsid w:val="00EF4C76"/>
    <w:rsid w:val="00EF5BB6"/>
    <w:rsid w:val="00EF6C44"/>
    <w:rsid w:val="00EF763B"/>
    <w:rsid w:val="00EF79B1"/>
    <w:rsid w:val="00EF7BC5"/>
    <w:rsid w:val="00F00E7D"/>
    <w:rsid w:val="00F026B6"/>
    <w:rsid w:val="00F03A8E"/>
    <w:rsid w:val="00F03EF2"/>
    <w:rsid w:val="00F04D55"/>
    <w:rsid w:val="00F04E91"/>
    <w:rsid w:val="00F0743E"/>
    <w:rsid w:val="00F101E2"/>
    <w:rsid w:val="00F11437"/>
    <w:rsid w:val="00F13034"/>
    <w:rsid w:val="00F133FC"/>
    <w:rsid w:val="00F13A12"/>
    <w:rsid w:val="00F14020"/>
    <w:rsid w:val="00F140AB"/>
    <w:rsid w:val="00F14356"/>
    <w:rsid w:val="00F148D9"/>
    <w:rsid w:val="00F14B6A"/>
    <w:rsid w:val="00F1508A"/>
    <w:rsid w:val="00F1582E"/>
    <w:rsid w:val="00F1599A"/>
    <w:rsid w:val="00F172FF"/>
    <w:rsid w:val="00F20032"/>
    <w:rsid w:val="00F2088D"/>
    <w:rsid w:val="00F208F2"/>
    <w:rsid w:val="00F20F94"/>
    <w:rsid w:val="00F21FC2"/>
    <w:rsid w:val="00F23CF3"/>
    <w:rsid w:val="00F23EC8"/>
    <w:rsid w:val="00F26114"/>
    <w:rsid w:val="00F26504"/>
    <w:rsid w:val="00F2699D"/>
    <w:rsid w:val="00F26DB7"/>
    <w:rsid w:val="00F27682"/>
    <w:rsid w:val="00F30146"/>
    <w:rsid w:val="00F30270"/>
    <w:rsid w:val="00F324F9"/>
    <w:rsid w:val="00F338FD"/>
    <w:rsid w:val="00F33B37"/>
    <w:rsid w:val="00F34F73"/>
    <w:rsid w:val="00F36779"/>
    <w:rsid w:val="00F37CC5"/>
    <w:rsid w:val="00F400F4"/>
    <w:rsid w:val="00F40997"/>
    <w:rsid w:val="00F415D2"/>
    <w:rsid w:val="00F43C5A"/>
    <w:rsid w:val="00F4448A"/>
    <w:rsid w:val="00F50F18"/>
    <w:rsid w:val="00F51AFC"/>
    <w:rsid w:val="00F52ED4"/>
    <w:rsid w:val="00F53B8F"/>
    <w:rsid w:val="00F54B3F"/>
    <w:rsid w:val="00F54F44"/>
    <w:rsid w:val="00F55A3A"/>
    <w:rsid w:val="00F5603C"/>
    <w:rsid w:val="00F57C94"/>
    <w:rsid w:val="00F608A6"/>
    <w:rsid w:val="00F6274D"/>
    <w:rsid w:val="00F62AE7"/>
    <w:rsid w:val="00F63722"/>
    <w:rsid w:val="00F64C65"/>
    <w:rsid w:val="00F65625"/>
    <w:rsid w:val="00F66501"/>
    <w:rsid w:val="00F66E3D"/>
    <w:rsid w:val="00F706C4"/>
    <w:rsid w:val="00F71110"/>
    <w:rsid w:val="00F7184C"/>
    <w:rsid w:val="00F733D8"/>
    <w:rsid w:val="00F73AA5"/>
    <w:rsid w:val="00F73B26"/>
    <w:rsid w:val="00F76329"/>
    <w:rsid w:val="00F764B1"/>
    <w:rsid w:val="00F7750C"/>
    <w:rsid w:val="00F775D1"/>
    <w:rsid w:val="00F803C4"/>
    <w:rsid w:val="00F803D7"/>
    <w:rsid w:val="00F80DCB"/>
    <w:rsid w:val="00F828F1"/>
    <w:rsid w:val="00F829CC"/>
    <w:rsid w:val="00F8401C"/>
    <w:rsid w:val="00F864F7"/>
    <w:rsid w:val="00F86B20"/>
    <w:rsid w:val="00F86B72"/>
    <w:rsid w:val="00F90477"/>
    <w:rsid w:val="00F906D8"/>
    <w:rsid w:val="00F90987"/>
    <w:rsid w:val="00F912A0"/>
    <w:rsid w:val="00F916A9"/>
    <w:rsid w:val="00F9186C"/>
    <w:rsid w:val="00F92EFB"/>
    <w:rsid w:val="00F943AF"/>
    <w:rsid w:val="00F9447E"/>
    <w:rsid w:val="00F954C5"/>
    <w:rsid w:val="00F95959"/>
    <w:rsid w:val="00F97076"/>
    <w:rsid w:val="00FA2860"/>
    <w:rsid w:val="00FA3172"/>
    <w:rsid w:val="00FA4492"/>
    <w:rsid w:val="00FA7CF1"/>
    <w:rsid w:val="00FA7D87"/>
    <w:rsid w:val="00FB1EE7"/>
    <w:rsid w:val="00FB36FC"/>
    <w:rsid w:val="00FB42DB"/>
    <w:rsid w:val="00FB5315"/>
    <w:rsid w:val="00FB60FF"/>
    <w:rsid w:val="00FB6F87"/>
    <w:rsid w:val="00FB717F"/>
    <w:rsid w:val="00FB7894"/>
    <w:rsid w:val="00FB792A"/>
    <w:rsid w:val="00FC0C7C"/>
    <w:rsid w:val="00FC3EB0"/>
    <w:rsid w:val="00FC4DCF"/>
    <w:rsid w:val="00FC4DD1"/>
    <w:rsid w:val="00FC62EF"/>
    <w:rsid w:val="00FC6687"/>
    <w:rsid w:val="00FC7C1A"/>
    <w:rsid w:val="00FD1071"/>
    <w:rsid w:val="00FD14F4"/>
    <w:rsid w:val="00FD6242"/>
    <w:rsid w:val="00FD631F"/>
    <w:rsid w:val="00FD7242"/>
    <w:rsid w:val="00FD78A6"/>
    <w:rsid w:val="00FE069D"/>
    <w:rsid w:val="00FE24CC"/>
    <w:rsid w:val="00FE26CE"/>
    <w:rsid w:val="00FE3074"/>
    <w:rsid w:val="00FE30B2"/>
    <w:rsid w:val="00FE3249"/>
    <w:rsid w:val="00FE480A"/>
    <w:rsid w:val="00FE5A14"/>
    <w:rsid w:val="00FE5B37"/>
    <w:rsid w:val="00FE62E1"/>
    <w:rsid w:val="00FE74D2"/>
    <w:rsid w:val="00FF0034"/>
    <w:rsid w:val="00FF095A"/>
    <w:rsid w:val="00FF0D5D"/>
    <w:rsid w:val="00FF21E7"/>
    <w:rsid w:val="00FF3B1A"/>
    <w:rsid w:val="00FF3C94"/>
    <w:rsid w:val="00FF4F16"/>
    <w:rsid w:val="00FF5FA5"/>
    <w:rsid w:val="00FF6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4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fr-F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763"/>
    <w:rPr>
      <w:rFonts w:ascii="Times New Roman" w:eastAsia="Times New Roman" w:hAnsi="Times New Roman"/>
      <w:sz w:val="24"/>
      <w:szCs w:val="24"/>
      <w:lang w:val="en-GB" w:eastAsia="en-US" w:bidi="ar-SA"/>
    </w:rPr>
  </w:style>
  <w:style w:type="paragraph" w:styleId="Nagwek1">
    <w:name w:val="heading 1"/>
    <w:basedOn w:val="Normalny"/>
    <w:next w:val="Normalny"/>
    <w:link w:val="Nagwek1Znak"/>
    <w:uiPriority w:val="99"/>
    <w:qFormat/>
    <w:rsid w:val="00C95296"/>
    <w:pPr>
      <w:keepNext/>
      <w:suppressAutoHyphens/>
      <w:jc w:val="both"/>
      <w:outlineLvl w:val="0"/>
    </w:pPr>
    <w:rPr>
      <w:rFonts w:ascii="Verdana" w:hAnsi="Verdana"/>
      <w:b/>
      <w:bCs/>
      <w:sz w:val="20"/>
    </w:rPr>
  </w:style>
  <w:style w:type="paragraph" w:styleId="Nagwek2">
    <w:name w:val="heading 2"/>
    <w:basedOn w:val="Normalny"/>
    <w:next w:val="Normalny"/>
    <w:link w:val="Nagwek2Znak"/>
    <w:uiPriority w:val="99"/>
    <w:qFormat/>
    <w:rsid w:val="00C95296"/>
    <w:pPr>
      <w:keepNext/>
      <w:tabs>
        <w:tab w:val="left" w:pos="-720"/>
      </w:tabs>
      <w:suppressAutoHyphens/>
      <w:jc w:val="both"/>
      <w:outlineLvl w:val="1"/>
    </w:pPr>
    <w:rPr>
      <w:rFonts w:ascii="Verdana" w:hAnsi="Verdana"/>
      <w:spacing w:val="-3"/>
      <w:sz w:val="20"/>
      <w:szCs w:val="20"/>
      <w:u w:val="single"/>
    </w:rPr>
  </w:style>
  <w:style w:type="paragraph" w:styleId="Nagwek3">
    <w:name w:val="heading 3"/>
    <w:basedOn w:val="Normalny"/>
    <w:next w:val="Normalny"/>
    <w:link w:val="Nagwek3Znak"/>
    <w:uiPriority w:val="99"/>
    <w:qFormat/>
    <w:rsid w:val="00C95296"/>
    <w:pPr>
      <w:keepNext/>
      <w:tabs>
        <w:tab w:val="left" w:pos="7088"/>
        <w:tab w:val="right" w:pos="9026"/>
        <w:tab w:val="right" w:pos="9072"/>
      </w:tabs>
      <w:suppressAutoHyphens/>
      <w:jc w:val="both"/>
      <w:outlineLvl w:val="2"/>
    </w:pPr>
    <w:rPr>
      <w:rFonts w:ascii="Verdana" w:hAnsi="Verdana"/>
      <w:i/>
      <w:sz w:val="20"/>
    </w:rPr>
  </w:style>
  <w:style w:type="paragraph" w:styleId="Nagwek4">
    <w:name w:val="heading 4"/>
    <w:basedOn w:val="Normalny"/>
    <w:next w:val="Normalny"/>
    <w:link w:val="Nagwek4Znak"/>
    <w:uiPriority w:val="99"/>
    <w:qFormat/>
    <w:rsid w:val="00C95296"/>
    <w:pPr>
      <w:keepNext/>
      <w:ind w:left="20" w:right="39"/>
      <w:jc w:val="both"/>
      <w:outlineLvl w:val="3"/>
    </w:pPr>
    <w:rPr>
      <w:rFonts w:ascii="Verdana" w:hAnsi="Verdana"/>
      <w:b/>
      <w:bCs/>
      <w:sz w:val="20"/>
    </w:rPr>
  </w:style>
  <w:style w:type="paragraph" w:styleId="Nagwek5">
    <w:name w:val="heading 5"/>
    <w:basedOn w:val="Normalny"/>
    <w:next w:val="Normalny"/>
    <w:link w:val="Nagwek5Znak"/>
    <w:uiPriority w:val="99"/>
    <w:qFormat/>
    <w:rsid w:val="00C95296"/>
    <w:pPr>
      <w:keepNext/>
      <w:ind w:right="39"/>
      <w:jc w:val="both"/>
      <w:outlineLvl w:val="4"/>
    </w:pPr>
    <w:rPr>
      <w:rFonts w:ascii="Arial Narrow" w:hAnsi="Arial Narrow"/>
      <w:i/>
      <w:sz w:val="20"/>
    </w:rPr>
  </w:style>
  <w:style w:type="paragraph" w:styleId="Nagwek6">
    <w:name w:val="heading 6"/>
    <w:basedOn w:val="Normalny"/>
    <w:next w:val="Normalny"/>
    <w:link w:val="Nagwek6Znak"/>
    <w:uiPriority w:val="99"/>
    <w:qFormat/>
    <w:rsid w:val="00C95296"/>
    <w:pPr>
      <w:keepNext/>
      <w:tabs>
        <w:tab w:val="center" w:pos="2268"/>
        <w:tab w:val="center" w:pos="4513"/>
      </w:tabs>
      <w:suppressAutoHyphens/>
      <w:jc w:val="center"/>
      <w:outlineLvl w:val="5"/>
    </w:pPr>
    <w:rPr>
      <w:rFonts w:ascii="Verdana" w:hAnsi="Verdana"/>
      <w:b/>
      <w:spacing w:val="-6"/>
      <w:sz w:val="16"/>
    </w:rPr>
  </w:style>
  <w:style w:type="paragraph" w:styleId="Nagwek7">
    <w:name w:val="heading 7"/>
    <w:basedOn w:val="Normalny"/>
    <w:next w:val="Normalny"/>
    <w:link w:val="Nagwek7Znak"/>
    <w:uiPriority w:val="99"/>
    <w:qFormat/>
    <w:rsid w:val="00C95296"/>
    <w:pPr>
      <w:keepNext/>
      <w:tabs>
        <w:tab w:val="left" w:pos="5472"/>
        <w:tab w:val="right" w:pos="9072"/>
      </w:tabs>
      <w:suppressAutoHyphens/>
      <w:jc w:val="right"/>
      <w:outlineLvl w:val="6"/>
    </w:pPr>
    <w:rPr>
      <w:rFonts w:ascii="Verdana" w:hAnsi="Verdana"/>
      <w:b/>
      <w:bCs/>
      <w:sz w:val="18"/>
    </w:rPr>
  </w:style>
  <w:style w:type="paragraph" w:styleId="Nagwek8">
    <w:name w:val="heading 8"/>
    <w:basedOn w:val="Normalny"/>
    <w:next w:val="Normalny"/>
    <w:link w:val="Nagwek8Znak"/>
    <w:uiPriority w:val="99"/>
    <w:qFormat/>
    <w:rsid w:val="00C95296"/>
    <w:pPr>
      <w:keepNext/>
      <w:ind w:right="39"/>
      <w:jc w:val="both"/>
      <w:outlineLvl w:val="7"/>
    </w:pPr>
    <w:rPr>
      <w:rFonts w:ascii="Arial Narrow" w:hAnsi="Arial Narrow"/>
      <w:b/>
      <w:sz w:val="20"/>
    </w:rPr>
  </w:style>
  <w:style w:type="paragraph" w:styleId="Nagwek9">
    <w:name w:val="heading 9"/>
    <w:basedOn w:val="Normalny"/>
    <w:next w:val="Normalny"/>
    <w:link w:val="Nagwek9Znak"/>
    <w:uiPriority w:val="99"/>
    <w:qFormat/>
    <w:rsid w:val="00C95296"/>
    <w:pPr>
      <w:keepNext/>
      <w:numPr>
        <w:numId w:val="7"/>
      </w:numPr>
      <w:tabs>
        <w:tab w:val="clear" w:pos="720"/>
      </w:tabs>
      <w:ind w:left="399" w:hanging="399"/>
      <w:jc w:val="both"/>
      <w:outlineLvl w:val="8"/>
    </w:pPr>
    <w:rPr>
      <w:rFonts w:ascii="Arial Narrow" w:hAnsi="Arial Narrow"/>
      <w:b/>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95296"/>
    <w:rPr>
      <w:rFonts w:ascii="Verdana" w:hAnsi="Verdana" w:cs="Times New Roman"/>
      <w:b/>
      <w:bCs/>
      <w:sz w:val="24"/>
      <w:szCs w:val="24"/>
      <w:lang w:val="fr-FR" w:eastAsia="fr-FR"/>
    </w:rPr>
  </w:style>
  <w:style w:type="character" w:customStyle="1" w:styleId="Nagwek2Znak">
    <w:name w:val="Nagłówek 2 Znak"/>
    <w:basedOn w:val="Domylnaczcionkaakapitu"/>
    <w:link w:val="Nagwek2"/>
    <w:uiPriority w:val="99"/>
    <w:locked/>
    <w:rsid w:val="00C95296"/>
    <w:rPr>
      <w:rFonts w:ascii="Verdana" w:hAnsi="Verdana" w:cs="Times New Roman"/>
      <w:spacing w:val="-3"/>
      <w:sz w:val="20"/>
      <w:szCs w:val="20"/>
      <w:u w:val="single"/>
      <w:lang w:val="fr-FR"/>
    </w:rPr>
  </w:style>
  <w:style w:type="character" w:customStyle="1" w:styleId="Nagwek3Znak">
    <w:name w:val="Nagłówek 3 Znak"/>
    <w:basedOn w:val="Domylnaczcionkaakapitu"/>
    <w:link w:val="Nagwek3"/>
    <w:uiPriority w:val="99"/>
    <w:locked/>
    <w:rsid w:val="00C95296"/>
    <w:rPr>
      <w:rFonts w:ascii="Verdana" w:hAnsi="Verdana" w:cs="Times New Roman"/>
      <w:i/>
      <w:sz w:val="24"/>
      <w:szCs w:val="24"/>
      <w:lang w:val="fr-FR" w:eastAsia="fr-FR"/>
    </w:rPr>
  </w:style>
  <w:style w:type="character" w:customStyle="1" w:styleId="Nagwek4Znak">
    <w:name w:val="Nagłówek 4 Znak"/>
    <w:basedOn w:val="Domylnaczcionkaakapitu"/>
    <w:link w:val="Nagwek4"/>
    <w:uiPriority w:val="99"/>
    <w:locked/>
    <w:rsid w:val="00C95296"/>
    <w:rPr>
      <w:rFonts w:ascii="Verdana" w:hAnsi="Verdana" w:cs="Times New Roman"/>
      <w:b/>
      <w:bCs/>
      <w:sz w:val="24"/>
      <w:szCs w:val="24"/>
      <w:lang w:val="fr-FR" w:eastAsia="fr-FR"/>
    </w:rPr>
  </w:style>
  <w:style w:type="character" w:customStyle="1" w:styleId="Nagwek5Znak">
    <w:name w:val="Nagłówek 5 Znak"/>
    <w:basedOn w:val="Domylnaczcionkaakapitu"/>
    <w:link w:val="Nagwek5"/>
    <w:uiPriority w:val="99"/>
    <w:locked/>
    <w:rsid w:val="00C95296"/>
    <w:rPr>
      <w:rFonts w:ascii="Arial Narrow" w:hAnsi="Arial Narrow" w:cs="Times New Roman"/>
      <w:i/>
      <w:sz w:val="24"/>
      <w:szCs w:val="24"/>
      <w:lang w:val="fr-FR" w:eastAsia="fr-FR"/>
    </w:rPr>
  </w:style>
  <w:style w:type="character" w:customStyle="1" w:styleId="Nagwek6Znak">
    <w:name w:val="Nagłówek 6 Znak"/>
    <w:basedOn w:val="Domylnaczcionkaakapitu"/>
    <w:link w:val="Nagwek6"/>
    <w:uiPriority w:val="99"/>
    <w:locked/>
    <w:rsid w:val="00C95296"/>
    <w:rPr>
      <w:rFonts w:ascii="Verdana" w:hAnsi="Verdana" w:cs="Times New Roman"/>
      <w:b/>
      <w:spacing w:val="-6"/>
      <w:sz w:val="24"/>
      <w:szCs w:val="24"/>
      <w:lang w:val="fr-FR" w:eastAsia="fr-FR"/>
    </w:rPr>
  </w:style>
  <w:style w:type="character" w:customStyle="1" w:styleId="Nagwek7Znak">
    <w:name w:val="Nagłówek 7 Znak"/>
    <w:basedOn w:val="Domylnaczcionkaakapitu"/>
    <w:link w:val="Nagwek7"/>
    <w:uiPriority w:val="99"/>
    <w:locked/>
    <w:rsid w:val="00C95296"/>
    <w:rPr>
      <w:rFonts w:ascii="Verdana" w:hAnsi="Verdana" w:cs="Times New Roman"/>
      <w:b/>
      <w:bCs/>
      <w:snapToGrid w:val="0"/>
      <w:sz w:val="24"/>
      <w:szCs w:val="24"/>
      <w:lang w:val="fr-FR" w:eastAsia="fr-FR"/>
    </w:rPr>
  </w:style>
  <w:style w:type="character" w:customStyle="1" w:styleId="Nagwek8Znak">
    <w:name w:val="Nagłówek 8 Znak"/>
    <w:basedOn w:val="Domylnaczcionkaakapitu"/>
    <w:link w:val="Nagwek8"/>
    <w:uiPriority w:val="99"/>
    <w:locked/>
    <w:rsid w:val="00C95296"/>
    <w:rPr>
      <w:rFonts w:ascii="Arial Narrow" w:hAnsi="Arial Narrow" w:cs="Times New Roman"/>
      <w:b/>
      <w:sz w:val="24"/>
      <w:szCs w:val="24"/>
      <w:lang w:val="fr-FR" w:eastAsia="fr-FR"/>
    </w:rPr>
  </w:style>
  <w:style w:type="character" w:customStyle="1" w:styleId="Nagwek9Znak">
    <w:name w:val="Nagłówek 9 Znak"/>
    <w:basedOn w:val="Domylnaczcionkaakapitu"/>
    <w:link w:val="Nagwek9"/>
    <w:uiPriority w:val="99"/>
    <w:locked/>
    <w:rsid w:val="00C95296"/>
    <w:rPr>
      <w:rFonts w:ascii="Arial Narrow" w:eastAsia="Times New Roman" w:hAnsi="Arial Narrow"/>
      <w:b/>
      <w:sz w:val="20"/>
      <w:szCs w:val="24"/>
      <w:u w:val="single"/>
      <w:lang w:val="fr-FR" w:eastAsia="fr-FR"/>
    </w:rPr>
  </w:style>
  <w:style w:type="paragraph" w:styleId="Tekstdymka">
    <w:name w:val="Balloon Text"/>
    <w:basedOn w:val="Normalny"/>
    <w:link w:val="TekstdymkaZnak"/>
    <w:uiPriority w:val="99"/>
    <w:rsid w:val="00C95296"/>
    <w:pPr>
      <w:jc w:val="both"/>
    </w:pPr>
    <w:rPr>
      <w:rFonts w:ascii="Tahoma" w:hAnsi="Tahoma" w:cs="Tahoma"/>
      <w:sz w:val="16"/>
      <w:szCs w:val="16"/>
    </w:rPr>
  </w:style>
  <w:style w:type="character" w:customStyle="1" w:styleId="TekstdymkaZnak">
    <w:name w:val="Tekst dymka Znak"/>
    <w:basedOn w:val="Domylnaczcionkaakapitu"/>
    <w:link w:val="Tekstdymka"/>
    <w:uiPriority w:val="99"/>
    <w:locked/>
    <w:rsid w:val="00C95296"/>
    <w:rPr>
      <w:rFonts w:ascii="Tahoma" w:hAnsi="Tahoma" w:cs="Tahoma"/>
      <w:sz w:val="16"/>
      <w:szCs w:val="16"/>
      <w:lang w:val="fr-FR" w:eastAsia="fr-FR"/>
    </w:rPr>
  </w:style>
  <w:style w:type="paragraph" w:styleId="Tytu">
    <w:name w:val="Title"/>
    <w:basedOn w:val="Normalny"/>
    <w:next w:val="Normalny"/>
    <w:link w:val="TytuZnak"/>
    <w:uiPriority w:val="99"/>
    <w:qFormat/>
    <w:rsid w:val="009975B3"/>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
    <w:uiPriority w:val="99"/>
    <w:locked/>
    <w:rsid w:val="009975B3"/>
    <w:rPr>
      <w:rFonts w:ascii="Cambria" w:hAnsi="Cambria" w:cs="Times New Roman"/>
      <w:color w:val="17365D"/>
      <w:spacing w:val="5"/>
      <w:kern w:val="28"/>
      <w:sz w:val="52"/>
      <w:szCs w:val="52"/>
      <w:lang w:val="fr-FR" w:eastAsia="fr-FR"/>
    </w:rPr>
  </w:style>
  <w:style w:type="paragraph" w:styleId="Podtytu">
    <w:name w:val="Subtitle"/>
    <w:basedOn w:val="Normalny"/>
    <w:next w:val="Normalny"/>
    <w:link w:val="PodtytuZnak"/>
    <w:uiPriority w:val="99"/>
    <w:qFormat/>
    <w:rsid w:val="009975B3"/>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locked/>
    <w:rsid w:val="009975B3"/>
    <w:rPr>
      <w:rFonts w:ascii="Cambria" w:hAnsi="Cambria" w:cs="Times New Roman"/>
      <w:i/>
      <w:iCs/>
      <w:color w:val="4F81BD"/>
      <w:spacing w:val="15"/>
      <w:sz w:val="24"/>
      <w:szCs w:val="24"/>
      <w:lang w:val="fr-FR" w:eastAsia="fr-FR"/>
    </w:rPr>
  </w:style>
  <w:style w:type="paragraph" w:styleId="Tekstblokowy">
    <w:name w:val="Block Text"/>
    <w:basedOn w:val="Normalny"/>
    <w:uiPriority w:val="99"/>
    <w:rsid w:val="00C95296"/>
    <w:pPr>
      <w:ind w:left="20" w:right="39"/>
      <w:jc w:val="both"/>
    </w:pPr>
    <w:rPr>
      <w:rFonts w:ascii="Arial Narrow" w:hAnsi="Arial Narrow"/>
      <w:sz w:val="20"/>
      <w:szCs w:val="20"/>
    </w:rPr>
  </w:style>
  <w:style w:type="character" w:styleId="Numerstrony">
    <w:name w:val="page number"/>
    <w:basedOn w:val="Domylnaczcionkaakapitu"/>
    <w:uiPriority w:val="99"/>
    <w:rsid w:val="00C95296"/>
    <w:rPr>
      <w:rFonts w:cs="Times New Roman"/>
    </w:rPr>
  </w:style>
  <w:style w:type="paragraph" w:styleId="Nagwek">
    <w:name w:val="header"/>
    <w:basedOn w:val="Normalny"/>
    <w:link w:val="NagwekZnak"/>
    <w:uiPriority w:val="99"/>
    <w:rsid w:val="00C95296"/>
    <w:pPr>
      <w:tabs>
        <w:tab w:val="center" w:pos="4153"/>
        <w:tab w:val="right" w:pos="8306"/>
      </w:tabs>
      <w:jc w:val="both"/>
    </w:pPr>
    <w:rPr>
      <w:rFonts w:ascii="Palatino" w:hAnsi="Palatino"/>
      <w:sz w:val="20"/>
      <w:szCs w:val="20"/>
    </w:rPr>
  </w:style>
  <w:style w:type="character" w:customStyle="1" w:styleId="NagwekZnak">
    <w:name w:val="Nagłówek Znak"/>
    <w:basedOn w:val="Domylnaczcionkaakapitu"/>
    <w:link w:val="Nagwek"/>
    <w:uiPriority w:val="99"/>
    <w:locked/>
    <w:rsid w:val="00C95296"/>
    <w:rPr>
      <w:rFonts w:ascii="Palatino" w:hAnsi="Palatino" w:cs="Times New Roman"/>
      <w:sz w:val="20"/>
      <w:szCs w:val="20"/>
      <w:lang w:val="fr-FR"/>
    </w:rPr>
  </w:style>
  <w:style w:type="paragraph" w:styleId="Stopka">
    <w:name w:val="footer"/>
    <w:basedOn w:val="Normalny"/>
    <w:link w:val="StopkaZnak"/>
    <w:uiPriority w:val="99"/>
    <w:rsid w:val="00C95296"/>
    <w:pPr>
      <w:tabs>
        <w:tab w:val="center" w:pos="4320"/>
        <w:tab w:val="right" w:pos="8640"/>
      </w:tabs>
      <w:jc w:val="both"/>
    </w:pPr>
    <w:rPr>
      <w:rFonts w:ascii="Palatino" w:hAnsi="Palatino"/>
      <w:sz w:val="20"/>
      <w:szCs w:val="20"/>
    </w:rPr>
  </w:style>
  <w:style w:type="character" w:customStyle="1" w:styleId="StopkaZnak">
    <w:name w:val="Stopka Znak"/>
    <w:basedOn w:val="Domylnaczcionkaakapitu"/>
    <w:link w:val="Stopka"/>
    <w:uiPriority w:val="99"/>
    <w:locked/>
    <w:rsid w:val="00C95296"/>
    <w:rPr>
      <w:rFonts w:ascii="Palatino" w:hAnsi="Palatino" w:cs="Times New Roman"/>
      <w:sz w:val="20"/>
      <w:szCs w:val="20"/>
      <w:lang w:val="fr-FR"/>
    </w:rPr>
  </w:style>
  <w:style w:type="paragraph" w:styleId="Tekstpodstawowy">
    <w:name w:val="Body Text"/>
    <w:basedOn w:val="Normalny"/>
    <w:link w:val="TekstpodstawowyZnak"/>
    <w:uiPriority w:val="99"/>
    <w:rsid w:val="00C95296"/>
    <w:pPr>
      <w:jc w:val="center"/>
    </w:pPr>
    <w:rPr>
      <w:rFonts w:ascii="Verdana" w:hAnsi="Verdana"/>
      <w:b/>
      <w:sz w:val="18"/>
      <w:u w:val="single"/>
    </w:rPr>
  </w:style>
  <w:style w:type="character" w:customStyle="1" w:styleId="TekstpodstawowyZnak">
    <w:name w:val="Tekst podstawowy Znak"/>
    <w:basedOn w:val="Domylnaczcionkaakapitu"/>
    <w:link w:val="Tekstpodstawowy"/>
    <w:uiPriority w:val="99"/>
    <w:locked/>
    <w:rsid w:val="00C95296"/>
    <w:rPr>
      <w:rFonts w:ascii="Verdana" w:hAnsi="Verdana" w:cs="Times New Roman"/>
      <w:b/>
      <w:sz w:val="24"/>
      <w:szCs w:val="24"/>
      <w:u w:val="single"/>
      <w:lang w:val="fr-FR" w:eastAsia="fr-FR"/>
    </w:rPr>
  </w:style>
  <w:style w:type="paragraph" w:customStyle="1" w:styleId="BodyText21">
    <w:name w:val="Body Text 21"/>
    <w:basedOn w:val="Normalny"/>
    <w:uiPriority w:val="99"/>
    <w:rsid w:val="00C95296"/>
    <w:pPr>
      <w:ind w:right="39"/>
      <w:jc w:val="both"/>
    </w:pPr>
    <w:rPr>
      <w:rFonts w:ascii="Arial Narrow" w:hAnsi="Arial Narrow"/>
      <w:sz w:val="20"/>
    </w:rPr>
  </w:style>
  <w:style w:type="paragraph" w:styleId="Mapadokumentu">
    <w:name w:val="Document Map"/>
    <w:basedOn w:val="Normalny"/>
    <w:link w:val="MapadokumentuZnak"/>
    <w:uiPriority w:val="99"/>
    <w:semiHidden/>
    <w:rsid w:val="00C95296"/>
    <w:pPr>
      <w:shd w:val="clear" w:color="auto" w:fill="000080"/>
      <w:jc w:val="both"/>
    </w:pPr>
    <w:rPr>
      <w:rFonts w:ascii="Tahoma" w:hAnsi="Tahoma" w:cs="Tahoma"/>
      <w:sz w:val="20"/>
    </w:rPr>
  </w:style>
  <w:style w:type="character" w:customStyle="1" w:styleId="MapadokumentuZnak">
    <w:name w:val="Mapa dokumentu Znak"/>
    <w:basedOn w:val="Domylnaczcionkaakapitu"/>
    <w:link w:val="Mapadokumentu"/>
    <w:uiPriority w:val="99"/>
    <w:semiHidden/>
    <w:locked/>
    <w:rsid w:val="00C95296"/>
    <w:rPr>
      <w:rFonts w:ascii="Tahoma" w:hAnsi="Tahoma" w:cs="Tahoma"/>
      <w:sz w:val="24"/>
      <w:szCs w:val="24"/>
      <w:shd w:val="clear" w:color="auto" w:fill="000080"/>
      <w:lang w:val="fr-FR" w:eastAsia="fr-FR"/>
    </w:rPr>
  </w:style>
  <w:style w:type="paragraph" w:styleId="Tekstprzypisudolnego">
    <w:name w:val="footnote text"/>
    <w:aliases w:val="Footnote Text Char2,Footnote Text Char1 Char,Footnote Text Char3 Char Char,Footnote Text Char2 Char Char Char,Footnote Text Char1 Char1 Char Char Char,ft Char1 Char Char Char Char,Footnote Text Char1 Char Char Char Char Char,ft"/>
    <w:basedOn w:val="Normalny"/>
    <w:link w:val="TekstprzypisudolnegoZnak"/>
    <w:uiPriority w:val="99"/>
    <w:rsid w:val="00C95296"/>
    <w:pPr>
      <w:jc w:val="both"/>
    </w:pPr>
    <w:rPr>
      <w:rFonts w:ascii="Verdana" w:hAnsi="Verdana"/>
      <w:sz w:val="20"/>
      <w:szCs w:val="20"/>
    </w:rPr>
  </w:style>
  <w:style w:type="character" w:customStyle="1" w:styleId="TekstprzypisudolnegoZnak">
    <w:name w:val="Tekst przypisu dolnego Znak"/>
    <w:aliases w:val="Footnote Text Char2 Znak,Footnote Text Char1 Char Znak,Footnote Text Char3 Char Char Znak,Footnote Text Char2 Char Char Char Znak,Footnote Text Char1 Char1 Char Char Char Znak,ft Char1 Char Char Char Char Znak,ft Znak"/>
    <w:basedOn w:val="Domylnaczcionkaakapitu"/>
    <w:link w:val="Tekstprzypisudolnego"/>
    <w:uiPriority w:val="99"/>
    <w:locked/>
    <w:rsid w:val="00C95296"/>
    <w:rPr>
      <w:rFonts w:ascii="Verdana" w:hAnsi="Verdana" w:cs="Times New Roman"/>
      <w:sz w:val="20"/>
      <w:szCs w:val="20"/>
      <w:lang w:val="fr-FR" w:eastAsia="fr-FR"/>
    </w:rPr>
  </w:style>
  <w:style w:type="character" w:styleId="Odwoanieprzypisudolnego">
    <w:name w:val="footnote reference"/>
    <w:aliases w:val="fr,Default Paragraph Font Char Char Char1,Default Paragraph Font Para Char Char Char Char Char1,Default Paragraph Font Char Char11 Char1,Default Paragraph Font Char Char1 Char1"/>
    <w:basedOn w:val="Domylnaczcionkaakapitu"/>
    <w:uiPriority w:val="99"/>
    <w:rsid w:val="00C95296"/>
    <w:rPr>
      <w:rFonts w:cs="Times New Roman"/>
      <w:vertAlign w:val="superscript"/>
    </w:rPr>
  </w:style>
  <w:style w:type="paragraph" w:styleId="Tekstpodstawowy3">
    <w:name w:val="Body Text 3"/>
    <w:basedOn w:val="Normalny"/>
    <w:link w:val="Tekstpodstawowy3Znak"/>
    <w:uiPriority w:val="99"/>
    <w:rsid w:val="00C95296"/>
    <w:pPr>
      <w:jc w:val="both"/>
    </w:pPr>
    <w:rPr>
      <w:rFonts w:ascii="Verdana" w:hAnsi="Verdana"/>
      <w:spacing w:val="-6"/>
      <w:sz w:val="16"/>
    </w:rPr>
  </w:style>
  <w:style w:type="character" w:customStyle="1" w:styleId="Tekstpodstawowy3Znak">
    <w:name w:val="Tekst podstawowy 3 Znak"/>
    <w:basedOn w:val="Domylnaczcionkaakapitu"/>
    <w:link w:val="Tekstpodstawowy3"/>
    <w:uiPriority w:val="99"/>
    <w:locked/>
    <w:rsid w:val="00C95296"/>
    <w:rPr>
      <w:rFonts w:ascii="Verdana" w:hAnsi="Verdana" w:cs="Times New Roman"/>
      <w:spacing w:val="-6"/>
      <w:sz w:val="24"/>
      <w:szCs w:val="24"/>
      <w:lang w:val="fr-FR" w:eastAsia="fr-FR"/>
    </w:rPr>
  </w:style>
  <w:style w:type="paragraph" w:styleId="Tekstpodstawowywcity">
    <w:name w:val="Body Text Indent"/>
    <w:basedOn w:val="Normalny"/>
    <w:link w:val="TekstpodstawowywcityZnak"/>
    <w:uiPriority w:val="99"/>
    <w:rsid w:val="00C95296"/>
    <w:pPr>
      <w:tabs>
        <w:tab w:val="left" w:pos="399"/>
      </w:tabs>
      <w:ind w:left="399" w:hanging="399"/>
      <w:jc w:val="both"/>
    </w:pPr>
    <w:rPr>
      <w:rFonts w:ascii="Arial Narrow" w:hAnsi="Arial Narrow"/>
      <w:sz w:val="20"/>
    </w:rPr>
  </w:style>
  <w:style w:type="character" w:customStyle="1" w:styleId="TekstpodstawowywcityZnak">
    <w:name w:val="Tekst podstawowy wcięty Znak"/>
    <w:basedOn w:val="Domylnaczcionkaakapitu"/>
    <w:link w:val="Tekstpodstawowywcity"/>
    <w:uiPriority w:val="99"/>
    <w:locked/>
    <w:rsid w:val="00C95296"/>
    <w:rPr>
      <w:rFonts w:ascii="Arial Narrow" w:hAnsi="Arial Narrow" w:cs="Times New Roman"/>
      <w:sz w:val="24"/>
      <w:szCs w:val="24"/>
      <w:lang w:val="fr-FR" w:eastAsia="fr-FR"/>
    </w:rPr>
  </w:style>
  <w:style w:type="character" w:styleId="Hipercze">
    <w:name w:val="Hyperlink"/>
    <w:basedOn w:val="Domylnaczcionkaakapitu"/>
    <w:uiPriority w:val="99"/>
    <w:rsid w:val="00C95296"/>
    <w:rPr>
      <w:rFonts w:cs="Times New Roman"/>
      <w:color w:val="0000FF"/>
      <w:u w:val="single"/>
    </w:rPr>
  </w:style>
  <w:style w:type="paragraph" w:styleId="Tekstpodstawowywcity2">
    <w:name w:val="Body Text Indent 2"/>
    <w:basedOn w:val="Normalny"/>
    <w:link w:val="Tekstpodstawowywcity2Znak"/>
    <w:uiPriority w:val="99"/>
    <w:rsid w:val="00C95296"/>
    <w:pPr>
      <w:suppressAutoHyphens/>
      <w:ind w:left="1440" w:hanging="720"/>
      <w:jc w:val="both"/>
    </w:pPr>
    <w:rPr>
      <w:rFonts w:ascii="Verdana" w:hAnsi="Verdana"/>
      <w:b/>
      <w:spacing w:val="-3"/>
      <w:sz w:val="20"/>
      <w:szCs w:val="20"/>
    </w:rPr>
  </w:style>
  <w:style w:type="character" w:customStyle="1" w:styleId="Tekstpodstawowywcity2Znak">
    <w:name w:val="Tekst podstawowy wcięty 2 Znak"/>
    <w:basedOn w:val="Domylnaczcionkaakapitu"/>
    <w:link w:val="Tekstpodstawowywcity2"/>
    <w:uiPriority w:val="99"/>
    <w:locked/>
    <w:rsid w:val="00C95296"/>
    <w:rPr>
      <w:rFonts w:ascii="Verdana" w:hAnsi="Verdana" w:cs="Times New Roman"/>
      <w:b/>
      <w:spacing w:val="-3"/>
      <w:sz w:val="20"/>
      <w:szCs w:val="20"/>
      <w:lang w:val="fr-FR"/>
    </w:rPr>
  </w:style>
  <w:style w:type="character" w:styleId="Odwoaniedokomentarza">
    <w:name w:val="annotation reference"/>
    <w:basedOn w:val="Domylnaczcionkaakapitu"/>
    <w:uiPriority w:val="99"/>
    <w:semiHidden/>
    <w:rsid w:val="00C95296"/>
    <w:rPr>
      <w:rFonts w:cs="Times New Roman"/>
      <w:sz w:val="16"/>
    </w:rPr>
  </w:style>
  <w:style w:type="paragraph" w:styleId="Tekstkomentarza">
    <w:name w:val="annotation text"/>
    <w:basedOn w:val="Normalny"/>
    <w:link w:val="TekstkomentarzaZnak"/>
    <w:uiPriority w:val="99"/>
    <w:semiHidden/>
    <w:rsid w:val="00C95296"/>
    <w:pPr>
      <w:jc w:val="both"/>
    </w:pPr>
    <w:rPr>
      <w:rFonts w:ascii="Verdana" w:hAnsi="Verdana"/>
      <w:sz w:val="20"/>
      <w:szCs w:val="20"/>
    </w:rPr>
  </w:style>
  <w:style w:type="character" w:customStyle="1" w:styleId="TekstkomentarzaZnak">
    <w:name w:val="Tekst komentarza Znak"/>
    <w:basedOn w:val="Domylnaczcionkaakapitu"/>
    <w:link w:val="Tekstkomentarza"/>
    <w:uiPriority w:val="99"/>
    <w:semiHidden/>
    <w:locked/>
    <w:rsid w:val="00C95296"/>
    <w:rPr>
      <w:rFonts w:ascii="Verdana" w:hAnsi="Verdana" w:cs="Times New Roman"/>
      <w:sz w:val="20"/>
      <w:szCs w:val="20"/>
      <w:lang w:val="fr-FR" w:eastAsia="fr-FR"/>
    </w:rPr>
  </w:style>
  <w:style w:type="paragraph" w:styleId="Tekstpodstawowywcity3">
    <w:name w:val="Body Text Indent 3"/>
    <w:basedOn w:val="Normalny"/>
    <w:link w:val="Tekstpodstawowywcity3Znak"/>
    <w:uiPriority w:val="99"/>
    <w:rsid w:val="00C95296"/>
    <w:pPr>
      <w:tabs>
        <w:tab w:val="left" w:pos="6000"/>
      </w:tabs>
      <w:ind w:left="627"/>
      <w:jc w:val="both"/>
    </w:pPr>
    <w:rPr>
      <w:rFonts w:ascii="Arial Narrow" w:hAnsi="Arial Narrow"/>
      <w:sz w:val="20"/>
    </w:rPr>
  </w:style>
  <w:style w:type="character" w:customStyle="1" w:styleId="Tekstpodstawowywcity3Znak">
    <w:name w:val="Tekst podstawowy wcięty 3 Znak"/>
    <w:basedOn w:val="Domylnaczcionkaakapitu"/>
    <w:link w:val="Tekstpodstawowywcity3"/>
    <w:uiPriority w:val="99"/>
    <w:locked/>
    <w:rsid w:val="00C95296"/>
    <w:rPr>
      <w:rFonts w:ascii="Arial Narrow" w:hAnsi="Arial Narrow" w:cs="Times New Roman"/>
      <w:sz w:val="24"/>
      <w:szCs w:val="24"/>
      <w:lang w:val="fr-FR" w:eastAsia="fr-FR"/>
    </w:rPr>
  </w:style>
  <w:style w:type="character" w:styleId="UyteHipercze">
    <w:name w:val="FollowedHyperlink"/>
    <w:basedOn w:val="Domylnaczcionkaakapitu"/>
    <w:uiPriority w:val="99"/>
    <w:rsid w:val="00C95296"/>
    <w:rPr>
      <w:rFonts w:cs="Times New Roman"/>
      <w:color w:val="800080"/>
      <w:u w:val="single"/>
    </w:rPr>
  </w:style>
  <w:style w:type="paragraph" w:styleId="NormalnyWeb">
    <w:name w:val="Normal (Web)"/>
    <w:basedOn w:val="Normalny"/>
    <w:uiPriority w:val="99"/>
    <w:rsid w:val="00C95296"/>
    <w:pPr>
      <w:spacing w:after="100" w:afterAutospacing="1" w:line="260" w:lineRule="atLeast"/>
      <w:jc w:val="both"/>
    </w:pPr>
    <w:rPr>
      <w:rFonts w:ascii="Arial" w:hAnsi="Arial"/>
      <w:color w:val="000066"/>
      <w:sz w:val="20"/>
      <w:szCs w:val="20"/>
    </w:rPr>
  </w:style>
  <w:style w:type="paragraph" w:styleId="Zwykytekst">
    <w:name w:val="Plain Text"/>
    <w:basedOn w:val="Normalny"/>
    <w:link w:val="ZwykytekstZnak"/>
    <w:uiPriority w:val="99"/>
    <w:rsid w:val="00C95296"/>
    <w:pPr>
      <w:overflowPunct w:val="0"/>
      <w:autoSpaceDE w:val="0"/>
      <w:autoSpaceDN w:val="0"/>
      <w:adjustRightInd w:val="0"/>
      <w:jc w:val="both"/>
      <w:textAlignment w:val="baseline"/>
    </w:pPr>
    <w:rPr>
      <w:rFonts w:ascii="Courier New" w:hAnsi="Courier New"/>
      <w:sz w:val="20"/>
      <w:szCs w:val="20"/>
    </w:rPr>
  </w:style>
  <w:style w:type="character" w:customStyle="1" w:styleId="ZwykytekstZnak">
    <w:name w:val="Zwykły tekst Znak"/>
    <w:basedOn w:val="Domylnaczcionkaakapitu"/>
    <w:link w:val="Zwykytekst"/>
    <w:uiPriority w:val="99"/>
    <w:locked/>
    <w:rsid w:val="00C95296"/>
    <w:rPr>
      <w:rFonts w:ascii="Courier New" w:hAnsi="Courier New" w:cs="Times New Roman"/>
      <w:sz w:val="20"/>
      <w:szCs w:val="20"/>
      <w:lang w:val="fr-FR" w:eastAsia="fr-FR"/>
    </w:rPr>
  </w:style>
  <w:style w:type="paragraph" w:styleId="HTML-wstpniesformatowany">
    <w:name w:val="HTML Preformatted"/>
    <w:basedOn w:val="Normalny"/>
    <w:link w:val="HTML-wstpniesformatowanyZnak"/>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Courier New"/>
      <w:sz w:val="20"/>
      <w:szCs w:val="20"/>
    </w:rPr>
  </w:style>
  <w:style w:type="character" w:customStyle="1" w:styleId="HTML-wstpniesformatowanyZnak">
    <w:name w:val="HTML - wstępnie sformatowany Znak"/>
    <w:basedOn w:val="Domylnaczcionkaakapitu"/>
    <w:link w:val="HTML-wstpniesformatowany"/>
    <w:uiPriority w:val="99"/>
    <w:locked/>
    <w:rsid w:val="00C95296"/>
    <w:rPr>
      <w:rFonts w:ascii="Arial Unicode MS" w:eastAsia="Arial Unicode MS" w:hAnsi="Arial Unicode MS" w:cs="Courier New"/>
      <w:sz w:val="20"/>
      <w:szCs w:val="20"/>
      <w:lang w:val="fr-FR" w:eastAsia="fr-FR"/>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rPr>
  </w:style>
  <w:style w:type="paragraph" w:styleId="Tekstpodstawowy2">
    <w:name w:val="Body Text 2"/>
    <w:basedOn w:val="Normalny"/>
    <w:link w:val="Tekstpodstawowy2Znak"/>
    <w:uiPriority w:val="99"/>
    <w:rsid w:val="00C95296"/>
    <w:pPr>
      <w:ind w:left="1134" w:hanging="567"/>
      <w:jc w:val="both"/>
    </w:pPr>
    <w:rPr>
      <w:rFonts w:ascii="Bookman Old Style" w:hAnsi="Bookman Old Style"/>
      <w:szCs w:val="20"/>
    </w:rPr>
  </w:style>
  <w:style w:type="character" w:customStyle="1" w:styleId="Tekstpodstawowy2Znak">
    <w:name w:val="Tekst podstawowy 2 Znak"/>
    <w:basedOn w:val="Domylnaczcionkaakapitu"/>
    <w:link w:val="Tekstpodstawowy2"/>
    <w:uiPriority w:val="99"/>
    <w:locked/>
    <w:rsid w:val="00C95296"/>
    <w:rPr>
      <w:rFonts w:ascii="Bookman Old Style" w:hAnsi="Bookman Old Style" w:cs="Times New Roman"/>
      <w:sz w:val="20"/>
      <w:szCs w:val="20"/>
      <w:lang w:val="fr-FR"/>
    </w:rPr>
  </w:style>
  <w:style w:type="paragraph" w:customStyle="1" w:styleId="CarCharCarCharCarCharCarCharCarCharCarCharChar1CharCharCharCharCharChar">
    <w:name w:val="Car Char Car Char Car Char Car Char Car Char Car Char Char1 Char Char Char Char Char Char"/>
    <w:basedOn w:val="Normalny"/>
    <w:uiPriority w:val="99"/>
    <w:rsid w:val="00C95296"/>
    <w:pPr>
      <w:spacing w:after="160" w:line="240" w:lineRule="exact"/>
      <w:jc w:val="both"/>
    </w:pPr>
    <w:rPr>
      <w:rFonts w:ascii="Arial" w:hAnsi="Arial" w:cs="Arial"/>
      <w:sz w:val="20"/>
      <w:szCs w:val="20"/>
    </w:rPr>
  </w:style>
  <w:style w:type="paragraph" w:customStyle="1" w:styleId="CharChar">
    <w:name w:val="Char Char"/>
    <w:basedOn w:val="Normalny"/>
    <w:uiPriority w:val="99"/>
    <w:rsid w:val="00C95296"/>
    <w:pPr>
      <w:spacing w:after="160" w:line="240" w:lineRule="exact"/>
      <w:jc w:val="both"/>
    </w:pPr>
    <w:rPr>
      <w:rFonts w:ascii="Arial" w:hAnsi="Arial" w:cs="Arial"/>
      <w:sz w:val="20"/>
      <w:szCs w:val="20"/>
    </w:rPr>
  </w:style>
  <w:style w:type="paragraph" w:customStyle="1" w:styleId="NormalWeb5">
    <w:name w:val="Normal (Web)5"/>
    <w:basedOn w:val="Normalny"/>
    <w:uiPriority w:val="99"/>
    <w:rsid w:val="00C95296"/>
    <w:pPr>
      <w:spacing w:after="192"/>
      <w:jc w:val="both"/>
    </w:pPr>
    <w:rPr>
      <w:rFonts w:ascii="Verdana" w:hAnsi="Verdana"/>
      <w:sz w:val="20"/>
    </w:rPr>
  </w:style>
  <w:style w:type="paragraph" w:customStyle="1" w:styleId="CarCharCarCharCarCharCarCharCarCharCarCharChar">
    <w:name w:val="Car Char Car Char Car Char Car Char Car Char Car Char Char"/>
    <w:basedOn w:val="Normalny"/>
    <w:uiPriority w:val="99"/>
    <w:rsid w:val="00C95296"/>
    <w:pPr>
      <w:spacing w:after="160" w:line="240" w:lineRule="exact"/>
      <w:jc w:val="both"/>
    </w:pPr>
    <w:rPr>
      <w:rFonts w:ascii="Arial" w:hAnsi="Arial" w:cs="Arial"/>
      <w:sz w:val="20"/>
      <w:szCs w:val="20"/>
    </w:rPr>
  </w:style>
  <w:style w:type="paragraph" w:customStyle="1" w:styleId="ZchnZchnCharCharChar">
    <w:name w:val="Zchn Zchn Char Char Char"/>
    <w:basedOn w:val="Normalny"/>
    <w:uiPriority w:val="99"/>
    <w:rsid w:val="00C95296"/>
    <w:pPr>
      <w:spacing w:after="160" w:line="240" w:lineRule="exact"/>
      <w:jc w:val="both"/>
    </w:pPr>
    <w:rPr>
      <w:rFonts w:ascii="Arial" w:hAnsi="Arial" w:cs="Arial"/>
      <w:sz w:val="20"/>
      <w:szCs w:val="20"/>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ny"/>
    <w:uiPriority w:val="99"/>
    <w:rsid w:val="00C95296"/>
    <w:pPr>
      <w:spacing w:after="160" w:line="240" w:lineRule="exact"/>
      <w:jc w:val="both"/>
    </w:pPr>
    <w:rPr>
      <w:rFonts w:ascii="Arial" w:hAnsi="Arial" w:cs="Arial"/>
      <w:sz w:val="20"/>
      <w:szCs w:val="20"/>
    </w:rPr>
  </w:style>
  <w:style w:type="paragraph" w:styleId="Listapunktowana">
    <w:name w:val="List Bullet"/>
    <w:basedOn w:val="Normalny"/>
    <w:autoRedefine/>
    <w:uiPriority w:val="99"/>
    <w:rsid w:val="00C95296"/>
    <w:pPr>
      <w:tabs>
        <w:tab w:val="num" w:pos="360"/>
      </w:tabs>
      <w:ind w:left="360" w:hanging="360"/>
      <w:jc w:val="both"/>
    </w:pPr>
    <w:rPr>
      <w:rFonts w:ascii="Verdana" w:hAnsi="Verdana"/>
      <w:sz w:val="20"/>
    </w:rPr>
  </w:style>
  <w:style w:type="character" w:customStyle="1" w:styleId="citecrochet1">
    <w:name w:val="cite_crochet1"/>
    <w:uiPriority w:val="99"/>
    <w:rsid w:val="00C95296"/>
    <w:rPr>
      <w:vanish/>
    </w:rPr>
  </w:style>
  <w:style w:type="paragraph" w:customStyle="1" w:styleId="Normale">
    <w:name w:val="Normale"/>
    <w:basedOn w:val="Normalny"/>
    <w:uiPriority w:val="99"/>
    <w:rsid w:val="00C95296"/>
    <w:pPr>
      <w:jc w:val="both"/>
    </w:pPr>
    <w:rPr>
      <w:rFonts w:ascii="Arial Narrow" w:eastAsia="Batang" w:hAnsi="Arial Narrow"/>
      <w:sz w:val="20"/>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ny"/>
    <w:uiPriority w:val="99"/>
    <w:rsid w:val="00C95296"/>
    <w:pPr>
      <w:spacing w:after="160" w:line="240" w:lineRule="exact"/>
      <w:jc w:val="both"/>
    </w:pPr>
    <w:rPr>
      <w:rFonts w:ascii="Arial" w:hAnsi="Arial" w:cs="Arial"/>
      <w:sz w:val="20"/>
      <w:szCs w:val="20"/>
    </w:rPr>
  </w:style>
  <w:style w:type="character" w:customStyle="1" w:styleId="Caractresdenotedebasdepage">
    <w:name w:val="Caractères de note de bas de page"/>
    <w:uiPriority w:val="99"/>
    <w:rsid w:val="00C95296"/>
    <w:rPr>
      <w:vertAlign w:val="superscript"/>
    </w:rPr>
  </w:style>
  <w:style w:type="character" w:styleId="Uwydatnienie">
    <w:name w:val="Emphasis"/>
    <w:basedOn w:val="Domylnaczcionkaakapitu"/>
    <w:uiPriority w:val="99"/>
    <w:qFormat/>
    <w:rsid w:val="00C95296"/>
    <w:rPr>
      <w:rFonts w:cs="Times New Roman"/>
      <w:i/>
    </w:rPr>
  </w:style>
  <w:style w:type="paragraph" w:styleId="Tematkomentarza">
    <w:name w:val="annotation subject"/>
    <w:basedOn w:val="Tekstkomentarza"/>
    <w:next w:val="Tekstkomentarza"/>
    <w:link w:val="TematkomentarzaZnak"/>
    <w:uiPriority w:val="99"/>
    <w:semiHidden/>
    <w:rsid w:val="00C95296"/>
    <w:rPr>
      <w:b/>
      <w:bCs/>
    </w:rPr>
  </w:style>
  <w:style w:type="character" w:customStyle="1" w:styleId="TematkomentarzaZnak">
    <w:name w:val="Temat komentarza Znak"/>
    <w:basedOn w:val="TekstkomentarzaZnak"/>
    <w:link w:val="Tematkomentarza"/>
    <w:uiPriority w:val="99"/>
    <w:semiHidden/>
    <w:locked/>
    <w:rsid w:val="00C95296"/>
    <w:rPr>
      <w:rFonts w:ascii="Verdana" w:hAnsi="Verdana" w:cs="Times New Roman"/>
      <w:b/>
      <w:bCs/>
      <w:sz w:val="20"/>
      <w:szCs w:val="20"/>
      <w:lang w:val="fr-FR" w:eastAsia="fr-FR"/>
    </w:rPr>
  </w:style>
  <w:style w:type="paragraph" w:styleId="Akapitzlist">
    <w:name w:val="List Paragraph"/>
    <w:basedOn w:val="Normalny"/>
    <w:uiPriority w:val="34"/>
    <w:qFormat/>
    <w:rsid w:val="00C95296"/>
    <w:pPr>
      <w:ind w:left="720"/>
      <w:jc w:val="both"/>
    </w:pPr>
    <w:rPr>
      <w:rFonts w:ascii="Verdana" w:hAnsi="Verdana"/>
      <w:sz w:val="20"/>
    </w:rPr>
  </w:style>
  <w:style w:type="paragraph" w:styleId="Spistreci1">
    <w:name w:val="toc 1"/>
    <w:basedOn w:val="Normalny"/>
    <w:next w:val="Normalny"/>
    <w:autoRedefine/>
    <w:uiPriority w:val="39"/>
    <w:rsid w:val="00CC6421"/>
    <w:pPr>
      <w:tabs>
        <w:tab w:val="left" w:pos="426"/>
        <w:tab w:val="right" w:leader="dot" w:pos="9034"/>
      </w:tabs>
      <w:spacing w:before="120" w:after="120"/>
    </w:pPr>
    <w:rPr>
      <w:rFonts w:cs="Calibri"/>
      <w:b/>
      <w:bCs/>
      <w:caps/>
      <w:sz w:val="20"/>
      <w:szCs w:val="20"/>
    </w:rPr>
  </w:style>
  <w:style w:type="paragraph" w:styleId="Spistreci2">
    <w:name w:val="toc 2"/>
    <w:basedOn w:val="Normalny"/>
    <w:next w:val="Normalny"/>
    <w:autoRedefine/>
    <w:uiPriority w:val="39"/>
    <w:rsid w:val="00C95296"/>
    <w:pPr>
      <w:ind w:left="240"/>
      <w:jc w:val="both"/>
    </w:pPr>
    <w:rPr>
      <w:rFonts w:cs="Calibri"/>
      <w:smallCaps/>
      <w:sz w:val="20"/>
      <w:szCs w:val="20"/>
    </w:rPr>
  </w:style>
  <w:style w:type="paragraph" w:styleId="Spistreci3">
    <w:name w:val="toc 3"/>
    <w:basedOn w:val="Normalny"/>
    <w:next w:val="Normalny"/>
    <w:autoRedefine/>
    <w:uiPriority w:val="39"/>
    <w:rsid w:val="00C95296"/>
    <w:pPr>
      <w:ind w:left="480"/>
      <w:jc w:val="both"/>
    </w:pPr>
    <w:rPr>
      <w:rFonts w:cs="Calibri"/>
      <w:i/>
      <w:iCs/>
      <w:sz w:val="20"/>
      <w:szCs w:val="20"/>
    </w:rPr>
  </w:style>
  <w:style w:type="paragraph" w:styleId="Spistreci4">
    <w:name w:val="toc 4"/>
    <w:basedOn w:val="Normalny"/>
    <w:next w:val="Normalny"/>
    <w:autoRedefine/>
    <w:uiPriority w:val="99"/>
    <w:rsid w:val="00C95296"/>
    <w:pPr>
      <w:ind w:left="720"/>
      <w:jc w:val="both"/>
    </w:pPr>
    <w:rPr>
      <w:rFonts w:cs="Calibri"/>
      <w:sz w:val="18"/>
      <w:szCs w:val="18"/>
    </w:rPr>
  </w:style>
  <w:style w:type="paragraph" w:styleId="Spistreci5">
    <w:name w:val="toc 5"/>
    <w:basedOn w:val="Normalny"/>
    <w:next w:val="Normalny"/>
    <w:autoRedefine/>
    <w:uiPriority w:val="99"/>
    <w:rsid w:val="00C95296"/>
    <w:pPr>
      <w:ind w:left="960"/>
      <w:jc w:val="both"/>
    </w:pPr>
    <w:rPr>
      <w:rFonts w:cs="Calibri"/>
      <w:sz w:val="18"/>
      <w:szCs w:val="18"/>
    </w:rPr>
  </w:style>
  <w:style w:type="paragraph" w:styleId="Spistreci6">
    <w:name w:val="toc 6"/>
    <w:basedOn w:val="Normalny"/>
    <w:next w:val="Normalny"/>
    <w:autoRedefine/>
    <w:uiPriority w:val="99"/>
    <w:rsid w:val="00C95296"/>
    <w:pPr>
      <w:ind w:left="1200"/>
      <w:jc w:val="both"/>
    </w:pPr>
    <w:rPr>
      <w:rFonts w:cs="Calibri"/>
      <w:sz w:val="18"/>
      <w:szCs w:val="18"/>
    </w:rPr>
  </w:style>
  <w:style w:type="paragraph" w:styleId="Spistreci7">
    <w:name w:val="toc 7"/>
    <w:basedOn w:val="Normalny"/>
    <w:next w:val="Normalny"/>
    <w:autoRedefine/>
    <w:uiPriority w:val="99"/>
    <w:rsid w:val="00C95296"/>
    <w:pPr>
      <w:ind w:left="1440"/>
      <w:jc w:val="both"/>
    </w:pPr>
    <w:rPr>
      <w:rFonts w:cs="Calibri"/>
      <w:sz w:val="18"/>
      <w:szCs w:val="18"/>
    </w:rPr>
  </w:style>
  <w:style w:type="paragraph" w:styleId="Spistreci8">
    <w:name w:val="toc 8"/>
    <w:basedOn w:val="Normalny"/>
    <w:next w:val="Normalny"/>
    <w:autoRedefine/>
    <w:uiPriority w:val="99"/>
    <w:rsid w:val="00C95296"/>
    <w:pPr>
      <w:ind w:left="1680"/>
      <w:jc w:val="both"/>
    </w:pPr>
    <w:rPr>
      <w:rFonts w:cs="Calibri"/>
      <w:sz w:val="18"/>
      <w:szCs w:val="18"/>
    </w:rPr>
  </w:style>
  <w:style w:type="paragraph" w:styleId="Spistreci9">
    <w:name w:val="toc 9"/>
    <w:basedOn w:val="Normalny"/>
    <w:next w:val="Normalny"/>
    <w:autoRedefine/>
    <w:uiPriority w:val="99"/>
    <w:rsid w:val="00C95296"/>
    <w:pPr>
      <w:ind w:left="1920"/>
      <w:jc w:val="both"/>
    </w:pPr>
    <w:rPr>
      <w:rFonts w:cs="Calibri"/>
      <w:sz w:val="18"/>
      <w:szCs w:val="18"/>
    </w:rPr>
  </w:style>
  <w:style w:type="table" w:styleId="Tabela-Siatka">
    <w:name w:val="Table Grid"/>
    <w:basedOn w:val="Standardowy"/>
    <w:uiPriority w:val="39"/>
    <w:rsid w:val="00C9529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
    <w:name w:val="Corps de"/>
    <w:basedOn w:val="Normalny"/>
    <w:uiPriority w:val="99"/>
    <w:rsid w:val="00C95296"/>
    <w:pPr>
      <w:jc w:val="center"/>
    </w:pPr>
    <w:rPr>
      <w:rFonts w:ascii="Verdana" w:hAnsi="Verdana"/>
      <w:b/>
      <w:sz w:val="18"/>
      <w:u w:val="single"/>
    </w:rPr>
  </w:style>
  <w:style w:type="character" w:styleId="Pogrubienie">
    <w:name w:val="Strong"/>
    <w:basedOn w:val="Domylnaczcionkaakapitu"/>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rPr>
  </w:style>
  <w:style w:type="paragraph" w:customStyle="1" w:styleId="naisf">
    <w:name w:val="naisf"/>
    <w:basedOn w:val="Normalny"/>
    <w:uiPriority w:val="99"/>
    <w:rsid w:val="00C95296"/>
    <w:pPr>
      <w:tabs>
        <w:tab w:val="left" w:pos="709"/>
      </w:tabs>
      <w:suppressAutoHyphens/>
      <w:spacing w:before="75" w:after="75"/>
      <w:ind w:firstLine="375"/>
      <w:jc w:val="both"/>
    </w:pPr>
    <w:rPr>
      <w:rFonts w:ascii="Liberation Serif" w:eastAsia="Liberation Serif" w:cs="Lohit Hindi"/>
    </w:rPr>
  </w:style>
  <w:style w:type="paragraph" w:customStyle="1" w:styleId="Pamatteksts">
    <w:name w:val="Pamatteksts"/>
    <w:basedOn w:val="Noklustais"/>
    <w:uiPriority w:val="99"/>
    <w:rsid w:val="00C95296"/>
    <w:pPr>
      <w:jc w:val="center"/>
    </w:pPr>
    <w:rPr>
      <w:rFonts w:ascii="Verdana" w:eastAsia="Calibri" w:hAnsi="Verdana"/>
      <w:b/>
      <w:sz w:val="18"/>
      <w:u w:val="single"/>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2">
    <w:name w:val="Car Char Car Char Car Char Car Char Car Char Car Char Char1 Char Char Char Char Char Char2"/>
    <w:basedOn w:val="Normalny"/>
    <w:uiPriority w:val="99"/>
    <w:rsid w:val="00707EB6"/>
    <w:pPr>
      <w:spacing w:after="160" w:line="240" w:lineRule="exact"/>
      <w:jc w:val="both"/>
    </w:pPr>
    <w:rPr>
      <w:rFonts w:ascii="Arial" w:hAnsi="Arial" w:cs="Arial"/>
      <w:sz w:val="20"/>
      <w:szCs w:val="20"/>
    </w:rPr>
  </w:style>
  <w:style w:type="paragraph" w:customStyle="1" w:styleId="CharChar2">
    <w:name w:val="Char Char2"/>
    <w:basedOn w:val="Normalny"/>
    <w:uiPriority w:val="99"/>
    <w:rsid w:val="00707EB6"/>
    <w:pPr>
      <w:spacing w:after="160" w:line="240" w:lineRule="exact"/>
      <w:jc w:val="both"/>
    </w:pPr>
    <w:rPr>
      <w:rFonts w:ascii="Arial" w:hAnsi="Arial" w:cs="Arial"/>
      <w:sz w:val="20"/>
      <w:szCs w:val="20"/>
    </w:rPr>
  </w:style>
  <w:style w:type="paragraph" w:customStyle="1" w:styleId="CarCharCarCharCarCharCarCharCarCharCarCharChar2">
    <w:name w:val="Car Char Car Char Car Char Car Char Car Char Car Char Char2"/>
    <w:basedOn w:val="Normalny"/>
    <w:uiPriority w:val="99"/>
    <w:rsid w:val="00707EB6"/>
    <w:pPr>
      <w:spacing w:after="160" w:line="240" w:lineRule="exact"/>
      <w:jc w:val="both"/>
    </w:pPr>
    <w:rPr>
      <w:rFonts w:ascii="Arial" w:hAnsi="Arial" w:cs="Arial"/>
      <w:sz w:val="20"/>
      <w:szCs w:val="20"/>
    </w:rPr>
  </w:style>
  <w:style w:type="paragraph" w:customStyle="1" w:styleId="ZchnZchnCharCharChar2">
    <w:name w:val="Zchn Zchn Char Char Char2"/>
    <w:basedOn w:val="Normalny"/>
    <w:uiPriority w:val="99"/>
    <w:rsid w:val="00707EB6"/>
    <w:pPr>
      <w:spacing w:after="160" w:line="240" w:lineRule="exact"/>
      <w:jc w:val="both"/>
    </w:pPr>
    <w:rPr>
      <w:rFonts w:ascii="Arial" w:hAnsi="Arial" w:cs="Arial"/>
      <w:sz w:val="20"/>
      <w:szCs w:val="20"/>
    </w:rPr>
  </w:style>
  <w:style w:type="table" w:customStyle="1" w:styleId="TableGrid1">
    <w:name w:val="Table Grid1"/>
    <w:uiPriority w:val="99"/>
    <w:rsid w:val="00707E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fr-FR"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1">
    <w:name w:val="Car Char Car Char Car Char Car Char Car Char Car Char Char1 Char Char Char Char Char Char1"/>
    <w:basedOn w:val="Normalny"/>
    <w:uiPriority w:val="99"/>
    <w:rsid w:val="00517AE1"/>
    <w:pPr>
      <w:spacing w:after="160" w:line="240" w:lineRule="exact"/>
      <w:jc w:val="both"/>
    </w:pPr>
    <w:rPr>
      <w:rFonts w:ascii="Arial" w:hAnsi="Arial" w:cs="Arial"/>
      <w:sz w:val="20"/>
      <w:szCs w:val="20"/>
    </w:rPr>
  </w:style>
  <w:style w:type="paragraph" w:customStyle="1" w:styleId="CharChar1">
    <w:name w:val="Char Char1"/>
    <w:basedOn w:val="Normalny"/>
    <w:uiPriority w:val="99"/>
    <w:rsid w:val="00517AE1"/>
    <w:pPr>
      <w:spacing w:after="160" w:line="240" w:lineRule="exact"/>
      <w:jc w:val="both"/>
    </w:pPr>
    <w:rPr>
      <w:rFonts w:ascii="Arial" w:hAnsi="Arial" w:cs="Arial"/>
      <w:sz w:val="20"/>
      <w:szCs w:val="20"/>
    </w:rPr>
  </w:style>
  <w:style w:type="paragraph" w:customStyle="1" w:styleId="CarCharCarCharCarCharCarCharCarCharCarCharChar1">
    <w:name w:val="Car Char Car Char Car Char Car Char Car Char Car Char Char1"/>
    <w:basedOn w:val="Normalny"/>
    <w:uiPriority w:val="99"/>
    <w:rsid w:val="00517AE1"/>
    <w:pPr>
      <w:spacing w:after="160" w:line="240" w:lineRule="exact"/>
      <w:jc w:val="both"/>
    </w:pPr>
    <w:rPr>
      <w:rFonts w:ascii="Arial" w:hAnsi="Arial" w:cs="Arial"/>
      <w:sz w:val="20"/>
      <w:szCs w:val="20"/>
    </w:rPr>
  </w:style>
  <w:style w:type="paragraph" w:customStyle="1" w:styleId="ZchnZchnCharCharChar1">
    <w:name w:val="Zchn Zchn Char Char Char1"/>
    <w:basedOn w:val="Normalny"/>
    <w:uiPriority w:val="99"/>
    <w:rsid w:val="00517AE1"/>
    <w:pPr>
      <w:spacing w:after="160" w:line="240" w:lineRule="exact"/>
      <w:jc w:val="both"/>
    </w:pPr>
    <w:rPr>
      <w:rFonts w:ascii="Arial" w:hAnsi="Arial" w:cs="Arial"/>
      <w:sz w:val="20"/>
      <w:szCs w:val="20"/>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Listapunktowana2">
    <w:name w:val="List Bullet 2"/>
    <w:basedOn w:val="Normalny"/>
    <w:uiPriority w:val="99"/>
    <w:rsid w:val="00517AE1"/>
    <w:pPr>
      <w:jc w:val="both"/>
    </w:pPr>
    <w:rPr>
      <w:rFonts w:ascii="Verdana" w:hAnsi="Verdana"/>
      <w:sz w:val="20"/>
    </w:rPr>
  </w:style>
  <w:style w:type="paragraph" w:customStyle="1" w:styleId="a">
    <w:name w:val="Абзац списка"/>
    <w:basedOn w:val="Normalny"/>
    <w:uiPriority w:val="99"/>
    <w:rsid w:val="00517AE1"/>
    <w:pPr>
      <w:ind w:left="708"/>
      <w:jc w:val="both"/>
    </w:pPr>
    <w:rPr>
      <w:rFonts w:ascii="Verdana" w:hAnsi="Verdana"/>
      <w:sz w:val="20"/>
    </w:rPr>
  </w:style>
  <w:style w:type="paragraph" w:styleId="Tekstprzypisukocowego">
    <w:name w:val="endnote text"/>
    <w:basedOn w:val="Normalny"/>
    <w:link w:val="TekstprzypisukocowegoZnak"/>
    <w:uiPriority w:val="99"/>
    <w:rsid w:val="00517AE1"/>
    <w:pPr>
      <w:jc w:val="both"/>
    </w:pPr>
    <w:rPr>
      <w:rFonts w:ascii="Verdana" w:hAnsi="Verdana"/>
      <w:sz w:val="20"/>
      <w:szCs w:val="20"/>
    </w:rPr>
  </w:style>
  <w:style w:type="character" w:customStyle="1" w:styleId="TekstprzypisukocowegoZnak">
    <w:name w:val="Tekst przypisu końcowego Znak"/>
    <w:basedOn w:val="Domylnaczcionkaakapitu"/>
    <w:link w:val="Tekstprzypisukocowego"/>
    <w:uiPriority w:val="99"/>
    <w:locked/>
    <w:rsid w:val="00517AE1"/>
    <w:rPr>
      <w:rFonts w:ascii="Verdana" w:hAnsi="Verdana" w:cs="Times New Roman"/>
      <w:sz w:val="20"/>
      <w:szCs w:val="20"/>
      <w:lang w:eastAsia="fr-FR"/>
    </w:rPr>
  </w:style>
  <w:style w:type="character" w:styleId="Odwoanieprzypisukocowego">
    <w:name w:val="endnote reference"/>
    <w:basedOn w:val="Domylnaczcionkaakapitu"/>
    <w:uiPriority w:val="99"/>
    <w:rsid w:val="00517AE1"/>
    <w:rPr>
      <w:rFonts w:cs="Times New Roman"/>
      <w:vertAlign w:val="superscript"/>
    </w:rPr>
  </w:style>
  <w:style w:type="paragraph" w:styleId="Cytat">
    <w:name w:val="Quote"/>
    <w:basedOn w:val="Normalny"/>
    <w:next w:val="Normalny"/>
    <w:link w:val="CytatZnak"/>
    <w:uiPriority w:val="99"/>
    <w:qFormat/>
    <w:rsid w:val="006A0615"/>
    <w:rPr>
      <w:i/>
      <w:iCs/>
      <w:color w:val="000000"/>
    </w:rPr>
  </w:style>
  <w:style w:type="character" w:customStyle="1" w:styleId="CytatZnak">
    <w:name w:val="Cytat Znak"/>
    <w:basedOn w:val="Domylnaczcionkaakapitu"/>
    <w:link w:val="Cytat"/>
    <w:uiPriority w:val="99"/>
    <w:locked/>
    <w:rsid w:val="006A0615"/>
    <w:rPr>
      <w:rFonts w:eastAsia="Times New Roman" w:cs="Times New Roman"/>
      <w:i/>
      <w:iCs/>
      <w:color w:val="000000"/>
      <w:lang w:val="fr-FR" w:eastAsia="fr-FR"/>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Domylnaczcionkaakapitu"/>
    <w:uiPriority w:val="99"/>
    <w:locked/>
    <w:rsid w:val="000326B1"/>
    <w:rPr>
      <w:rFonts w:ascii="Verdana" w:hAnsi="Verdana" w:cs="Times New Roman"/>
      <w:sz w:val="20"/>
      <w:szCs w:val="20"/>
      <w:lang w:val="fr-FR" w:eastAsia="fr-FR"/>
    </w:rPr>
  </w:style>
  <w:style w:type="paragraph" w:customStyle="1" w:styleId="question">
    <w:name w:val="question"/>
    <w:basedOn w:val="Normalny"/>
    <w:rsid w:val="005F07BA"/>
    <w:pPr>
      <w:numPr>
        <w:numId w:val="13"/>
      </w:numPr>
      <w:jc w:val="both"/>
    </w:pPr>
    <w:rPr>
      <w:rFonts w:ascii="Arial Narrow" w:hAnsi="Arial Narrow"/>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rPr>
  </w:style>
  <w:style w:type="character" w:customStyle="1" w:styleId="hps">
    <w:name w:val="hps"/>
    <w:rsid w:val="005F07BA"/>
    <w:rPr>
      <w:rFonts w:cs="Times New Roman"/>
    </w:rPr>
  </w:style>
  <w:style w:type="character" w:styleId="Nierozpoznanawzmianka">
    <w:name w:val="Unresolved Mention"/>
    <w:basedOn w:val="Domylnaczcionkaakapitu"/>
    <w:uiPriority w:val="99"/>
    <w:semiHidden/>
    <w:unhideWhenUsed/>
    <w:rsid w:val="00A0556E"/>
    <w:rPr>
      <w:color w:val="605E5C"/>
      <w:shd w:val="clear" w:color="auto" w:fill="E1DFDD"/>
    </w:rPr>
  </w:style>
  <w:style w:type="character" w:customStyle="1" w:styleId="tlid-translation">
    <w:name w:val="tlid-translation"/>
    <w:basedOn w:val="Domylnaczcionkaakapitu"/>
    <w:rsid w:val="00382493"/>
  </w:style>
  <w:style w:type="character" w:customStyle="1" w:styleId="alt-edited">
    <w:name w:val="alt-edited"/>
    <w:basedOn w:val="Domylnaczcionkaakapitu"/>
    <w:rsid w:val="00665B79"/>
  </w:style>
  <w:style w:type="paragraph" w:customStyle="1" w:styleId="Standard">
    <w:name w:val="Standard"/>
    <w:rsid w:val="003D5A97"/>
    <w:pPr>
      <w:suppressAutoHyphens/>
      <w:autoSpaceDN w:val="0"/>
      <w:textAlignment w:val="baseline"/>
    </w:pPr>
    <w:rPr>
      <w:rFonts w:ascii="Liberation Serif" w:eastAsia="NSimSun" w:hAnsi="Liberation Serif" w:cs="Lucida Sans"/>
      <w:kern w:val="3"/>
      <w:sz w:val="24"/>
      <w:szCs w:val="24"/>
      <w:lang w:val="pl-PL" w:eastAsia="zh-CN" w:bidi="hi-IN"/>
    </w:rPr>
  </w:style>
  <w:style w:type="numbering" w:customStyle="1" w:styleId="WWNum21">
    <w:name w:val="WWNum21"/>
    <w:basedOn w:val="Bezlisty"/>
    <w:rsid w:val="003D5A97"/>
    <w:pPr>
      <w:numPr>
        <w:numId w:val="27"/>
      </w:numPr>
    </w:pPr>
  </w:style>
  <w:style w:type="character" w:customStyle="1" w:styleId="highlight">
    <w:name w:val="highlight"/>
    <w:basedOn w:val="Domylnaczcionkaakapitu"/>
    <w:rsid w:val="000D678C"/>
  </w:style>
  <w:style w:type="paragraph" w:styleId="Poprawka">
    <w:name w:val="Revision"/>
    <w:hidden/>
    <w:uiPriority w:val="99"/>
    <w:semiHidden/>
    <w:rsid w:val="00FE24CC"/>
    <w:rPr>
      <w:rFonts w:ascii="Times New Roman" w:eastAsia="Times New Roman" w:hAnsi="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42">
      <w:bodyDiv w:val="1"/>
      <w:marLeft w:val="0"/>
      <w:marRight w:val="0"/>
      <w:marTop w:val="0"/>
      <w:marBottom w:val="0"/>
      <w:divBdr>
        <w:top w:val="none" w:sz="0" w:space="0" w:color="auto"/>
        <w:left w:val="none" w:sz="0" w:space="0" w:color="auto"/>
        <w:bottom w:val="none" w:sz="0" w:space="0" w:color="auto"/>
        <w:right w:val="none" w:sz="0" w:space="0" w:color="auto"/>
      </w:divBdr>
    </w:div>
    <w:div w:id="14313227">
      <w:bodyDiv w:val="1"/>
      <w:marLeft w:val="0"/>
      <w:marRight w:val="0"/>
      <w:marTop w:val="0"/>
      <w:marBottom w:val="0"/>
      <w:divBdr>
        <w:top w:val="none" w:sz="0" w:space="0" w:color="auto"/>
        <w:left w:val="none" w:sz="0" w:space="0" w:color="auto"/>
        <w:bottom w:val="none" w:sz="0" w:space="0" w:color="auto"/>
        <w:right w:val="none" w:sz="0" w:space="0" w:color="auto"/>
      </w:divBdr>
    </w:div>
    <w:div w:id="28649149">
      <w:bodyDiv w:val="1"/>
      <w:marLeft w:val="0"/>
      <w:marRight w:val="0"/>
      <w:marTop w:val="0"/>
      <w:marBottom w:val="0"/>
      <w:divBdr>
        <w:top w:val="none" w:sz="0" w:space="0" w:color="auto"/>
        <w:left w:val="none" w:sz="0" w:space="0" w:color="auto"/>
        <w:bottom w:val="none" w:sz="0" w:space="0" w:color="auto"/>
        <w:right w:val="none" w:sz="0" w:space="0" w:color="auto"/>
      </w:divBdr>
    </w:div>
    <w:div w:id="47650675">
      <w:bodyDiv w:val="1"/>
      <w:marLeft w:val="0"/>
      <w:marRight w:val="0"/>
      <w:marTop w:val="0"/>
      <w:marBottom w:val="0"/>
      <w:divBdr>
        <w:top w:val="none" w:sz="0" w:space="0" w:color="auto"/>
        <w:left w:val="none" w:sz="0" w:space="0" w:color="auto"/>
        <w:bottom w:val="none" w:sz="0" w:space="0" w:color="auto"/>
        <w:right w:val="none" w:sz="0" w:space="0" w:color="auto"/>
      </w:divBdr>
    </w:div>
    <w:div w:id="57173436">
      <w:bodyDiv w:val="1"/>
      <w:marLeft w:val="0"/>
      <w:marRight w:val="0"/>
      <w:marTop w:val="0"/>
      <w:marBottom w:val="0"/>
      <w:divBdr>
        <w:top w:val="none" w:sz="0" w:space="0" w:color="auto"/>
        <w:left w:val="none" w:sz="0" w:space="0" w:color="auto"/>
        <w:bottom w:val="none" w:sz="0" w:space="0" w:color="auto"/>
        <w:right w:val="none" w:sz="0" w:space="0" w:color="auto"/>
      </w:divBdr>
    </w:div>
    <w:div w:id="63263765">
      <w:bodyDiv w:val="1"/>
      <w:marLeft w:val="0"/>
      <w:marRight w:val="0"/>
      <w:marTop w:val="0"/>
      <w:marBottom w:val="0"/>
      <w:divBdr>
        <w:top w:val="none" w:sz="0" w:space="0" w:color="auto"/>
        <w:left w:val="none" w:sz="0" w:space="0" w:color="auto"/>
        <w:bottom w:val="none" w:sz="0" w:space="0" w:color="auto"/>
        <w:right w:val="none" w:sz="0" w:space="0" w:color="auto"/>
      </w:divBdr>
    </w:div>
    <w:div w:id="66076873">
      <w:bodyDiv w:val="1"/>
      <w:marLeft w:val="0"/>
      <w:marRight w:val="0"/>
      <w:marTop w:val="0"/>
      <w:marBottom w:val="0"/>
      <w:divBdr>
        <w:top w:val="none" w:sz="0" w:space="0" w:color="auto"/>
        <w:left w:val="none" w:sz="0" w:space="0" w:color="auto"/>
        <w:bottom w:val="none" w:sz="0" w:space="0" w:color="auto"/>
        <w:right w:val="none" w:sz="0" w:space="0" w:color="auto"/>
      </w:divBdr>
    </w:div>
    <w:div w:id="78449419">
      <w:bodyDiv w:val="1"/>
      <w:marLeft w:val="0"/>
      <w:marRight w:val="0"/>
      <w:marTop w:val="0"/>
      <w:marBottom w:val="0"/>
      <w:divBdr>
        <w:top w:val="none" w:sz="0" w:space="0" w:color="auto"/>
        <w:left w:val="none" w:sz="0" w:space="0" w:color="auto"/>
        <w:bottom w:val="none" w:sz="0" w:space="0" w:color="auto"/>
        <w:right w:val="none" w:sz="0" w:space="0" w:color="auto"/>
      </w:divBdr>
    </w:div>
    <w:div w:id="79525821">
      <w:bodyDiv w:val="1"/>
      <w:marLeft w:val="0"/>
      <w:marRight w:val="0"/>
      <w:marTop w:val="0"/>
      <w:marBottom w:val="0"/>
      <w:divBdr>
        <w:top w:val="none" w:sz="0" w:space="0" w:color="auto"/>
        <w:left w:val="none" w:sz="0" w:space="0" w:color="auto"/>
        <w:bottom w:val="none" w:sz="0" w:space="0" w:color="auto"/>
        <w:right w:val="none" w:sz="0" w:space="0" w:color="auto"/>
      </w:divBdr>
    </w:div>
    <w:div w:id="108208293">
      <w:bodyDiv w:val="1"/>
      <w:marLeft w:val="0"/>
      <w:marRight w:val="0"/>
      <w:marTop w:val="0"/>
      <w:marBottom w:val="0"/>
      <w:divBdr>
        <w:top w:val="none" w:sz="0" w:space="0" w:color="auto"/>
        <w:left w:val="none" w:sz="0" w:space="0" w:color="auto"/>
        <w:bottom w:val="none" w:sz="0" w:space="0" w:color="auto"/>
        <w:right w:val="none" w:sz="0" w:space="0" w:color="auto"/>
      </w:divBdr>
    </w:div>
    <w:div w:id="115099823">
      <w:bodyDiv w:val="1"/>
      <w:marLeft w:val="0"/>
      <w:marRight w:val="0"/>
      <w:marTop w:val="0"/>
      <w:marBottom w:val="0"/>
      <w:divBdr>
        <w:top w:val="none" w:sz="0" w:space="0" w:color="auto"/>
        <w:left w:val="none" w:sz="0" w:space="0" w:color="auto"/>
        <w:bottom w:val="none" w:sz="0" w:space="0" w:color="auto"/>
        <w:right w:val="none" w:sz="0" w:space="0" w:color="auto"/>
      </w:divBdr>
    </w:div>
    <w:div w:id="121505222">
      <w:bodyDiv w:val="1"/>
      <w:marLeft w:val="0"/>
      <w:marRight w:val="0"/>
      <w:marTop w:val="0"/>
      <w:marBottom w:val="0"/>
      <w:divBdr>
        <w:top w:val="none" w:sz="0" w:space="0" w:color="auto"/>
        <w:left w:val="none" w:sz="0" w:space="0" w:color="auto"/>
        <w:bottom w:val="none" w:sz="0" w:space="0" w:color="auto"/>
        <w:right w:val="none" w:sz="0" w:space="0" w:color="auto"/>
      </w:divBdr>
    </w:div>
    <w:div w:id="151412721">
      <w:bodyDiv w:val="1"/>
      <w:marLeft w:val="0"/>
      <w:marRight w:val="0"/>
      <w:marTop w:val="0"/>
      <w:marBottom w:val="0"/>
      <w:divBdr>
        <w:top w:val="none" w:sz="0" w:space="0" w:color="auto"/>
        <w:left w:val="none" w:sz="0" w:space="0" w:color="auto"/>
        <w:bottom w:val="none" w:sz="0" w:space="0" w:color="auto"/>
        <w:right w:val="none" w:sz="0" w:space="0" w:color="auto"/>
      </w:divBdr>
    </w:div>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193081892">
      <w:bodyDiv w:val="1"/>
      <w:marLeft w:val="0"/>
      <w:marRight w:val="0"/>
      <w:marTop w:val="0"/>
      <w:marBottom w:val="0"/>
      <w:divBdr>
        <w:top w:val="none" w:sz="0" w:space="0" w:color="auto"/>
        <w:left w:val="none" w:sz="0" w:space="0" w:color="auto"/>
        <w:bottom w:val="none" w:sz="0" w:space="0" w:color="auto"/>
        <w:right w:val="none" w:sz="0" w:space="0" w:color="auto"/>
      </w:divBdr>
    </w:div>
    <w:div w:id="196818298">
      <w:bodyDiv w:val="1"/>
      <w:marLeft w:val="0"/>
      <w:marRight w:val="0"/>
      <w:marTop w:val="0"/>
      <w:marBottom w:val="0"/>
      <w:divBdr>
        <w:top w:val="none" w:sz="0" w:space="0" w:color="auto"/>
        <w:left w:val="none" w:sz="0" w:space="0" w:color="auto"/>
        <w:bottom w:val="none" w:sz="0" w:space="0" w:color="auto"/>
        <w:right w:val="none" w:sz="0" w:space="0" w:color="auto"/>
      </w:divBdr>
    </w:div>
    <w:div w:id="216167690">
      <w:bodyDiv w:val="1"/>
      <w:marLeft w:val="0"/>
      <w:marRight w:val="0"/>
      <w:marTop w:val="0"/>
      <w:marBottom w:val="0"/>
      <w:divBdr>
        <w:top w:val="none" w:sz="0" w:space="0" w:color="auto"/>
        <w:left w:val="none" w:sz="0" w:space="0" w:color="auto"/>
        <w:bottom w:val="none" w:sz="0" w:space="0" w:color="auto"/>
        <w:right w:val="none" w:sz="0" w:space="0" w:color="auto"/>
      </w:divBdr>
    </w:div>
    <w:div w:id="223681706">
      <w:bodyDiv w:val="1"/>
      <w:marLeft w:val="0"/>
      <w:marRight w:val="0"/>
      <w:marTop w:val="0"/>
      <w:marBottom w:val="0"/>
      <w:divBdr>
        <w:top w:val="none" w:sz="0" w:space="0" w:color="auto"/>
        <w:left w:val="none" w:sz="0" w:space="0" w:color="auto"/>
        <w:bottom w:val="none" w:sz="0" w:space="0" w:color="auto"/>
        <w:right w:val="none" w:sz="0" w:space="0" w:color="auto"/>
      </w:divBdr>
    </w:div>
    <w:div w:id="282349249">
      <w:bodyDiv w:val="1"/>
      <w:marLeft w:val="0"/>
      <w:marRight w:val="0"/>
      <w:marTop w:val="0"/>
      <w:marBottom w:val="0"/>
      <w:divBdr>
        <w:top w:val="none" w:sz="0" w:space="0" w:color="auto"/>
        <w:left w:val="none" w:sz="0" w:space="0" w:color="auto"/>
        <w:bottom w:val="none" w:sz="0" w:space="0" w:color="auto"/>
        <w:right w:val="none" w:sz="0" w:space="0" w:color="auto"/>
      </w:divBdr>
    </w:div>
    <w:div w:id="282463713">
      <w:bodyDiv w:val="1"/>
      <w:marLeft w:val="0"/>
      <w:marRight w:val="0"/>
      <w:marTop w:val="0"/>
      <w:marBottom w:val="0"/>
      <w:divBdr>
        <w:top w:val="none" w:sz="0" w:space="0" w:color="auto"/>
        <w:left w:val="none" w:sz="0" w:space="0" w:color="auto"/>
        <w:bottom w:val="none" w:sz="0" w:space="0" w:color="auto"/>
        <w:right w:val="none" w:sz="0" w:space="0" w:color="auto"/>
      </w:divBdr>
    </w:div>
    <w:div w:id="304239927">
      <w:bodyDiv w:val="1"/>
      <w:marLeft w:val="0"/>
      <w:marRight w:val="0"/>
      <w:marTop w:val="0"/>
      <w:marBottom w:val="0"/>
      <w:divBdr>
        <w:top w:val="none" w:sz="0" w:space="0" w:color="auto"/>
        <w:left w:val="none" w:sz="0" w:space="0" w:color="auto"/>
        <w:bottom w:val="none" w:sz="0" w:space="0" w:color="auto"/>
        <w:right w:val="none" w:sz="0" w:space="0" w:color="auto"/>
      </w:divBdr>
    </w:div>
    <w:div w:id="313687374">
      <w:bodyDiv w:val="1"/>
      <w:marLeft w:val="0"/>
      <w:marRight w:val="0"/>
      <w:marTop w:val="0"/>
      <w:marBottom w:val="0"/>
      <w:divBdr>
        <w:top w:val="none" w:sz="0" w:space="0" w:color="auto"/>
        <w:left w:val="none" w:sz="0" w:space="0" w:color="auto"/>
        <w:bottom w:val="none" w:sz="0" w:space="0" w:color="auto"/>
        <w:right w:val="none" w:sz="0" w:space="0" w:color="auto"/>
      </w:divBdr>
    </w:div>
    <w:div w:id="329524713">
      <w:bodyDiv w:val="1"/>
      <w:marLeft w:val="0"/>
      <w:marRight w:val="0"/>
      <w:marTop w:val="0"/>
      <w:marBottom w:val="0"/>
      <w:divBdr>
        <w:top w:val="none" w:sz="0" w:space="0" w:color="auto"/>
        <w:left w:val="none" w:sz="0" w:space="0" w:color="auto"/>
        <w:bottom w:val="none" w:sz="0" w:space="0" w:color="auto"/>
        <w:right w:val="none" w:sz="0" w:space="0" w:color="auto"/>
      </w:divBdr>
    </w:div>
    <w:div w:id="331951615">
      <w:bodyDiv w:val="1"/>
      <w:marLeft w:val="0"/>
      <w:marRight w:val="0"/>
      <w:marTop w:val="0"/>
      <w:marBottom w:val="0"/>
      <w:divBdr>
        <w:top w:val="none" w:sz="0" w:space="0" w:color="auto"/>
        <w:left w:val="none" w:sz="0" w:space="0" w:color="auto"/>
        <w:bottom w:val="none" w:sz="0" w:space="0" w:color="auto"/>
        <w:right w:val="none" w:sz="0" w:space="0" w:color="auto"/>
      </w:divBdr>
    </w:div>
    <w:div w:id="359745079">
      <w:bodyDiv w:val="1"/>
      <w:marLeft w:val="0"/>
      <w:marRight w:val="0"/>
      <w:marTop w:val="0"/>
      <w:marBottom w:val="0"/>
      <w:divBdr>
        <w:top w:val="none" w:sz="0" w:space="0" w:color="auto"/>
        <w:left w:val="none" w:sz="0" w:space="0" w:color="auto"/>
        <w:bottom w:val="none" w:sz="0" w:space="0" w:color="auto"/>
        <w:right w:val="none" w:sz="0" w:space="0" w:color="auto"/>
      </w:divBdr>
    </w:div>
    <w:div w:id="371735651">
      <w:bodyDiv w:val="1"/>
      <w:marLeft w:val="0"/>
      <w:marRight w:val="0"/>
      <w:marTop w:val="0"/>
      <w:marBottom w:val="0"/>
      <w:divBdr>
        <w:top w:val="none" w:sz="0" w:space="0" w:color="auto"/>
        <w:left w:val="none" w:sz="0" w:space="0" w:color="auto"/>
        <w:bottom w:val="none" w:sz="0" w:space="0" w:color="auto"/>
        <w:right w:val="none" w:sz="0" w:space="0" w:color="auto"/>
      </w:divBdr>
    </w:div>
    <w:div w:id="417677326">
      <w:bodyDiv w:val="1"/>
      <w:marLeft w:val="0"/>
      <w:marRight w:val="0"/>
      <w:marTop w:val="0"/>
      <w:marBottom w:val="0"/>
      <w:divBdr>
        <w:top w:val="none" w:sz="0" w:space="0" w:color="auto"/>
        <w:left w:val="none" w:sz="0" w:space="0" w:color="auto"/>
        <w:bottom w:val="none" w:sz="0" w:space="0" w:color="auto"/>
        <w:right w:val="none" w:sz="0" w:space="0" w:color="auto"/>
      </w:divBdr>
    </w:div>
    <w:div w:id="429589480">
      <w:bodyDiv w:val="1"/>
      <w:marLeft w:val="0"/>
      <w:marRight w:val="0"/>
      <w:marTop w:val="0"/>
      <w:marBottom w:val="0"/>
      <w:divBdr>
        <w:top w:val="none" w:sz="0" w:space="0" w:color="auto"/>
        <w:left w:val="none" w:sz="0" w:space="0" w:color="auto"/>
        <w:bottom w:val="none" w:sz="0" w:space="0" w:color="auto"/>
        <w:right w:val="none" w:sz="0" w:space="0" w:color="auto"/>
      </w:divBdr>
    </w:div>
    <w:div w:id="442768923">
      <w:bodyDiv w:val="1"/>
      <w:marLeft w:val="0"/>
      <w:marRight w:val="0"/>
      <w:marTop w:val="0"/>
      <w:marBottom w:val="0"/>
      <w:divBdr>
        <w:top w:val="none" w:sz="0" w:space="0" w:color="auto"/>
        <w:left w:val="none" w:sz="0" w:space="0" w:color="auto"/>
        <w:bottom w:val="none" w:sz="0" w:space="0" w:color="auto"/>
        <w:right w:val="none" w:sz="0" w:space="0" w:color="auto"/>
      </w:divBdr>
    </w:div>
    <w:div w:id="443548287">
      <w:bodyDiv w:val="1"/>
      <w:marLeft w:val="0"/>
      <w:marRight w:val="0"/>
      <w:marTop w:val="0"/>
      <w:marBottom w:val="0"/>
      <w:divBdr>
        <w:top w:val="none" w:sz="0" w:space="0" w:color="auto"/>
        <w:left w:val="none" w:sz="0" w:space="0" w:color="auto"/>
        <w:bottom w:val="none" w:sz="0" w:space="0" w:color="auto"/>
        <w:right w:val="none" w:sz="0" w:space="0" w:color="auto"/>
      </w:divBdr>
    </w:div>
    <w:div w:id="464855251">
      <w:bodyDiv w:val="1"/>
      <w:marLeft w:val="0"/>
      <w:marRight w:val="0"/>
      <w:marTop w:val="0"/>
      <w:marBottom w:val="0"/>
      <w:divBdr>
        <w:top w:val="none" w:sz="0" w:space="0" w:color="auto"/>
        <w:left w:val="none" w:sz="0" w:space="0" w:color="auto"/>
        <w:bottom w:val="none" w:sz="0" w:space="0" w:color="auto"/>
        <w:right w:val="none" w:sz="0" w:space="0" w:color="auto"/>
      </w:divBdr>
    </w:div>
    <w:div w:id="470944302">
      <w:bodyDiv w:val="1"/>
      <w:marLeft w:val="0"/>
      <w:marRight w:val="0"/>
      <w:marTop w:val="0"/>
      <w:marBottom w:val="0"/>
      <w:divBdr>
        <w:top w:val="none" w:sz="0" w:space="0" w:color="auto"/>
        <w:left w:val="none" w:sz="0" w:space="0" w:color="auto"/>
        <w:bottom w:val="none" w:sz="0" w:space="0" w:color="auto"/>
        <w:right w:val="none" w:sz="0" w:space="0" w:color="auto"/>
      </w:divBdr>
    </w:div>
    <w:div w:id="497500800">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23978244">
      <w:bodyDiv w:val="1"/>
      <w:marLeft w:val="0"/>
      <w:marRight w:val="0"/>
      <w:marTop w:val="0"/>
      <w:marBottom w:val="0"/>
      <w:divBdr>
        <w:top w:val="none" w:sz="0" w:space="0" w:color="auto"/>
        <w:left w:val="none" w:sz="0" w:space="0" w:color="auto"/>
        <w:bottom w:val="none" w:sz="0" w:space="0" w:color="auto"/>
        <w:right w:val="none" w:sz="0" w:space="0" w:color="auto"/>
      </w:divBdr>
    </w:div>
    <w:div w:id="595403042">
      <w:bodyDiv w:val="1"/>
      <w:marLeft w:val="0"/>
      <w:marRight w:val="0"/>
      <w:marTop w:val="0"/>
      <w:marBottom w:val="0"/>
      <w:divBdr>
        <w:top w:val="none" w:sz="0" w:space="0" w:color="auto"/>
        <w:left w:val="none" w:sz="0" w:space="0" w:color="auto"/>
        <w:bottom w:val="none" w:sz="0" w:space="0" w:color="auto"/>
        <w:right w:val="none" w:sz="0" w:space="0" w:color="auto"/>
      </w:divBdr>
    </w:div>
    <w:div w:id="611016382">
      <w:bodyDiv w:val="1"/>
      <w:marLeft w:val="0"/>
      <w:marRight w:val="0"/>
      <w:marTop w:val="0"/>
      <w:marBottom w:val="0"/>
      <w:divBdr>
        <w:top w:val="none" w:sz="0" w:space="0" w:color="auto"/>
        <w:left w:val="none" w:sz="0" w:space="0" w:color="auto"/>
        <w:bottom w:val="none" w:sz="0" w:space="0" w:color="auto"/>
        <w:right w:val="none" w:sz="0" w:space="0" w:color="auto"/>
      </w:divBdr>
    </w:div>
    <w:div w:id="620116353">
      <w:bodyDiv w:val="1"/>
      <w:marLeft w:val="0"/>
      <w:marRight w:val="0"/>
      <w:marTop w:val="0"/>
      <w:marBottom w:val="0"/>
      <w:divBdr>
        <w:top w:val="none" w:sz="0" w:space="0" w:color="auto"/>
        <w:left w:val="none" w:sz="0" w:space="0" w:color="auto"/>
        <w:bottom w:val="none" w:sz="0" w:space="0" w:color="auto"/>
        <w:right w:val="none" w:sz="0" w:space="0" w:color="auto"/>
      </w:divBdr>
    </w:div>
    <w:div w:id="643705252">
      <w:bodyDiv w:val="1"/>
      <w:marLeft w:val="0"/>
      <w:marRight w:val="0"/>
      <w:marTop w:val="0"/>
      <w:marBottom w:val="0"/>
      <w:divBdr>
        <w:top w:val="none" w:sz="0" w:space="0" w:color="auto"/>
        <w:left w:val="none" w:sz="0" w:space="0" w:color="auto"/>
        <w:bottom w:val="none" w:sz="0" w:space="0" w:color="auto"/>
        <w:right w:val="none" w:sz="0" w:space="0" w:color="auto"/>
      </w:divBdr>
    </w:div>
    <w:div w:id="691032273">
      <w:bodyDiv w:val="1"/>
      <w:marLeft w:val="0"/>
      <w:marRight w:val="0"/>
      <w:marTop w:val="0"/>
      <w:marBottom w:val="0"/>
      <w:divBdr>
        <w:top w:val="none" w:sz="0" w:space="0" w:color="auto"/>
        <w:left w:val="none" w:sz="0" w:space="0" w:color="auto"/>
        <w:bottom w:val="none" w:sz="0" w:space="0" w:color="auto"/>
        <w:right w:val="none" w:sz="0" w:space="0" w:color="auto"/>
      </w:divBdr>
    </w:div>
    <w:div w:id="694117925">
      <w:bodyDiv w:val="1"/>
      <w:marLeft w:val="0"/>
      <w:marRight w:val="0"/>
      <w:marTop w:val="0"/>
      <w:marBottom w:val="0"/>
      <w:divBdr>
        <w:top w:val="none" w:sz="0" w:space="0" w:color="auto"/>
        <w:left w:val="none" w:sz="0" w:space="0" w:color="auto"/>
        <w:bottom w:val="none" w:sz="0" w:space="0" w:color="auto"/>
        <w:right w:val="none" w:sz="0" w:space="0" w:color="auto"/>
      </w:divBdr>
    </w:div>
    <w:div w:id="698899635">
      <w:bodyDiv w:val="1"/>
      <w:marLeft w:val="0"/>
      <w:marRight w:val="0"/>
      <w:marTop w:val="0"/>
      <w:marBottom w:val="0"/>
      <w:divBdr>
        <w:top w:val="none" w:sz="0" w:space="0" w:color="auto"/>
        <w:left w:val="none" w:sz="0" w:space="0" w:color="auto"/>
        <w:bottom w:val="none" w:sz="0" w:space="0" w:color="auto"/>
        <w:right w:val="none" w:sz="0" w:space="0" w:color="auto"/>
      </w:divBdr>
    </w:div>
    <w:div w:id="740830784">
      <w:bodyDiv w:val="1"/>
      <w:marLeft w:val="0"/>
      <w:marRight w:val="0"/>
      <w:marTop w:val="0"/>
      <w:marBottom w:val="0"/>
      <w:divBdr>
        <w:top w:val="none" w:sz="0" w:space="0" w:color="auto"/>
        <w:left w:val="none" w:sz="0" w:space="0" w:color="auto"/>
        <w:bottom w:val="none" w:sz="0" w:space="0" w:color="auto"/>
        <w:right w:val="none" w:sz="0" w:space="0" w:color="auto"/>
      </w:divBdr>
    </w:div>
    <w:div w:id="781652720">
      <w:bodyDiv w:val="1"/>
      <w:marLeft w:val="0"/>
      <w:marRight w:val="0"/>
      <w:marTop w:val="0"/>
      <w:marBottom w:val="0"/>
      <w:divBdr>
        <w:top w:val="none" w:sz="0" w:space="0" w:color="auto"/>
        <w:left w:val="none" w:sz="0" w:space="0" w:color="auto"/>
        <w:bottom w:val="none" w:sz="0" w:space="0" w:color="auto"/>
        <w:right w:val="none" w:sz="0" w:space="0" w:color="auto"/>
      </w:divBdr>
    </w:div>
    <w:div w:id="783116310">
      <w:bodyDiv w:val="1"/>
      <w:marLeft w:val="0"/>
      <w:marRight w:val="0"/>
      <w:marTop w:val="0"/>
      <w:marBottom w:val="0"/>
      <w:divBdr>
        <w:top w:val="none" w:sz="0" w:space="0" w:color="auto"/>
        <w:left w:val="none" w:sz="0" w:space="0" w:color="auto"/>
        <w:bottom w:val="none" w:sz="0" w:space="0" w:color="auto"/>
        <w:right w:val="none" w:sz="0" w:space="0" w:color="auto"/>
      </w:divBdr>
    </w:div>
    <w:div w:id="813638182">
      <w:bodyDiv w:val="1"/>
      <w:marLeft w:val="0"/>
      <w:marRight w:val="0"/>
      <w:marTop w:val="0"/>
      <w:marBottom w:val="0"/>
      <w:divBdr>
        <w:top w:val="none" w:sz="0" w:space="0" w:color="auto"/>
        <w:left w:val="none" w:sz="0" w:space="0" w:color="auto"/>
        <w:bottom w:val="none" w:sz="0" w:space="0" w:color="auto"/>
        <w:right w:val="none" w:sz="0" w:space="0" w:color="auto"/>
      </w:divBdr>
    </w:div>
    <w:div w:id="880361618">
      <w:bodyDiv w:val="1"/>
      <w:marLeft w:val="0"/>
      <w:marRight w:val="0"/>
      <w:marTop w:val="0"/>
      <w:marBottom w:val="0"/>
      <w:divBdr>
        <w:top w:val="none" w:sz="0" w:space="0" w:color="auto"/>
        <w:left w:val="none" w:sz="0" w:space="0" w:color="auto"/>
        <w:bottom w:val="none" w:sz="0" w:space="0" w:color="auto"/>
        <w:right w:val="none" w:sz="0" w:space="0" w:color="auto"/>
      </w:divBdr>
    </w:div>
    <w:div w:id="944003349">
      <w:bodyDiv w:val="1"/>
      <w:marLeft w:val="0"/>
      <w:marRight w:val="0"/>
      <w:marTop w:val="0"/>
      <w:marBottom w:val="0"/>
      <w:divBdr>
        <w:top w:val="none" w:sz="0" w:space="0" w:color="auto"/>
        <w:left w:val="none" w:sz="0" w:space="0" w:color="auto"/>
        <w:bottom w:val="none" w:sz="0" w:space="0" w:color="auto"/>
        <w:right w:val="none" w:sz="0" w:space="0" w:color="auto"/>
      </w:divBdr>
    </w:div>
    <w:div w:id="948582636">
      <w:bodyDiv w:val="1"/>
      <w:marLeft w:val="0"/>
      <w:marRight w:val="0"/>
      <w:marTop w:val="0"/>
      <w:marBottom w:val="0"/>
      <w:divBdr>
        <w:top w:val="none" w:sz="0" w:space="0" w:color="auto"/>
        <w:left w:val="none" w:sz="0" w:space="0" w:color="auto"/>
        <w:bottom w:val="none" w:sz="0" w:space="0" w:color="auto"/>
        <w:right w:val="none" w:sz="0" w:space="0" w:color="auto"/>
      </w:divBdr>
    </w:div>
    <w:div w:id="952126203">
      <w:bodyDiv w:val="1"/>
      <w:marLeft w:val="0"/>
      <w:marRight w:val="0"/>
      <w:marTop w:val="0"/>
      <w:marBottom w:val="0"/>
      <w:divBdr>
        <w:top w:val="none" w:sz="0" w:space="0" w:color="auto"/>
        <w:left w:val="none" w:sz="0" w:space="0" w:color="auto"/>
        <w:bottom w:val="none" w:sz="0" w:space="0" w:color="auto"/>
        <w:right w:val="none" w:sz="0" w:space="0" w:color="auto"/>
      </w:divBdr>
    </w:div>
    <w:div w:id="961569619">
      <w:bodyDiv w:val="1"/>
      <w:marLeft w:val="0"/>
      <w:marRight w:val="0"/>
      <w:marTop w:val="0"/>
      <w:marBottom w:val="0"/>
      <w:divBdr>
        <w:top w:val="none" w:sz="0" w:space="0" w:color="auto"/>
        <w:left w:val="none" w:sz="0" w:space="0" w:color="auto"/>
        <w:bottom w:val="none" w:sz="0" w:space="0" w:color="auto"/>
        <w:right w:val="none" w:sz="0" w:space="0" w:color="auto"/>
      </w:divBdr>
    </w:div>
    <w:div w:id="1011488567">
      <w:bodyDiv w:val="1"/>
      <w:marLeft w:val="0"/>
      <w:marRight w:val="0"/>
      <w:marTop w:val="0"/>
      <w:marBottom w:val="0"/>
      <w:divBdr>
        <w:top w:val="none" w:sz="0" w:space="0" w:color="auto"/>
        <w:left w:val="none" w:sz="0" w:space="0" w:color="auto"/>
        <w:bottom w:val="none" w:sz="0" w:space="0" w:color="auto"/>
        <w:right w:val="none" w:sz="0" w:space="0" w:color="auto"/>
      </w:divBdr>
    </w:div>
    <w:div w:id="1012073013">
      <w:bodyDiv w:val="1"/>
      <w:marLeft w:val="0"/>
      <w:marRight w:val="0"/>
      <w:marTop w:val="0"/>
      <w:marBottom w:val="0"/>
      <w:divBdr>
        <w:top w:val="none" w:sz="0" w:space="0" w:color="auto"/>
        <w:left w:val="none" w:sz="0" w:space="0" w:color="auto"/>
        <w:bottom w:val="none" w:sz="0" w:space="0" w:color="auto"/>
        <w:right w:val="none" w:sz="0" w:space="0" w:color="auto"/>
      </w:divBdr>
    </w:div>
    <w:div w:id="1017192988">
      <w:bodyDiv w:val="1"/>
      <w:marLeft w:val="0"/>
      <w:marRight w:val="0"/>
      <w:marTop w:val="0"/>
      <w:marBottom w:val="0"/>
      <w:divBdr>
        <w:top w:val="none" w:sz="0" w:space="0" w:color="auto"/>
        <w:left w:val="none" w:sz="0" w:space="0" w:color="auto"/>
        <w:bottom w:val="none" w:sz="0" w:space="0" w:color="auto"/>
        <w:right w:val="none" w:sz="0" w:space="0" w:color="auto"/>
      </w:divBdr>
    </w:div>
    <w:div w:id="1039932383">
      <w:bodyDiv w:val="1"/>
      <w:marLeft w:val="0"/>
      <w:marRight w:val="0"/>
      <w:marTop w:val="0"/>
      <w:marBottom w:val="0"/>
      <w:divBdr>
        <w:top w:val="none" w:sz="0" w:space="0" w:color="auto"/>
        <w:left w:val="none" w:sz="0" w:space="0" w:color="auto"/>
        <w:bottom w:val="none" w:sz="0" w:space="0" w:color="auto"/>
        <w:right w:val="none" w:sz="0" w:space="0" w:color="auto"/>
      </w:divBdr>
    </w:div>
    <w:div w:id="1062479871">
      <w:bodyDiv w:val="1"/>
      <w:marLeft w:val="0"/>
      <w:marRight w:val="0"/>
      <w:marTop w:val="0"/>
      <w:marBottom w:val="0"/>
      <w:divBdr>
        <w:top w:val="none" w:sz="0" w:space="0" w:color="auto"/>
        <w:left w:val="none" w:sz="0" w:space="0" w:color="auto"/>
        <w:bottom w:val="none" w:sz="0" w:space="0" w:color="auto"/>
        <w:right w:val="none" w:sz="0" w:space="0" w:color="auto"/>
      </w:divBdr>
    </w:div>
    <w:div w:id="1065184667">
      <w:bodyDiv w:val="1"/>
      <w:marLeft w:val="0"/>
      <w:marRight w:val="0"/>
      <w:marTop w:val="0"/>
      <w:marBottom w:val="0"/>
      <w:divBdr>
        <w:top w:val="none" w:sz="0" w:space="0" w:color="auto"/>
        <w:left w:val="none" w:sz="0" w:space="0" w:color="auto"/>
        <w:bottom w:val="none" w:sz="0" w:space="0" w:color="auto"/>
        <w:right w:val="none" w:sz="0" w:space="0" w:color="auto"/>
      </w:divBdr>
    </w:div>
    <w:div w:id="1082720939">
      <w:bodyDiv w:val="1"/>
      <w:marLeft w:val="0"/>
      <w:marRight w:val="0"/>
      <w:marTop w:val="0"/>
      <w:marBottom w:val="0"/>
      <w:divBdr>
        <w:top w:val="none" w:sz="0" w:space="0" w:color="auto"/>
        <w:left w:val="none" w:sz="0" w:space="0" w:color="auto"/>
        <w:bottom w:val="none" w:sz="0" w:space="0" w:color="auto"/>
        <w:right w:val="none" w:sz="0" w:space="0" w:color="auto"/>
      </w:divBdr>
    </w:div>
    <w:div w:id="1119567989">
      <w:bodyDiv w:val="1"/>
      <w:marLeft w:val="0"/>
      <w:marRight w:val="0"/>
      <w:marTop w:val="0"/>
      <w:marBottom w:val="0"/>
      <w:divBdr>
        <w:top w:val="none" w:sz="0" w:space="0" w:color="auto"/>
        <w:left w:val="none" w:sz="0" w:space="0" w:color="auto"/>
        <w:bottom w:val="none" w:sz="0" w:space="0" w:color="auto"/>
        <w:right w:val="none" w:sz="0" w:space="0" w:color="auto"/>
      </w:divBdr>
    </w:div>
    <w:div w:id="1122458649">
      <w:bodyDiv w:val="1"/>
      <w:marLeft w:val="0"/>
      <w:marRight w:val="0"/>
      <w:marTop w:val="0"/>
      <w:marBottom w:val="0"/>
      <w:divBdr>
        <w:top w:val="none" w:sz="0" w:space="0" w:color="auto"/>
        <w:left w:val="none" w:sz="0" w:space="0" w:color="auto"/>
        <w:bottom w:val="none" w:sz="0" w:space="0" w:color="auto"/>
        <w:right w:val="none" w:sz="0" w:space="0" w:color="auto"/>
      </w:divBdr>
    </w:div>
    <w:div w:id="1136098946">
      <w:bodyDiv w:val="1"/>
      <w:marLeft w:val="0"/>
      <w:marRight w:val="0"/>
      <w:marTop w:val="0"/>
      <w:marBottom w:val="0"/>
      <w:divBdr>
        <w:top w:val="none" w:sz="0" w:space="0" w:color="auto"/>
        <w:left w:val="none" w:sz="0" w:space="0" w:color="auto"/>
        <w:bottom w:val="none" w:sz="0" w:space="0" w:color="auto"/>
        <w:right w:val="none" w:sz="0" w:space="0" w:color="auto"/>
      </w:divBdr>
    </w:div>
    <w:div w:id="1158422546">
      <w:bodyDiv w:val="1"/>
      <w:marLeft w:val="0"/>
      <w:marRight w:val="0"/>
      <w:marTop w:val="0"/>
      <w:marBottom w:val="0"/>
      <w:divBdr>
        <w:top w:val="none" w:sz="0" w:space="0" w:color="auto"/>
        <w:left w:val="none" w:sz="0" w:space="0" w:color="auto"/>
        <w:bottom w:val="none" w:sz="0" w:space="0" w:color="auto"/>
        <w:right w:val="none" w:sz="0" w:space="0" w:color="auto"/>
      </w:divBdr>
    </w:div>
    <w:div w:id="1188710820">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
    <w:div w:id="1213032058">
      <w:bodyDiv w:val="1"/>
      <w:marLeft w:val="0"/>
      <w:marRight w:val="0"/>
      <w:marTop w:val="0"/>
      <w:marBottom w:val="0"/>
      <w:divBdr>
        <w:top w:val="none" w:sz="0" w:space="0" w:color="auto"/>
        <w:left w:val="none" w:sz="0" w:space="0" w:color="auto"/>
        <w:bottom w:val="none" w:sz="0" w:space="0" w:color="auto"/>
        <w:right w:val="none" w:sz="0" w:space="0" w:color="auto"/>
      </w:divBdr>
    </w:div>
    <w:div w:id="1224216410">
      <w:bodyDiv w:val="1"/>
      <w:marLeft w:val="0"/>
      <w:marRight w:val="0"/>
      <w:marTop w:val="0"/>
      <w:marBottom w:val="0"/>
      <w:divBdr>
        <w:top w:val="none" w:sz="0" w:space="0" w:color="auto"/>
        <w:left w:val="none" w:sz="0" w:space="0" w:color="auto"/>
        <w:bottom w:val="none" w:sz="0" w:space="0" w:color="auto"/>
        <w:right w:val="none" w:sz="0" w:space="0" w:color="auto"/>
      </w:divBdr>
    </w:div>
    <w:div w:id="1235046649">
      <w:bodyDiv w:val="1"/>
      <w:marLeft w:val="0"/>
      <w:marRight w:val="0"/>
      <w:marTop w:val="0"/>
      <w:marBottom w:val="0"/>
      <w:divBdr>
        <w:top w:val="none" w:sz="0" w:space="0" w:color="auto"/>
        <w:left w:val="none" w:sz="0" w:space="0" w:color="auto"/>
        <w:bottom w:val="none" w:sz="0" w:space="0" w:color="auto"/>
        <w:right w:val="none" w:sz="0" w:space="0" w:color="auto"/>
      </w:divBdr>
    </w:div>
    <w:div w:id="1255670233">
      <w:bodyDiv w:val="1"/>
      <w:marLeft w:val="0"/>
      <w:marRight w:val="0"/>
      <w:marTop w:val="0"/>
      <w:marBottom w:val="0"/>
      <w:divBdr>
        <w:top w:val="none" w:sz="0" w:space="0" w:color="auto"/>
        <w:left w:val="none" w:sz="0" w:space="0" w:color="auto"/>
        <w:bottom w:val="none" w:sz="0" w:space="0" w:color="auto"/>
        <w:right w:val="none" w:sz="0" w:space="0" w:color="auto"/>
      </w:divBdr>
    </w:div>
    <w:div w:id="1292708482">
      <w:bodyDiv w:val="1"/>
      <w:marLeft w:val="0"/>
      <w:marRight w:val="0"/>
      <w:marTop w:val="0"/>
      <w:marBottom w:val="0"/>
      <w:divBdr>
        <w:top w:val="none" w:sz="0" w:space="0" w:color="auto"/>
        <w:left w:val="none" w:sz="0" w:space="0" w:color="auto"/>
        <w:bottom w:val="none" w:sz="0" w:space="0" w:color="auto"/>
        <w:right w:val="none" w:sz="0" w:space="0" w:color="auto"/>
      </w:divBdr>
    </w:div>
    <w:div w:id="1384406876">
      <w:bodyDiv w:val="1"/>
      <w:marLeft w:val="0"/>
      <w:marRight w:val="0"/>
      <w:marTop w:val="0"/>
      <w:marBottom w:val="0"/>
      <w:divBdr>
        <w:top w:val="none" w:sz="0" w:space="0" w:color="auto"/>
        <w:left w:val="none" w:sz="0" w:space="0" w:color="auto"/>
        <w:bottom w:val="none" w:sz="0" w:space="0" w:color="auto"/>
        <w:right w:val="none" w:sz="0" w:space="0" w:color="auto"/>
      </w:divBdr>
    </w:div>
    <w:div w:id="1406150125">
      <w:bodyDiv w:val="1"/>
      <w:marLeft w:val="0"/>
      <w:marRight w:val="0"/>
      <w:marTop w:val="0"/>
      <w:marBottom w:val="0"/>
      <w:divBdr>
        <w:top w:val="none" w:sz="0" w:space="0" w:color="auto"/>
        <w:left w:val="none" w:sz="0" w:space="0" w:color="auto"/>
        <w:bottom w:val="none" w:sz="0" w:space="0" w:color="auto"/>
        <w:right w:val="none" w:sz="0" w:space="0" w:color="auto"/>
      </w:divBdr>
    </w:div>
    <w:div w:id="1410227883">
      <w:bodyDiv w:val="1"/>
      <w:marLeft w:val="0"/>
      <w:marRight w:val="0"/>
      <w:marTop w:val="0"/>
      <w:marBottom w:val="0"/>
      <w:divBdr>
        <w:top w:val="none" w:sz="0" w:space="0" w:color="auto"/>
        <w:left w:val="none" w:sz="0" w:space="0" w:color="auto"/>
        <w:bottom w:val="none" w:sz="0" w:space="0" w:color="auto"/>
        <w:right w:val="none" w:sz="0" w:space="0" w:color="auto"/>
      </w:divBdr>
    </w:div>
    <w:div w:id="1437360304">
      <w:bodyDiv w:val="1"/>
      <w:marLeft w:val="0"/>
      <w:marRight w:val="0"/>
      <w:marTop w:val="0"/>
      <w:marBottom w:val="0"/>
      <w:divBdr>
        <w:top w:val="none" w:sz="0" w:space="0" w:color="auto"/>
        <w:left w:val="none" w:sz="0" w:space="0" w:color="auto"/>
        <w:bottom w:val="none" w:sz="0" w:space="0" w:color="auto"/>
        <w:right w:val="none" w:sz="0" w:space="0" w:color="auto"/>
      </w:divBdr>
    </w:div>
    <w:div w:id="1463183581">
      <w:bodyDiv w:val="1"/>
      <w:marLeft w:val="0"/>
      <w:marRight w:val="0"/>
      <w:marTop w:val="0"/>
      <w:marBottom w:val="0"/>
      <w:divBdr>
        <w:top w:val="none" w:sz="0" w:space="0" w:color="auto"/>
        <w:left w:val="none" w:sz="0" w:space="0" w:color="auto"/>
        <w:bottom w:val="none" w:sz="0" w:space="0" w:color="auto"/>
        <w:right w:val="none" w:sz="0" w:space="0" w:color="auto"/>
      </w:divBdr>
    </w:div>
    <w:div w:id="1487892071">
      <w:bodyDiv w:val="1"/>
      <w:marLeft w:val="0"/>
      <w:marRight w:val="0"/>
      <w:marTop w:val="0"/>
      <w:marBottom w:val="0"/>
      <w:divBdr>
        <w:top w:val="none" w:sz="0" w:space="0" w:color="auto"/>
        <w:left w:val="none" w:sz="0" w:space="0" w:color="auto"/>
        <w:bottom w:val="none" w:sz="0" w:space="0" w:color="auto"/>
        <w:right w:val="none" w:sz="0" w:space="0" w:color="auto"/>
      </w:divBdr>
    </w:div>
    <w:div w:id="1491940115">
      <w:bodyDiv w:val="1"/>
      <w:marLeft w:val="0"/>
      <w:marRight w:val="0"/>
      <w:marTop w:val="0"/>
      <w:marBottom w:val="0"/>
      <w:divBdr>
        <w:top w:val="none" w:sz="0" w:space="0" w:color="auto"/>
        <w:left w:val="none" w:sz="0" w:space="0" w:color="auto"/>
        <w:bottom w:val="none" w:sz="0" w:space="0" w:color="auto"/>
        <w:right w:val="none" w:sz="0" w:space="0" w:color="auto"/>
      </w:divBdr>
    </w:div>
    <w:div w:id="1513691412">
      <w:bodyDiv w:val="1"/>
      <w:marLeft w:val="0"/>
      <w:marRight w:val="0"/>
      <w:marTop w:val="0"/>
      <w:marBottom w:val="0"/>
      <w:divBdr>
        <w:top w:val="none" w:sz="0" w:space="0" w:color="auto"/>
        <w:left w:val="none" w:sz="0" w:space="0" w:color="auto"/>
        <w:bottom w:val="none" w:sz="0" w:space="0" w:color="auto"/>
        <w:right w:val="none" w:sz="0" w:space="0" w:color="auto"/>
      </w:divBdr>
    </w:div>
    <w:div w:id="1549610263">
      <w:bodyDiv w:val="1"/>
      <w:marLeft w:val="0"/>
      <w:marRight w:val="0"/>
      <w:marTop w:val="0"/>
      <w:marBottom w:val="0"/>
      <w:divBdr>
        <w:top w:val="none" w:sz="0" w:space="0" w:color="auto"/>
        <w:left w:val="none" w:sz="0" w:space="0" w:color="auto"/>
        <w:bottom w:val="none" w:sz="0" w:space="0" w:color="auto"/>
        <w:right w:val="none" w:sz="0" w:space="0" w:color="auto"/>
      </w:divBdr>
    </w:div>
    <w:div w:id="1594390467">
      <w:bodyDiv w:val="1"/>
      <w:marLeft w:val="0"/>
      <w:marRight w:val="0"/>
      <w:marTop w:val="0"/>
      <w:marBottom w:val="0"/>
      <w:divBdr>
        <w:top w:val="none" w:sz="0" w:space="0" w:color="auto"/>
        <w:left w:val="none" w:sz="0" w:space="0" w:color="auto"/>
        <w:bottom w:val="none" w:sz="0" w:space="0" w:color="auto"/>
        <w:right w:val="none" w:sz="0" w:space="0" w:color="auto"/>
      </w:divBdr>
    </w:div>
    <w:div w:id="1654719634">
      <w:bodyDiv w:val="1"/>
      <w:marLeft w:val="0"/>
      <w:marRight w:val="0"/>
      <w:marTop w:val="0"/>
      <w:marBottom w:val="0"/>
      <w:divBdr>
        <w:top w:val="none" w:sz="0" w:space="0" w:color="auto"/>
        <w:left w:val="none" w:sz="0" w:space="0" w:color="auto"/>
        <w:bottom w:val="none" w:sz="0" w:space="0" w:color="auto"/>
        <w:right w:val="none" w:sz="0" w:space="0" w:color="auto"/>
      </w:divBdr>
    </w:div>
    <w:div w:id="1662269192">
      <w:bodyDiv w:val="1"/>
      <w:marLeft w:val="0"/>
      <w:marRight w:val="0"/>
      <w:marTop w:val="0"/>
      <w:marBottom w:val="0"/>
      <w:divBdr>
        <w:top w:val="none" w:sz="0" w:space="0" w:color="auto"/>
        <w:left w:val="none" w:sz="0" w:space="0" w:color="auto"/>
        <w:bottom w:val="none" w:sz="0" w:space="0" w:color="auto"/>
        <w:right w:val="none" w:sz="0" w:space="0" w:color="auto"/>
      </w:divBdr>
    </w:div>
    <w:div w:id="1678534669">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 w:id="1722627784">
      <w:bodyDiv w:val="1"/>
      <w:marLeft w:val="0"/>
      <w:marRight w:val="0"/>
      <w:marTop w:val="0"/>
      <w:marBottom w:val="0"/>
      <w:divBdr>
        <w:top w:val="none" w:sz="0" w:space="0" w:color="auto"/>
        <w:left w:val="none" w:sz="0" w:space="0" w:color="auto"/>
        <w:bottom w:val="none" w:sz="0" w:space="0" w:color="auto"/>
        <w:right w:val="none" w:sz="0" w:space="0" w:color="auto"/>
      </w:divBdr>
    </w:div>
    <w:div w:id="1844011926">
      <w:bodyDiv w:val="1"/>
      <w:marLeft w:val="0"/>
      <w:marRight w:val="0"/>
      <w:marTop w:val="0"/>
      <w:marBottom w:val="0"/>
      <w:divBdr>
        <w:top w:val="none" w:sz="0" w:space="0" w:color="auto"/>
        <w:left w:val="none" w:sz="0" w:space="0" w:color="auto"/>
        <w:bottom w:val="none" w:sz="0" w:space="0" w:color="auto"/>
        <w:right w:val="none" w:sz="0" w:space="0" w:color="auto"/>
      </w:divBdr>
    </w:div>
    <w:div w:id="1865169104">
      <w:bodyDiv w:val="1"/>
      <w:marLeft w:val="0"/>
      <w:marRight w:val="0"/>
      <w:marTop w:val="0"/>
      <w:marBottom w:val="0"/>
      <w:divBdr>
        <w:top w:val="none" w:sz="0" w:space="0" w:color="auto"/>
        <w:left w:val="none" w:sz="0" w:space="0" w:color="auto"/>
        <w:bottom w:val="none" w:sz="0" w:space="0" w:color="auto"/>
        <w:right w:val="none" w:sz="0" w:space="0" w:color="auto"/>
      </w:divBdr>
    </w:div>
    <w:div w:id="1878354649">
      <w:bodyDiv w:val="1"/>
      <w:marLeft w:val="0"/>
      <w:marRight w:val="0"/>
      <w:marTop w:val="0"/>
      <w:marBottom w:val="0"/>
      <w:divBdr>
        <w:top w:val="none" w:sz="0" w:space="0" w:color="auto"/>
        <w:left w:val="none" w:sz="0" w:space="0" w:color="auto"/>
        <w:bottom w:val="none" w:sz="0" w:space="0" w:color="auto"/>
        <w:right w:val="none" w:sz="0" w:space="0" w:color="auto"/>
      </w:divBdr>
    </w:div>
    <w:div w:id="1879271727">
      <w:bodyDiv w:val="1"/>
      <w:marLeft w:val="0"/>
      <w:marRight w:val="0"/>
      <w:marTop w:val="0"/>
      <w:marBottom w:val="0"/>
      <w:divBdr>
        <w:top w:val="none" w:sz="0" w:space="0" w:color="auto"/>
        <w:left w:val="none" w:sz="0" w:space="0" w:color="auto"/>
        <w:bottom w:val="none" w:sz="0" w:space="0" w:color="auto"/>
        <w:right w:val="none" w:sz="0" w:space="0" w:color="auto"/>
      </w:divBdr>
    </w:div>
    <w:div w:id="1880823282">
      <w:bodyDiv w:val="1"/>
      <w:marLeft w:val="0"/>
      <w:marRight w:val="0"/>
      <w:marTop w:val="0"/>
      <w:marBottom w:val="0"/>
      <w:divBdr>
        <w:top w:val="none" w:sz="0" w:space="0" w:color="auto"/>
        <w:left w:val="none" w:sz="0" w:space="0" w:color="auto"/>
        <w:bottom w:val="none" w:sz="0" w:space="0" w:color="auto"/>
        <w:right w:val="none" w:sz="0" w:space="0" w:color="auto"/>
      </w:divBdr>
    </w:div>
    <w:div w:id="1957905450">
      <w:bodyDiv w:val="1"/>
      <w:marLeft w:val="0"/>
      <w:marRight w:val="0"/>
      <w:marTop w:val="0"/>
      <w:marBottom w:val="0"/>
      <w:divBdr>
        <w:top w:val="none" w:sz="0" w:space="0" w:color="auto"/>
        <w:left w:val="none" w:sz="0" w:space="0" w:color="auto"/>
        <w:bottom w:val="none" w:sz="0" w:space="0" w:color="auto"/>
        <w:right w:val="none" w:sz="0" w:space="0" w:color="auto"/>
      </w:divBdr>
    </w:div>
    <w:div w:id="1965385318">
      <w:bodyDiv w:val="1"/>
      <w:marLeft w:val="0"/>
      <w:marRight w:val="0"/>
      <w:marTop w:val="0"/>
      <w:marBottom w:val="0"/>
      <w:divBdr>
        <w:top w:val="none" w:sz="0" w:space="0" w:color="auto"/>
        <w:left w:val="none" w:sz="0" w:space="0" w:color="auto"/>
        <w:bottom w:val="none" w:sz="0" w:space="0" w:color="auto"/>
        <w:right w:val="none" w:sz="0" w:space="0" w:color="auto"/>
      </w:divBdr>
    </w:div>
    <w:div w:id="1984891023">
      <w:bodyDiv w:val="1"/>
      <w:marLeft w:val="0"/>
      <w:marRight w:val="0"/>
      <w:marTop w:val="0"/>
      <w:marBottom w:val="0"/>
      <w:divBdr>
        <w:top w:val="none" w:sz="0" w:space="0" w:color="auto"/>
        <w:left w:val="none" w:sz="0" w:space="0" w:color="auto"/>
        <w:bottom w:val="none" w:sz="0" w:space="0" w:color="auto"/>
        <w:right w:val="none" w:sz="0" w:space="0" w:color="auto"/>
      </w:divBdr>
    </w:div>
    <w:div w:id="1989481639">
      <w:bodyDiv w:val="1"/>
      <w:marLeft w:val="0"/>
      <w:marRight w:val="0"/>
      <w:marTop w:val="0"/>
      <w:marBottom w:val="0"/>
      <w:divBdr>
        <w:top w:val="none" w:sz="0" w:space="0" w:color="auto"/>
        <w:left w:val="none" w:sz="0" w:space="0" w:color="auto"/>
        <w:bottom w:val="none" w:sz="0" w:space="0" w:color="auto"/>
        <w:right w:val="none" w:sz="0" w:space="0" w:color="auto"/>
      </w:divBdr>
    </w:div>
    <w:div w:id="2003704703">
      <w:bodyDiv w:val="1"/>
      <w:marLeft w:val="0"/>
      <w:marRight w:val="0"/>
      <w:marTop w:val="0"/>
      <w:marBottom w:val="0"/>
      <w:divBdr>
        <w:top w:val="none" w:sz="0" w:space="0" w:color="auto"/>
        <w:left w:val="none" w:sz="0" w:space="0" w:color="auto"/>
        <w:bottom w:val="none" w:sz="0" w:space="0" w:color="auto"/>
        <w:right w:val="none" w:sz="0" w:space="0" w:color="auto"/>
      </w:divBdr>
    </w:div>
    <w:div w:id="2027629740">
      <w:bodyDiv w:val="1"/>
      <w:marLeft w:val="0"/>
      <w:marRight w:val="0"/>
      <w:marTop w:val="0"/>
      <w:marBottom w:val="0"/>
      <w:divBdr>
        <w:top w:val="none" w:sz="0" w:space="0" w:color="auto"/>
        <w:left w:val="none" w:sz="0" w:space="0" w:color="auto"/>
        <w:bottom w:val="none" w:sz="0" w:space="0" w:color="auto"/>
        <w:right w:val="none" w:sz="0" w:space="0" w:color="auto"/>
      </w:divBdr>
      <w:divsChild>
        <w:div w:id="1965915658">
          <w:marLeft w:val="0"/>
          <w:marRight w:val="0"/>
          <w:marTop w:val="0"/>
          <w:marBottom w:val="0"/>
          <w:divBdr>
            <w:top w:val="none" w:sz="0" w:space="0" w:color="auto"/>
            <w:left w:val="none" w:sz="0" w:space="0" w:color="auto"/>
            <w:bottom w:val="none" w:sz="0" w:space="0" w:color="auto"/>
            <w:right w:val="none" w:sz="0" w:space="0" w:color="auto"/>
          </w:divBdr>
          <w:divsChild>
            <w:div w:id="1533764514">
              <w:marLeft w:val="0"/>
              <w:marRight w:val="0"/>
              <w:marTop w:val="0"/>
              <w:marBottom w:val="0"/>
              <w:divBdr>
                <w:top w:val="none" w:sz="0" w:space="0" w:color="auto"/>
                <w:left w:val="none" w:sz="0" w:space="0" w:color="auto"/>
                <w:bottom w:val="none" w:sz="0" w:space="0" w:color="auto"/>
                <w:right w:val="none" w:sz="0" w:space="0" w:color="auto"/>
              </w:divBdr>
              <w:divsChild>
                <w:div w:id="745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4239">
      <w:bodyDiv w:val="1"/>
      <w:marLeft w:val="0"/>
      <w:marRight w:val="0"/>
      <w:marTop w:val="0"/>
      <w:marBottom w:val="0"/>
      <w:divBdr>
        <w:top w:val="none" w:sz="0" w:space="0" w:color="auto"/>
        <w:left w:val="none" w:sz="0" w:space="0" w:color="auto"/>
        <w:bottom w:val="none" w:sz="0" w:space="0" w:color="auto"/>
        <w:right w:val="none" w:sz="0" w:space="0" w:color="auto"/>
      </w:divBdr>
    </w:div>
    <w:div w:id="2036925100">
      <w:bodyDiv w:val="1"/>
      <w:marLeft w:val="0"/>
      <w:marRight w:val="0"/>
      <w:marTop w:val="0"/>
      <w:marBottom w:val="0"/>
      <w:divBdr>
        <w:top w:val="none" w:sz="0" w:space="0" w:color="auto"/>
        <w:left w:val="none" w:sz="0" w:space="0" w:color="auto"/>
        <w:bottom w:val="none" w:sz="0" w:space="0" w:color="auto"/>
        <w:right w:val="none" w:sz="0" w:space="0" w:color="auto"/>
      </w:divBdr>
    </w:div>
    <w:div w:id="2045252886">
      <w:bodyDiv w:val="1"/>
      <w:marLeft w:val="0"/>
      <w:marRight w:val="0"/>
      <w:marTop w:val="0"/>
      <w:marBottom w:val="0"/>
      <w:divBdr>
        <w:top w:val="none" w:sz="0" w:space="0" w:color="auto"/>
        <w:left w:val="none" w:sz="0" w:space="0" w:color="auto"/>
        <w:bottom w:val="none" w:sz="0" w:space="0" w:color="auto"/>
        <w:right w:val="none" w:sz="0" w:space="0" w:color="auto"/>
      </w:divBdr>
    </w:div>
    <w:div w:id="2051219338">
      <w:bodyDiv w:val="1"/>
      <w:marLeft w:val="0"/>
      <w:marRight w:val="0"/>
      <w:marTop w:val="0"/>
      <w:marBottom w:val="0"/>
      <w:divBdr>
        <w:top w:val="none" w:sz="0" w:space="0" w:color="auto"/>
        <w:left w:val="none" w:sz="0" w:space="0" w:color="auto"/>
        <w:bottom w:val="none" w:sz="0" w:space="0" w:color="auto"/>
        <w:right w:val="none" w:sz="0" w:space="0" w:color="auto"/>
      </w:divBdr>
    </w:div>
    <w:div w:id="2085880154">
      <w:bodyDiv w:val="1"/>
      <w:marLeft w:val="0"/>
      <w:marRight w:val="0"/>
      <w:marTop w:val="0"/>
      <w:marBottom w:val="0"/>
      <w:divBdr>
        <w:top w:val="none" w:sz="0" w:space="0" w:color="auto"/>
        <w:left w:val="none" w:sz="0" w:space="0" w:color="auto"/>
        <w:bottom w:val="none" w:sz="0" w:space="0" w:color="auto"/>
        <w:right w:val="none" w:sz="0" w:space="0" w:color="auto"/>
      </w:divBdr>
    </w:div>
    <w:div w:id="2091852500">
      <w:bodyDiv w:val="1"/>
      <w:marLeft w:val="0"/>
      <w:marRight w:val="0"/>
      <w:marTop w:val="0"/>
      <w:marBottom w:val="0"/>
      <w:divBdr>
        <w:top w:val="none" w:sz="0" w:space="0" w:color="auto"/>
        <w:left w:val="none" w:sz="0" w:space="0" w:color="auto"/>
        <w:bottom w:val="none" w:sz="0" w:space="0" w:color="auto"/>
        <w:right w:val="none" w:sz="0" w:space="0" w:color="auto"/>
      </w:divBdr>
    </w:div>
    <w:div w:id="2092113917">
      <w:bodyDiv w:val="1"/>
      <w:marLeft w:val="0"/>
      <w:marRight w:val="0"/>
      <w:marTop w:val="0"/>
      <w:marBottom w:val="0"/>
      <w:divBdr>
        <w:top w:val="none" w:sz="0" w:space="0" w:color="auto"/>
        <w:left w:val="none" w:sz="0" w:space="0" w:color="auto"/>
        <w:bottom w:val="none" w:sz="0" w:space="0" w:color="auto"/>
        <w:right w:val="none" w:sz="0" w:space="0" w:color="auto"/>
      </w:divBdr>
    </w:div>
    <w:div w:id="2100708878">
      <w:bodyDiv w:val="1"/>
      <w:marLeft w:val="0"/>
      <w:marRight w:val="0"/>
      <w:marTop w:val="0"/>
      <w:marBottom w:val="0"/>
      <w:divBdr>
        <w:top w:val="none" w:sz="0" w:space="0" w:color="auto"/>
        <w:left w:val="none" w:sz="0" w:space="0" w:color="auto"/>
        <w:bottom w:val="none" w:sz="0" w:space="0" w:color="auto"/>
        <w:right w:val="none" w:sz="0" w:space="0" w:color="auto"/>
      </w:divBdr>
    </w:div>
    <w:div w:id="2101018962">
      <w:bodyDiv w:val="1"/>
      <w:marLeft w:val="0"/>
      <w:marRight w:val="0"/>
      <w:marTop w:val="0"/>
      <w:marBottom w:val="0"/>
      <w:divBdr>
        <w:top w:val="none" w:sz="0" w:space="0" w:color="auto"/>
        <w:left w:val="none" w:sz="0" w:space="0" w:color="auto"/>
        <w:bottom w:val="none" w:sz="0" w:space="0" w:color="auto"/>
        <w:right w:val="none" w:sz="0" w:space="0" w:color="auto"/>
      </w:divBdr>
    </w:div>
    <w:div w:id="21290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m.coe.int/fifth-evaluation-round-preventing-corruption-and-promoting-integrity-i/1680a3eeef"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m.coe.int/fifth-evaluation-round-preventing-corruption-and-promoting-integrity-i/168092005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ntykorupcja.gov.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zkolenia-antykorupcyjne.edu.p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e.int/grec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eHudocDocument>
  <Author/>
  <DocumentTitle/>
  <ShortTitle/>
  <Language/>
  <AdoptionDate/>
  <PublicationDate/>
  <State/>
  <Round/>
  <DocumentType/>
  <Identifier>---</Identifier>
</CoeHudocDocument>
</file>

<file path=customXml/itemProps1.xml><?xml version="1.0" encoding="utf-8"?>
<ds:datastoreItem xmlns:ds="http://schemas.openxmlformats.org/officeDocument/2006/customXml" ds:itemID="{5908178C-3248-40D1-A5A3-EA0B157EC260}">
  <ds:schemaRefs>
    <ds:schemaRef ds:uri="http://schemas.openxmlformats.org/officeDocument/2006/bibliography"/>
  </ds:schemaRefs>
</ds:datastoreItem>
</file>

<file path=customXml/itemProps2.xml><?xml version="1.0" encoding="utf-8"?>
<ds:datastoreItem xmlns:ds="http://schemas.openxmlformats.org/officeDocument/2006/customXml" ds:itemID="{71B4DC88-B18E-4114-BA4C-E59B671348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7107</Words>
  <Characters>42642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2023-07-17T13:22:00Z</dcterms:created>
  <dcterms:modified xsi:type="dcterms:W3CDTF">2023-07-18T08:12:00Z</dcterms:modified>
</cp:coreProperties>
</file>