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BC" w:rsidRDefault="001C6CBC" w:rsidP="001C6CBC">
      <w:pPr>
        <w:spacing w:after="0"/>
        <w:rPr>
          <w:szCs w:val="20"/>
        </w:rPr>
      </w:pPr>
      <w:r>
        <w:rPr>
          <w:szCs w:val="20"/>
        </w:rPr>
        <w:t xml:space="preserve">Wersja obowiązująca na dzień 23 stycznia 2018 r. </w:t>
      </w:r>
    </w:p>
    <w:p w:rsidR="00186F7A" w:rsidRDefault="00186F7A">
      <w:pPr>
        <w:spacing w:after="0"/>
      </w:pPr>
    </w:p>
    <w:p w:rsidR="00186F7A" w:rsidRDefault="001C6CBC">
      <w:pPr>
        <w:spacing w:before="146" w:after="0"/>
        <w:jc w:val="center"/>
      </w:pPr>
      <w:r>
        <w:rPr>
          <w:b/>
          <w:color w:val="000000"/>
        </w:rPr>
        <w:t>ROZPORZĄDZENIE WYKONAWCZE KOMISJI (UE) NR 1191/2014</w:t>
      </w:r>
    </w:p>
    <w:p w:rsidR="00186F7A" w:rsidRDefault="001C6CBC">
      <w:pPr>
        <w:spacing w:before="80" w:after="0"/>
        <w:jc w:val="center"/>
      </w:pP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dnia 30 października 2014 r.</w:t>
      </w:r>
    </w:p>
    <w:p w:rsidR="00186F7A" w:rsidRDefault="001C6CBC">
      <w:pPr>
        <w:spacing w:before="80" w:after="0"/>
        <w:jc w:val="center"/>
      </w:pPr>
      <w:bookmarkStart w:id="0" w:name="_GoBack"/>
      <w:proofErr w:type="gramStart"/>
      <w:r>
        <w:rPr>
          <w:b/>
          <w:color w:val="000000"/>
        </w:rPr>
        <w:t>określające</w:t>
      </w:r>
      <w:proofErr w:type="gramEnd"/>
      <w:r>
        <w:rPr>
          <w:b/>
          <w:color w:val="000000"/>
        </w:rPr>
        <w:t xml:space="preserve"> format i sposób składania sprawozdania, o którym mowa w art. 19 rozporządzenia</w:t>
      </w:r>
      <w:r>
        <w:rPr>
          <w:b/>
          <w:color w:val="000000"/>
        </w:rPr>
        <w:t xml:space="preserve"> Parlamentu Europejskiego i Rady (UE) nr 517/2014 </w:t>
      </w:r>
      <w:bookmarkEnd w:id="0"/>
      <w:r>
        <w:rPr>
          <w:b/>
          <w:color w:val="000000"/>
        </w:rPr>
        <w:t>w sprawie fluorowanych gazów cieplarnianych</w:t>
      </w:r>
    </w:p>
    <w:p w:rsidR="00186F7A" w:rsidRDefault="001C6CBC">
      <w:pPr>
        <w:spacing w:before="80" w:after="0"/>
        <w:jc w:val="center"/>
      </w:pPr>
      <w:r>
        <w:rPr>
          <w:color w:val="000000"/>
        </w:rPr>
        <w:t>KOMISJA EUROPEJSKA,</w:t>
      </w:r>
    </w:p>
    <w:p w:rsidR="00186F7A" w:rsidRDefault="001C6CBC">
      <w:pPr>
        <w:spacing w:before="25" w:after="0"/>
        <w:jc w:val="center"/>
      </w:pPr>
      <w:proofErr w:type="gramStart"/>
      <w:r>
        <w:rPr>
          <w:color w:val="000000"/>
        </w:rPr>
        <w:t>uwzględniając</w:t>
      </w:r>
      <w:proofErr w:type="gramEnd"/>
      <w:r>
        <w:rPr>
          <w:color w:val="000000"/>
        </w:rPr>
        <w:t xml:space="preserve"> </w:t>
      </w:r>
      <w:r>
        <w:rPr>
          <w:color w:val="1B1B1B"/>
        </w:rPr>
        <w:t>Traktat</w:t>
      </w:r>
      <w:r>
        <w:rPr>
          <w:color w:val="000000"/>
        </w:rPr>
        <w:t xml:space="preserve"> o funkcjonowaniu Unii Europejskiej,</w:t>
      </w:r>
    </w:p>
    <w:p w:rsidR="00186F7A" w:rsidRDefault="001C6CBC">
      <w:pPr>
        <w:spacing w:before="25" w:after="0"/>
        <w:jc w:val="center"/>
      </w:pPr>
      <w:r>
        <w:rPr>
          <w:color w:val="000000"/>
        </w:rPr>
        <w:t>uwzględniając rozporządzenie Parlamentu Europejskiego i Rady (UE) nr 517/2014 z dnia</w:t>
      </w:r>
      <w:r>
        <w:rPr>
          <w:color w:val="000000"/>
        </w:rPr>
        <w:t xml:space="preserve"> 16 kwietnia 2014 r. w sprawie fluorowanych gazów cieplarnianych i uchylenia rozporządzenia (WE) </w:t>
      </w:r>
      <w:proofErr w:type="gramStart"/>
      <w:r>
        <w:rPr>
          <w:color w:val="000000"/>
        </w:rPr>
        <w:t xml:space="preserve">nr 842/2006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, </w:t>
      </w:r>
      <w:proofErr w:type="gramEnd"/>
      <w:r>
        <w:rPr>
          <w:color w:val="000000"/>
        </w:rPr>
        <w:t xml:space="preserve">w szczególności jego </w:t>
      </w:r>
      <w:r>
        <w:rPr>
          <w:color w:val="1B1B1B"/>
        </w:rPr>
        <w:t>art. 19 ust. 7</w:t>
      </w:r>
      <w:r>
        <w:rPr>
          <w:color w:val="000000"/>
        </w:rPr>
        <w:t>,</w:t>
      </w:r>
    </w:p>
    <w:p w:rsidR="00186F7A" w:rsidRDefault="001C6CBC">
      <w:pPr>
        <w:spacing w:before="80" w:after="0"/>
        <w:jc w:val="center"/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także mając na uwadze, co następuje:</w:t>
      </w:r>
    </w:p>
    <w:p w:rsidR="00186F7A" w:rsidRDefault="001C6CBC">
      <w:pPr>
        <w:spacing w:before="25" w:after="0"/>
      </w:pPr>
      <w:r>
        <w:rPr>
          <w:color w:val="000000"/>
        </w:rPr>
        <w:t xml:space="preserve">(1) W </w:t>
      </w:r>
      <w:r>
        <w:rPr>
          <w:color w:val="1B1B1B"/>
        </w:rPr>
        <w:t>rozporządzeniu</w:t>
      </w:r>
      <w:r>
        <w:rPr>
          <w:color w:val="000000"/>
        </w:rPr>
        <w:t xml:space="preserve"> Komisji (WE) nr 1493/2007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 określono format </w:t>
      </w:r>
      <w:r>
        <w:rPr>
          <w:color w:val="000000"/>
        </w:rPr>
        <w:t xml:space="preserve">sprawozdania, które ma być składane przez producentów, importerów i eksporterów niektórych fluorowanych gazów cieplarnianych zgodnie z </w:t>
      </w:r>
      <w:r>
        <w:rPr>
          <w:color w:val="1B1B1B"/>
        </w:rPr>
        <w:t>rozporządzeniem</w:t>
      </w:r>
      <w:r>
        <w:rPr>
          <w:color w:val="000000"/>
        </w:rPr>
        <w:t xml:space="preserve"> (WE) nr 842/2006 Parlamentu Europejskiego i </w:t>
      </w:r>
      <w:proofErr w:type="gramStart"/>
      <w:r>
        <w:rPr>
          <w:color w:val="000000"/>
        </w:rPr>
        <w:t xml:space="preserve">Rady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. </w:t>
      </w:r>
      <w:proofErr w:type="gramEnd"/>
      <w:r>
        <w:rPr>
          <w:color w:val="1B1B1B"/>
        </w:rPr>
        <w:t>Rozporządzenie</w:t>
      </w:r>
      <w:r>
        <w:rPr>
          <w:color w:val="000000"/>
        </w:rPr>
        <w:t xml:space="preserve"> (WE) nr 842/2006 zostało uchylone </w:t>
      </w:r>
      <w:r>
        <w:rPr>
          <w:color w:val="1B1B1B"/>
        </w:rPr>
        <w:t>roz</w:t>
      </w:r>
      <w:r>
        <w:rPr>
          <w:color w:val="1B1B1B"/>
        </w:rPr>
        <w:t>porządzeniem</w:t>
      </w:r>
      <w:r>
        <w:rPr>
          <w:color w:val="000000"/>
        </w:rPr>
        <w:t xml:space="preserve"> (UE) nr 517/2014. W </w:t>
      </w:r>
      <w:r>
        <w:rPr>
          <w:color w:val="1B1B1B"/>
        </w:rPr>
        <w:t>art. 19</w:t>
      </w:r>
      <w:r>
        <w:rPr>
          <w:color w:val="000000"/>
        </w:rPr>
        <w:t xml:space="preserve"> rozporządzenia (UE) nr 517/2014 ustanowiono nowe obowiązki sprawozdawcze dotyczące produkcji, przywozu, wywozu, </w:t>
      </w:r>
      <w:proofErr w:type="gramStart"/>
      <w:r>
        <w:rPr>
          <w:color w:val="000000"/>
        </w:rPr>
        <w:t>stosowania jako</w:t>
      </w:r>
      <w:proofErr w:type="gramEnd"/>
      <w:r>
        <w:rPr>
          <w:color w:val="000000"/>
        </w:rPr>
        <w:t xml:space="preserve"> substratu i niszczenia substancji wymienionych w </w:t>
      </w:r>
      <w:r>
        <w:rPr>
          <w:color w:val="1B1B1B"/>
        </w:rPr>
        <w:t>załączniku 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r>
        <w:rPr>
          <w:color w:val="1B1B1B"/>
        </w:rPr>
        <w:t>II</w:t>
      </w:r>
      <w:r>
        <w:rPr>
          <w:color w:val="000000"/>
        </w:rPr>
        <w:t xml:space="preserve"> do rozporządzenia (U</w:t>
      </w:r>
      <w:r>
        <w:rPr>
          <w:color w:val="000000"/>
        </w:rPr>
        <w:t xml:space="preserve">E) nr 517/2014. Niniejsze rozporządzenie powinno zatem zastąpić </w:t>
      </w:r>
      <w:r>
        <w:rPr>
          <w:color w:val="1B1B1B"/>
        </w:rPr>
        <w:t>rozporządzenie</w:t>
      </w:r>
      <w:r>
        <w:rPr>
          <w:color w:val="000000"/>
        </w:rPr>
        <w:t xml:space="preserve"> (WE) nr 1493/2007.</w:t>
      </w:r>
    </w:p>
    <w:p w:rsidR="00186F7A" w:rsidRDefault="001C6CBC">
      <w:pPr>
        <w:spacing w:before="25" w:after="0"/>
      </w:pPr>
      <w:r>
        <w:rPr>
          <w:color w:val="000000"/>
        </w:rPr>
        <w:t>(2) W celu zapewnienia jednolitości i spójności w zakresie gromadzenia danych oraz w celu ograniczenia obciążeń administracyjnych, przedsiębiorstwa powinny pr</w:t>
      </w:r>
      <w:r>
        <w:rPr>
          <w:color w:val="000000"/>
        </w:rPr>
        <w:t xml:space="preserve">zedstawiać informacje wymagane na podstawie </w:t>
      </w:r>
      <w:r>
        <w:rPr>
          <w:color w:val="1B1B1B"/>
        </w:rPr>
        <w:t>art. 19</w:t>
      </w:r>
      <w:r>
        <w:rPr>
          <w:color w:val="000000"/>
        </w:rPr>
        <w:t xml:space="preserve"> rozporządzenia (UE) nr 517/2014 za pomocą elektronicznego narzędzia sprawozdawczego dostępnego na stronie internetowej Komisji Europejskiej i zawierającego odpowiednie formularze dotyczące ich indywidualn</w:t>
      </w:r>
      <w:r>
        <w:rPr>
          <w:color w:val="000000"/>
        </w:rPr>
        <w:t>ej działalności przygotowane przez Europejską Agencję Środowiska.</w:t>
      </w:r>
    </w:p>
    <w:p w:rsidR="00186F7A" w:rsidRDefault="001C6CBC">
      <w:pPr>
        <w:spacing w:before="25" w:after="0"/>
      </w:pPr>
      <w:r>
        <w:rPr>
          <w:color w:val="000000"/>
        </w:rPr>
        <w:t xml:space="preserve">(3) Przedstawiane na zasadzie dobrowolności dane dotyczące ilości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 (HFC) objętych wywozem w urządzeniach, które są wytwarzane w UE w tym celu, chociaż nieistotne dla </w:t>
      </w:r>
      <w:r>
        <w:rPr>
          <w:color w:val="000000"/>
        </w:rPr>
        <w:t>obliczenia wartości odniesienia i kontyngentów, mogą być przydatne dla monitorowania gospodarczych skutków zmniejszenia ilości HFC wprowadzanych do obrotu.</w:t>
      </w:r>
    </w:p>
    <w:p w:rsidR="00186F7A" w:rsidRDefault="001C6CBC">
      <w:pPr>
        <w:spacing w:before="25" w:after="0"/>
      </w:pPr>
      <w:r>
        <w:rPr>
          <w:color w:val="000000"/>
        </w:rPr>
        <w:t>(4) Środki przewidziane w niniejszym rozporządzeniu są zgodne z opinią Komitetu ustanowionego na moc</w:t>
      </w:r>
      <w:r>
        <w:rPr>
          <w:color w:val="000000"/>
        </w:rPr>
        <w:t xml:space="preserve">y </w:t>
      </w:r>
      <w:r>
        <w:rPr>
          <w:color w:val="1B1B1B"/>
        </w:rPr>
        <w:t>art. 24 ust. 1</w:t>
      </w:r>
      <w:r>
        <w:rPr>
          <w:color w:val="000000"/>
        </w:rPr>
        <w:t xml:space="preserve"> rozporządzenia (UE) nr 517/2014,</w:t>
      </w:r>
    </w:p>
    <w:p w:rsidR="00186F7A" w:rsidRDefault="001C6CBC">
      <w:pPr>
        <w:spacing w:before="25" w:after="0"/>
      </w:pPr>
      <w:r>
        <w:rPr>
          <w:color w:val="000000"/>
        </w:rPr>
        <w:t>PRZYJMUJE NINIEJSZE ROZPORZĄDZENIE:</w:t>
      </w:r>
    </w:p>
    <w:p w:rsidR="00186F7A" w:rsidRDefault="00186F7A">
      <w:pPr>
        <w:spacing w:before="80" w:after="0"/>
      </w:pPr>
    </w:p>
    <w:p w:rsidR="00186F7A" w:rsidRDefault="001C6CBC">
      <w:pPr>
        <w:spacing w:after="0"/>
      </w:pPr>
      <w:r>
        <w:rPr>
          <w:b/>
          <w:color w:val="000000"/>
        </w:rPr>
        <w:t xml:space="preserve">Artykuł  1  </w:t>
      </w:r>
      <w:r>
        <w:rPr>
          <w:b/>
          <w:color w:val="000000"/>
          <w:vertAlign w:val="superscript"/>
        </w:rPr>
        <w:t>4</w:t>
      </w:r>
      <w:r>
        <w:rPr>
          <w:b/>
          <w:color w:val="000000"/>
        </w:rPr>
        <w:t xml:space="preserve"> </w:t>
      </w:r>
    </w:p>
    <w:p w:rsidR="00186F7A" w:rsidRDefault="001C6CBC">
      <w:pPr>
        <w:spacing w:after="0"/>
      </w:pPr>
      <w:r>
        <w:rPr>
          <w:color w:val="000000"/>
        </w:rPr>
        <w:t xml:space="preserve">1.  Sprawozdania wymagane zgodnie z </w:t>
      </w:r>
      <w:r>
        <w:rPr>
          <w:color w:val="1B1B1B"/>
        </w:rPr>
        <w:t>art. 19</w:t>
      </w:r>
      <w:r>
        <w:rPr>
          <w:color w:val="000000"/>
        </w:rPr>
        <w:t xml:space="preserve"> rozporządzenia (UE) nr 517/2014 są przekazywane drogą elektroniczną, przy użyciu narzędzia sprawozdawczego opracowanego na podstawie formularza określonego w załączniku do niniejszego rozporządzenia i udostępnionego w tym celu na stronie internetowej Komi</w:t>
      </w:r>
      <w:r>
        <w:rPr>
          <w:color w:val="000000"/>
        </w:rPr>
        <w:t>sji.</w:t>
      </w:r>
    </w:p>
    <w:p w:rsidR="00186F7A" w:rsidRDefault="001C6CBC">
      <w:pPr>
        <w:spacing w:before="26" w:after="0"/>
      </w:pPr>
      <w:r>
        <w:rPr>
          <w:color w:val="000000"/>
        </w:rPr>
        <w:t xml:space="preserve">2.  Przed przystąpieniem do wykonywania czynności, które powinny być zgłaszane na podstawie </w:t>
      </w:r>
      <w:r>
        <w:rPr>
          <w:color w:val="1B1B1B"/>
        </w:rPr>
        <w:t>art. 19</w:t>
      </w:r>
      <w:r>
        <w:rPr>
          <w:color w:val="000000"/>
        </w:rPr>
        <w:t xml:space="preserve"> rozporządzenia (UE) nr 517/2014, każde przedsiębiorstwo musi zarejestrować się na stronie internetowej Komisji w celu użycia elektronicznego narzędzia </w:t>
      </w:r>
      <w:r>
        <w:rPr>
          <w:color w:val="000000"/>
        </w:rPr>
        <w:t>sprawozdawczego.</w:t>
      </w:r>
    </w:p>
    <w:p w:rsidR="00186F7A" w:rsidRDefault="00186F7A">
      <w:pPr>
        <w:spacing w:before="80" w:after="0"/>
      </w:pPr>
    </w:p>
    <w:p w:rsidR="00186F7A" w:rsidRDefault="001C6CBC">
      <w:pPr>
        <w:spacing w:after="0"/>
      </w:pPr>
      <w:r>
        <w:rPr>
          <w:b/>
          <w:color w:val="000000"/>
        </w:rPr>
        <w:t xml:space="preserve">Artykuł  2 </w:t>
      </w:r>
    </w:p>
    <w:p w:rsidR="00186F7A" w:rsidRDefault="001C6CBC">
      <w:pPr>
        <w:spacing w:after="0"/>
      </w:pPr>
      <w:r>
        <w:rPr>
          <w:color w:val="1B1B1B"/>
        </w:rPr>
        <w:t>Rozporządzenie</w:t>
      </w:r>
      <w:r>
        <w:rPr>
          <w:color w:val="000000"/>
        </w:rPr>
        <w:t xml:space="preserve"> (WE) nr 1493/2007 traci moc.</w:t>
      </w:r>
    </w:p>
    <w:p w:rsidR="00186F7A" w:rsidRDefault="00186F7A">
      <w:pPr>
        <w:spacing w:before="80" w:after="0"/>
      </w:pPr>
    </w:p>
    <w:p w:rsidR="00186F7A" w:rsidRDefault="001C6CBC">
      <w:pPr>
        <w:spacing w:after="0"/>
      </w:pPr>
      <w:r>
        <w:rPr>
          <w:b/>
          <w:color w:val="000000"/>
        </w:rPr>
        <w:t xml:space="preserve">Artykuł  3 </w:t>
      </w:r>
    </w:p>
    <w:p w:rsidR="00186F7A" w:rsidRDefault="001C6CBC">
      <w:pPr>
        <w:spacing w:after="0"/>
      </w:pPr>
      <w:r>
        <w:rPr>
          <w:color w:val="000000"/>
        </w:rPr>
        <w:lastRenderedPageBreak/>
        <w:t xml:space="preserve">Niniejsze rozporządzenie wchodzi w życie dwudziestego dnia po jego opublikowaniu w </w:t>
      </w:r>
      <w:r>
        <w:rPr>
          <w:i/>
          <w:color w:val="000000"/>
        </w:rPr>
        <w:t>Dzienniku Urzędowym Unii Europejskiej</w:t>
      </w:r>
      <w:r>
        <w:rPr>
          <w:color w:val="000000"/>
        </w:rPr>
        <w:t>.</w:t>
      </w:r>
    </w:p>
    <w:p w:rsidR="00186F7A" w:rsidRDefault="001C6CBC">
      <w:pPr>
        <w:spacing w:after="0"/>
      </w:pPr>
      <w:r>
        <w:rPr>
          <w:color w:val="000000"/>
        </w:rPr>
        <w:t>Niniejsze rozporządzenie wiąże w całości i jest</w:t>
      </w:r>
      <w:r>
        <w:rPr>
          <w:color w:val="000000"/>
        </w:rPr>
        <w:t xml:space="preserve"> bezpośrednio stosowane we wszystkich państwach członkowskich.</w:t>
      </w:r>
    </w:p>
    <w:p w:rsidR="00186F7A" w:rsidRDefault="001C6CBC">
      <w:pPr>
        <w:spacing w:after="0"/>
      </w:pPr>
      <w:r>
        <w:rPr>
          <w:color w:val="000000"/>
        </w:rPr>
        <w:t>Sporządzono w Brukseli dnia 30 października 2014 r.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13"/>
        <w:gridCol w:w="4744"/>
      </w:tblGrid>
      <w:tr w:rsidR="00186F7A">
        <w:trPr>
          <w:trHeight w:val="30"/>
          <w:tblCellSpacing w:w="0" w:type="auto"/>
        </w:trPr>
        <w:tc>
          <w:tcPr>
            <w:tcW w:w="6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i/>
                <w:color w:val="000000"/>
              </w:rPr>
              <w:t>W imieniu Komisji</w:t>
            </w:r>
          </w:p>
        </w:tc>
      </w:tr>
      <w:tr w:rsidR="00186F7A">
        <w:trPr>
          <w:trHeight w:val="30"/>
          <w:tblCellSpacing w:w="0" w:type="auto"/>
        </w:trPr>
        <w:tc>
          <w:tcPr>
            <w:tcW w:w="6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José Manuel BARROSO</w:t>
            </w:r>
          </w:p>
        </w:tc>
      </w:tr>
      <w:tr w:rsidR="00186F7A">
        <w:trPr>
          <w:trHeight w:val="30"/>
          <w:tblCellSpacing w:w="0" w:type="auto"/>
        </w:trPr>
        <w:tc>
          <w:tcPr>
            <w:tcW w:w="6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i/>
                <w:color w:val="000000"/>
              </w:rPr>
              <w:t>Przewodniczący</w:t>
            </w:r>
          </w:p>
        </w:tc>
      </w:tr>
    </w:tbl>
    <w:p w:rsidR="00186F7A" w:rsidRDefault="00186F7A">
      <w:pPr>
        <w:spacing w:after="0"/>
      </w:pPr>
    </w:p>
    <w:p w:rsidR="00186F7A" w:rsidRDefault="001C6CBC">
      <w:pPr>
        <w:spacing w:before="80" w:after="0"/>
        <w:jc w:val="center"/>
      </w:pPr>
      <w:r>
        <w:rPr>
          <w:b/>
          <w:color w:val="000000"/>
        </w:rPr>
        <w:t xml:space="preserve">ZAŁĄCZNIK </w:t>
      </w:r>
      <w:r>
        <w:rPr>
          <w:b/>
          <w:color w:val="000000"/>
          <w:vertAlign w:val="superscript"/>
        </w:rPr>
        <w:t>5</w:t>
      </w:r>
      <w:r>
        <w:rPr>
          <w:b/>
          <w:color w:val="000000"/>
        </w:rPr>
        <w:t xml:space="preserve">   </w:t>
      </w:r>
    </w:p>
    <w:p w:rsidR="00186F7A" w:rsidRDefault="001C6CBC">
      <w:pPr>
        <w:spacing w:after="0"/>
      </w:pPr>
      <w:r>
        <w:rPr>
          <w:color w:val="000000"/>
        </w:rPr>
        <w:t>OGÓLNE WYJAŚNIENIA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O ile nie określono inaczej w poszczególnych </w:t>
      </w:r>
      <w:r>
        <w:rPr>
          <w:color w:val="000000"/>
        </w:rPr>
        <w:t xml:space="preserve">sekcjach sprawozdania zawartych w niniejszym załączniku, przekazywane dane obejmują działalność przedsiębiorstwa w trakcie roku kalendarzowego, w </w:t>
      </w:r>
      <w:proofErr w:type="gramStart"/>
      <w:r>
        <w:rPr>
          <w:color w:val="000000"/>
        </w:rPr>
        <w:t>odniesieniu do którego</w:t>
      </w:r>
      <w:proofErr w:type="gramEnd"/>
      <w:r>
        <w:rPr>
          <w:color w:val="000000"/>
        </w:rPr>
        <w:t xml:space="preserve"> przedkładane jest sprawozdanie.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Jednostki miary, gazy, poziom szczegółowości i wskazani</w:t>
      </w:r>
      <w:r>
        <w:rPr>
          <w:color w:val="000000"/>
        </w:rPr>
        <w:t>e roku, w którym działania mają być zgłaszane po raz pierwszy, określono osobno w poszczególnych sekcjach sprawozdania.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Ogólny format narzędzia sprawozdawczości określono w poniższych sekcjach sprawozdania. Numeracja sekcji przedstawiona poniżej nie odnosi</w:t>
      </w:r>
      <w:r>
        <w:rPr>
          <w:color w:val="000000"/>
        </w:rPr>
        <w:t xml:space="preserve"> się do numeracji zastosowanej w </w:t>
      </w:r>
      <w:r>
        <w:rPr>
          <w:color w:val="1B1B1B"/>
        </w:rPr>
        <w:t>rozporządzeniu</w:t>
      </w:r>
      <w:r>
        <w:rPr>
          <w:color w:val="000000"/>
        </w:rPr>
        <w:t xml:space="preserve"> (UE) nr 517/2014 ani w elektronicznym narzędziu sprawozdawczym, lecz jest stosowana we wzorach służących do automatycznego obliczania niektórych wartości.</w:t>
      </w:r>
    </w:p>
    <w:p w:rsidR="00186F7A" w:rsidRDefault="001C6CBC">
      <w:pPr>
        <w:spacing w:before="25" w:after="0"/>
        <w:jc w:val="both"/>
      </w:pPr>
      <w:r>
        <w:rPr>
          <w:b/>
          <w:i/>
          <w:color w:val="000000"/>
        </w:rPr>
        <w:t>Sekcje sprawozdania</w:t>
      </w:r>
    </w:p>
    <w:p w:rsidR="00186F7A" w:rsidRDefault="001C6CBC">
      <w:pPr>
        <w:spacing w:before="25" w:after="0"/>
        <w:jc w:val="both"/>
      </w:pPr>
      <w:r>
        <w:rPr>
          <w:b/>
          <w:color w:val="000000"/>
        </w:rPr>
        <w:t>Sekcja 1: Do wypełnienia przez pr</w:t>
      </w:r>
      <w:r>
        <w:rPr>
          <w:b/>
          <w:color w:val="000000"/>
        </w:rPr>
        <w:t>oducentów gazów - art. 19 ust. 1 i 2 rozporządzenia (UE) nr 517/2014 oraz pkt 1 lit. a) i c)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2014 r. (najpóźniej do dn</w:t>
      </w:r>
      <w:r>
        <w:rPr>
          <w:color w:val="000000"/>
        </w:rPr>
        <w:t>ia 31 marca 2015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gazów należy podać w tonach metrycznych z dokładnością do trzeciego miejsca po przecinku, oddzielnie dla każdego gazu wymienionego w załączniku I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517/2014. Ilości mieszanin zawieraj</w:t>
      </w:r>
      <w:r>
        <w:rPr>
          <w:color w:val="000000"/>
        </w:rPr>
        <w:t xml:space="preserve">ących te substancje i wprowadzonych do obrotu należy zgłosić, wskazując również ilości </w:t>
      </w:r>
      <w:proofErr w:type="gramStart"/>
      <w:r>
        <w:rPr>
          <w:color w:val="000000"/>
        </w:rPr>
        <w:t>stosowane jako</w:t>
      </w:r>
      <w:proofErr w:type="gramEnd"/>
      <w:r>
        <w:rPr>
          <w:color w:val="000000"/>
        </w:rPr>
        <w:t xml:space="preserve"> składniki tych mieszanin pochodzące z innych źródeł niż produkcja własna.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8"/>
        <w:gridCol w:w="650"/>
        <w:gridCol w:w="4491"/>
        <w:gridCol w:w="3448"/>
      </w:tblGrid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 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color w:val="000000"/>
              </w:rPr>
              <w:t xml:space="preserve">Całkowita ilość </w:t>
            </w:r>
            <w:r>
              <w:rPr>
                <w:color w:val="000000"/>
              </w:rPr>
              <w:t>produkcji z zakładów w Unii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1B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- ilość produkcji z zakładów w Unii, na którą składają się odzyskane produkty uboczne lub produkty niepożądane, w </w:t>
            </w:r>
            <w:proofErr w:type="gramStart"/>
            <w:r>
              <w:rPr>
                <w:color w:val="000000"/>
              </w:rPr>
              <w:t>przypadku gdy</w:t>
            </w:r>
            <w:proofErr w:type="gramEnd"/>
            <w:r>
              <w:rPr>
                <w:color w:val="000000"/>
              </w:rPr>
              <w:t xml:space="preserve"> produkty uboczne lub produkty niepożądane zostały zniszczone w zakładach przed wprowadzeniem </w:t>
            </w:r>
            <w:r>
              <w:rPr>
                <w:color w:val="000000"/>
              </w:rPr>
              <w:t>do obrotu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Producenci, którzy przeprowadzają zniszczenie, podają łączną zniszczoną ilość w sekcji 8 sprawozdania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1C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- ilość produkcji z zakładów w Unii, na którą składają się odzyskane produkty uboczne lub produkty niepożądane, w </w:t>
            </w:r>
            <w:proofErr w:type="gramStart"/>
            <w:r>
              <w:rPr>
                <w:color w:val="000000"/>
              </w:rPr>
              <w:t>przypadku gdy</w:t>
            </w:r>
            <w:proofErr w:type="gramEnd"/>
            <w:r>
              <w:rPr>
                <w:color w:val="000000"/>
              </w:rPr>
              <w:t xml:space="preserve"> produkty </w:t>
            </w:r>
            <w:r>
              <w:rPr>
                <w:color w:val="000000"/>
              </w:rPr>
              <w:t>uboczne lub produkty niepożądane zostały przekazane do innych przedsiębiorstw w celu zniszczenia i nie zostały wcześniej wprowadzone do obrotu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podać nazwę przedsiębiorstwa przeprowadzającego zniszczenie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1C_a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wyproduk</w:t>
            </w:r>
            <w:r>
              <w:rPr>
                <w:color w:val="000000"/>
              </w:rPr>
              <w:t xml:space="preserve">owanych z przeznaczeniem do </w:t>
            </w:r>
            <w:proofErr w:type="gramStart"/>
            <w:r>
              <w:rPr>
                <w:color w:val="000000"/>
              </w:rPr>
              <w:t>zastosowań jako</w:t>
            </w:r>
            <w:proofErr w:type="gramEnd"/>
            <w:r>
              <w:rPr>
                <w:color w:val="000000"/>
              </w:rPr>
              <w:t xml:space="preserve"> substraty na terenie Unii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1C_b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wyprodukowanych z przeznaczeniem do zastosowań wyłączonych na mocy protokołu montrealskiego na terenie Unii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Należy podać rodzaj wyłączonego </w:t>
            </w:r>
            <w:r>
              <w:rPr>
                <w:color w:val="000000"/>
              </w:rPr>
              <w:t>zastosowania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1D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Całkowita ilość zniszczonych produktów własnych, które nie zostały wcześniej wprowadzone do obrotu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1D = 1B + 1C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color w:val="000000"/>
              </w:rPr>
              <w:t>1E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Produkcja dostępna do sprzedaży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1E = 1 A - 1D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>Sekcja 2: Do wypełnienia przez importerów</w:t>
      </w:r>
      <w:r>
        <w:rPr>
          <w:b/>
          <w:color w:val="000000"/>
        </w:rPr>
        <w:t xml:space="preserve"> gazów - art. 19 ust. 1 rozporządzenia (UE) nr 517/2014 oraz pkt 2 lit. a)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2014 r. (najpóźniej do dnia 31 marca 2015 r</w:t>
      </w:r>
      <w:r>
        <w:rPr>
          <w:color w:val="000000"/>
        </w:rPr>
        <w:t>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gazów należy podać w tonach metrycznych, z dokładnością do trzeciego miejsca po przecinku, oddzielnie dla każdego gazu wymienionego w </w:t>
      </w:r>
      <w:r>
        <w:rPr>
          <w:color w:val="1B1B1B"/>
        </w:rPr>
        <w:t>załączniku I</w:t>
      </w:r>
      <w:r>
        <w:rPr>
          <w:color w:val="000000"/>
        </w:rPr>
        <w:t xml:space="preserve">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517/2014, dla mieszanin </w:t>
      </w:r>
      <w:proofErr w:type="gramStart"/>
      <w:r>
        <w:rPr>
          <w:color w:val="000000"/>
        </w:rPr>
        <w:t>zawierających co</w:t>
      </w:r>
      <w:proofErr w:type="gramEnd"/>
      <w:r>
        <w:rPr>
          <w:color w:val="000000"/>
        </w:rPr>
        <w:t xml:space="preserve"> najmniej je</w:t>
      </w:r>
      <w:r>
        <w:rPr>
          <w:color w:val="000000"/>
        </w:rPr>
        <w:t xml:space="preserve">den z tych gazów lub dla każdego gazu lub każdej mieszaniny wchodzących w skład </w:t>
      </w:r>
      <w:proofErr w:type="spellStart"/>
      <w:r>
        <w:rPr>
          <w:color w:val="000000"/>
        </w:rPr>
        <w:t>przedmieszek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poliolowych</w:t>
      </w:r>
      <w:proofErr w:type="spellEnd"/>
      <w:r>
        <w:rPr>
          <w:color w:val="000000"/>
        </w:rPr>
        <w:t xml:space="preserve"> objętych przywozem. Po raz pierwszy przy składaniu sprawozdań na temat działalności prowadzonej w 2019 r. ilości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 należy podać </w:t>
      </w:r>
      <w:r>
        <w:rPr>
          <w:color w:val="000000"/>
        </w:rPr>
        <w:t>oddzielnie dla każdego kraju pochodzenia, o ile nie wskazano inaczej w poniższej tabeli.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Należy podać wyłącznie ilości gazów luzem objętych przywozem, w tym ilości wysłane z urządzeniami w celu naładowania tych urządzeń po przywozie, ale nie ilości zawarte</w:t>
      </w:r>
      <w:r>
        <w:rPr>
          <w:color w:val="000000"/>
        </w:rPr>
        <w:t xml:space="preserve"> w urządzeniach. Przywóz gazów zawartych w produktach lub urządzeniach należy podać w sekcji 11 sprawozdania. Należy podać cały przywóz z wyjątkiem przywozu w celu tranzytu przez obszar celny Unii oraz przywozu w ramach innych procedur, które umożliwiają c</w:t>
      </w:r>
      <w:r>
        <w:rPr>
          <w:color w:val="000000"/>
        </w:rPr>
        <w:t xml:space="preserve">zasowy przepływ towarów na obszar celny, pod </w:t>
      </w:r>
      <w:proofErr w:type="gramStart"/>
      <w:r>
        <w:rPr>
          <w:color w:val="000000"/>
        </w:rPr>
        <w:t>warunkiem że</w:t>
      </w:r>
      <w:proofErr w:type="gramEnd"/>
      <w:r>
        <w:rPr>
          <w:color w:val="000000"/>
        </w:rPr>
        <w:t xml:space="preserve"> w tym ostatnim przypadku towary pozostaną nie dłużej niż 45 dni na obszarze celnym.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2"/>
        <w:gridCol w:w="529"/>
        <w:gridCol w:w="4412"/>
        <w:gridCol w:w="3714"/>
      </w:tblGrid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2 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color w:val="000000"/>
              </w:rPr>
              <w:t>Ilość objęta przywozem do Unii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2 B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Ilości przywożone </w:t>
            </w:r>
            <w:r>
              <w:rPr>
                <w:color w:val="000000"/>
              </w:rPr>
              <w:t xml:space="preserve">do Unii przez przedsiębiorstwo składające sprawozdanie, nie dopuszczone do swobodnego </w:t>
            </w:r>
            <w:proofErr w:type="gramStart"/>
            <w:r>
              <w:rPr>
                <w:color w:val="000000"/>
              </w:rPr>
              <w:t>obrotu lecz</w:t>
            </w:r>
            <w:proofErr w:type="gramEnd"/>
            <w:r>
              <w:rPr>
                <w:color w:val="000000"/>
              </w:rPr>
              <w:t xml:space="preserve"> przez dane przedsiębiorstwo składające sprawozdanie powrotnie wywożone, zawarte w produktach lub urządzeniach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Zgłaszanie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w rozbiciu n</w:t>
            </w:r>
            <w:r>
              <w:rPr>
                <w:color w:val="000000"/>
              </w:rPr>
              <w:t>a państwo pochodzenia nie jest konieczne.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>Ilości gazów luzem przywożone w celu uszlachetniania czynnego, którymi napełnia się produkty lub urządzenia, a które następnie są powrotnie wywożone.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 xml:space="preserve">W </w:t>
            </w:r>
            <w:proofErr w:type="gramStart"/>
            <w:r>
              <w:rPr>
                <w:color w:val="000000"/>
              </w:rPr>
              <w:t>przypadku gdy</w:t>
            </w:r>
            <w:proofErr w:type="gramEnd"/>
            <w:r>
              <w:rPr>
                <w:color w:val="000000"/>
              </w:rPr>
              <w:t xml:space="preserve"> powrotny wywóz w produktach lub urządzeniach (se</w:t>
            </w:r>
            <w:r>
              <w:rPr>
                <w:color w:val="000000"/>
              </w:rPr>
              <w:t>kcja 2B) nie odbywa się w tym samym roku kalendarzowym co przywóz, ilości zgłoszone w sekcji 2B mogą obejmować powrotny wywóz w produktach lub urządzeniach z zapasów na dzień 1 stycznia niewprowadzonych do obrotu w Unii, jak zgłoszono w sekcji 4C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lastRenderedPageBreak/>
              <w:t>Wywóz gaz</w:t>
            </w:r>
            <w:r>
              <w:rPr>
                <w:color w:val="000000"/>
              </w:rPr>
              <w:t>ów luzem zgłasza się tylko w sekcji 3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2C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zużytych, poddanych recyklingowi lub regeneracji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2D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pierwotnych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przywożonych do </w:t>
            </w:r>
            <w:proofErr w:type="gramStart"/>
            <w:r>
              <w:rPr>
                <w:color w:val="000000"/>
              </w:rPr>
              <w:t>stosowania jako</w:t>
            </w:r>
            <w:proofErr w:type="gramEnd"/>
            <w:r>
              <w:rPr>
                <w:color w:val="000000"/>
              </w:rPr>
              <w:t xml:space="preserve"> substraty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2E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pierwotnych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przywożonych do celów zastosowań wyłączonych na mocy protokołu montrealskiego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podać rodzaj wyłączonego zastosowania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3: Do wypełnienia przez eksporterów gazów - art. 19 ust. 1 i 2 rozporządzenia (UE) nr 517/2014 oraz </w:t>
      </w:r>
      <w:r>
        <w:rPr>
          <w:b/>
          <w:color w:val="000000"/>
        </w:rPr>
        <w:t>pkt 3 lit. a) i b)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2014 r. (najpóźniej do dnia 31 marca 2015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gazów należy podać w tonach metrycznych, z dokładnością do trzeciego miejsca po przecinku, oddzielnie dla każdego gazu wymienionego w </w:t>
      </w:r>
      <w:r>
        <w:rPr>
          <w:color w:val="1B1B1B"/>
        </w:rPr>
        <w:t>załączniku I</w:t>
      </w:r>
      <w:r>
        <w:rPr>
          <w:color w:val="000000"/>
        </w:rPr>
        <w:t xml:space="preserve">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517/2014, dla mieszanin </w:t>
      </w:r>
      <w:proofErr w:type="gramStart"/>
      <w:r>
        <w:rPr>
          <w:color w:val="000000"/>
        </w:rPr>
        <w:t>zawierających co</w:t>
      </w:r>
      <w:proofErr w:type="gramEnd"/>
      <w:r>
        <w:rPr>
          <w:color w:val="000000"/>
        </w:rPr>
        <w:t xml:space="preserve"> najmniej jeden </w:t>
      </w:r>
      <w:r>
        <w:rPr>
          <w:color w:val="000000"/>
        </w:rPr>
        <w:t xml:space="preserve">z tych gazów lub dla każdego gazu lub każdej mieszaniny wchodzących w skład </w:t>
      </w:r>
      <w:proofErr w:type="spellStart"/>
      <w:r>
        <w:rPr>
          <w:color w:val="000000"/>
        </w:rPr>
        <w:t>przedmieszek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poliolowych</w:t>
      </w:r>
      <w:proofErr w:type="spellEnd"/>
      <w:r>
        <w:rPr>
          <w:color w:val="000000"/>
        </w:rPr>
        <w:t xml:space="preserve"> objętych wywozem. Po raz pierwszy przy składaniu sprawozdań na temat działalności prowadzonej w 2019 r. ilości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 należy podać oddzie</w:t>
      </w:r>
      <w:r>
        <w:rPr>
          <w:color w:val="000000"/>
        </w:rPr>
        <w:t>lnie dla każdego kraju przeznaczenia, o ile nie wskazano inaczej w poniższej tabeli.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W niniejszej sekcji należy podać wyłącznie ilości gazów luzem objętych wywozem, w tym wszelkie ilości wysłane z urządzeniami w celu naładowania tych urządzeń po wywozie.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I</w:t>
      </w:r>
      <w:r>
        <w:rPr>
          <w:color w:val="000000"/>
        </w:rPr>
        <w:t>lości z własnej produkcji lub własnego przywozu dostarczone do innych przedsiębiorstw w Unii w celu bezpośredniego wywozu należy zgłosić w sekcji 5 sprawozdania.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85"/>
        <w:gridCol w:w="566"/>
        <w:gridCol w:w="4669"/>
        <w:gridCol w:w="3337"/>
      </w:tblGrid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both"/>
            </w:pPr>
            <w:r>
              <w:rPr>
                <w:color w:val="000000"/>
              </w:rPr>
              <w:t>Łączna ilość objęta wywozem z Unii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3B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objęta wywozem, pochodząca z produkcji własnej lub własnego przywozu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Zgłaszanie w rozbiciu na państwa przeznaczenia nie jest konieczne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3C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objęta wywozem, zakupiona od innych przedsiębiorstw w Unii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3C = 3 A</w:t>
            </w:r>
            <w:r>
              <w:rPr>
                <w:color w:val="000000"/>
              </w:rPr>
              <w:t xml:space="preserve"> - 3B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3D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objęta wywozem w celu recyklingu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Zgłaszanie w rozbiciu na państwa przeznaczenia nie jest konieczne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3E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objęta wywozem w celu </w:t>
            </w:r>
            <w:r>
              <w:rPr>
                <w:color w:val="000000"/>
              </w:rPr>
              <w:t>regeneracji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Zgłaszanie w rozbiciu na państwa przeznaczenia nie jest konieczne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3F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objęta wywozem w celu zniszczenia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Zgłaszanie w rozbiciu na państwa przeznaczenia nie jest konieczne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3G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Wywiezione ilości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zużytych, poddanych</w:t>
            </w:r>
            <w:r>
              <w:rPr>
                <w:color w:val="000000"/>
              </w:rPr>
              <w:t xml:space="preserve"> recyklingowi lub regeneracji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3H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pierwotnych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wywożonych do </w:t>
            </w:r>
            <w:proofErr w:type="gramStart"/>
            <w:r>
              <w:rPr>
                <w:color w:val="000000"/>
              </w:rPr>
              <w:t>stosowania jako</w:t>
            </w:r>
            <w:proofErr w:type="gramEnd"/>
            <w:r>
              <w:rPr>
                <w:color w:val="000000"/>
              </w:rPr>
              <w:t xml:space="preserve"> substraty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3I</w:t>
            </w:r>
          </w:p>
        </w:tc>
        <w:tc>
          <w:tcPr>
            <w:tcW w:w="6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pierwotnych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wywożonych do celów zastosowań wyłączonych na </w:t>
            </w:r>
            <w:r>
              <w:rPr>
                <w:color w:val="000000"/>
              </w:rPr>
              <w:lastRenderedPageBreak/>
              <w:t>mocy protokołu montrealskiego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lastRenderedPageBreak/>
              <w:t>Należy podać</w:t>
            </w:r>
            <w:r>
              <w:rPr>
                <w:color w:val="000000"/>
              </w:rPr>
              <w:t xml:space="preserve"> rodzaj wyłączonego zastosowania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>Sekcja 4: Do wypełnienia przez producentów i importerów gazów - art. 19 ust. 1 rozporządzenia (UE) nr 517/2014 oraz pkt 1 lit. d) i pkt 2 lit. b) i d)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</w:t>
      </w:r>
      <w:r>
        <w:rPr>
          <w:color w:val="000000"/>
        </w:rPr>
        <w:t>erwszy do składania sprawozdań na temat działalności prowadzonej w 2014 r. (najpóźniej do dnia 31 marca 2015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gazów należy podać w tonach metrycznych, z dokładnością do trzeciego miejsca po przecinku, oddzielnie dla każdego gazu wymienionego w </w:t>
      </w:r>
      <w:r>
        <w:rPr>
          <w:color w:val="1B1B1B"/>
        </w:rPr>
        <w:t>z</w:t>
      </w:r>
      <w:r>
        <w:rPr>
          <w:color w:val="1B1B1B"/>
        </w:rPr>
        <w:t>ałączniku I</w:t>
      </w:r>
      <w:r>
        <w:rPr>
          <w:color w:val="000000"/>
        </w:rPr>
        <w:t xml:space="preserve">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 lub dla mieszanin </w:t>
      </w:r>
      <w:proofErr w:type="gramStart"/>
      <w:r>
        <w:rPr>
          <w:color w:val="000000"/>
        </w:rPr>
        <w:t>zawierających co</w:t>
      </w:r>
      <w:proofErr w:type="gramEnd"/>
      <w:r>
        <w:rPr>
          <w:color w:val="000000"/>
        </w:rPr>
        <w:t xml:space="preserve"> najmniej jeden z tych gazów lub dla każdego gazu lub każdej mieszaniny wchodzących w skład </w:t>
      </w:r>
      <w:proofErr w:type="spellStart"/>
      <w:r>
        <w:rPr>
          <w:color w:val="000000"/>
        </w:rPr>
        <w:t>przedmieszek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poliolowych</w:t>
      </w:r>
      <w:proofErr w:type="spellEnd"/>
      <w:r>
        <w:rPr>
          <w:color w:val="000000"/>
        </w:rPr>
        <w:t>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46"/>
        <w:gridCol w:w="581"/>
        <w:gridCol w:w="739"/>
        <w:gridCol w:w="4432"/>
        <w:gridCol w:w="2659"/>
      </w:tblGrid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</w:t>
            </w:r>
            <w:r>
              <w:rPr>
                <w:b/>
                <w:color w:val="000000"/>
              </w:rPr>
              <w:t>AWOZDANIU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Zapasy ogółem na dzień 1 stycznia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4B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proofErr w:type="gramStart"/>
            <w:r>
              <w:rPr>
                <w:color w:val="000000"/>
              </w:rPr>
              <w:t>- z czego</w:t>
            </w:r>
            <w:proofErr w:type="gramEnd"/>
            <w:r>
              <w:rPr>
                <w:color w:val="000000"/>
              </w:rPr>
              <w:t>: Zapasy ogółem na dzień 1 stycznia obejmujące ilości z własnego przywozu lub z produkcji własnej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4C</w:t>
            </w:r>
          </w:p>
        </w:tc>
        <w:tc>
          <w:tcPr>
            <w:tcW w:w="6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proofErr w:type="gramStart"/>
            <w:r>
              <w:rPr>
                <w:color w:val="000000"/>
              </w:rPr>
              <w:t>- z czego</w:t>
            </w:r>
            <w:proofErr w:type="gramEnd"/>
            <w:r>
              <w:rPr>
                <w:color w:val="000000"/>
              </w:rPr>
              <w:t>: Zapasy ogółem na dzień 1 stycznia obejmujące ilości z własnego przywozu</w:t>
            </w:r>
            <w:r>
              <w:rPr>
                <w:color w:val="000000"/>
              </w:rPr>
              <w:t xml:space="preserve"> lub z produkcji własnej, które nie zostały wcześniej wprowadzone do obrotu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 szczególności niesprzedana produkcja własna oraz własny przywóz niedopuszczony do swobodnego obrotu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4D</w:t>
            </w:r>
          </w:p>
        </w:tc>
        <w:tc>
          <w:tcPr>
            <w:tcW w:w="6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proofErr w:type="gramStart"/>
            <w:r>
              <w:rPr>
                <w:color w:val="000000"/>
              </w:rPr>
              <w:t>- z czego</w:t>
            </w:r>
            <w:proofErr w:type="gramEnd"/>
            <w:r>
              <w:rPr>
                <w:color w:val="000000"/>
              </w:rPr>
              <w:t xml:space="preserve">: Zapasy ogółem na dzień 1 </w:t>
            </w:r>
            <w:r>
              <w:rPr>
                <w:color w:val="000000"/>
              </w:rPr>
              <w:t>stycznia obejmujące ilości z własnego przywozu lub z produkcji własnej, które zostały wcześniej wprowadzone do obrotu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 szczególności własny przywóz dopuszczony do swobodnego obrotu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>4D = 4B - 4C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4E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Inne zapasy na dzień 1 stycznia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szczególności </w:t>
            </w:r>
            <w:r>
              <w:rPr>
                <w:color w:val="000000"/>
              </w:rPr>
              <w:t>zakupione wewnątrz Unii 4E = 4A - 4B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4F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Zapasy ogółem na dzień 31 grudnia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4G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proofErr w:type="gramStart"/>
            <w:r>
              <w:rPr>
                <w:color w:val="000000"/>
              </w:rPr>
              <w:t>- z czego</w:t>
            </w:r>
            <w:proofErr w:type="gramEnd"/>
            <w:r>
              <w:rPr>
                <w:color w:val="000000"/>
              </w:rPr>
              <w:t>: Zapasy ogółem na dzień 31 grudnia obejmujące ilości z własnego przywozu lub z produkcji własnej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4H</w:t>
            </w:r>
          </w:p>
        </w:tc>
        <w:tc>
          <w:tcPr>
            <w:tcW w:w="6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proofErr w:type="gramStart"/>
            <w:r>
              <w:rPr>
                <w:color w:val="000000"/>
              </w:rPr>
              <w:t>- z czego</w:t>
            </w:r>
            <w:proofErr w:type="gram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Zapasy ogółem na dzień 31 grudnia obejmujące ilości z własnego przywozu lub z produkcji własnej, które nie zostały wcześniej wprowadzone do obrotu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 szczególności niesprzedana produkcja własna oraz własny przywóz niedopuszczony do swobodnego obrotu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4I</w:t>
            </w:r>
          </w:p>
        </w:tc>
        <w:tc>
          <w:tcPr>
            <w:tcW w:w="6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- z czego: Zapasy ogółem na dzień 31 grudnia obejmujące ilości z własnego przywozu lub z produkcji własnej, które zostały wcześniej wprowadzone do obrotu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 szczególności własny przywóz dopuszczony do swobodnego obrotu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>4I = 4G - 4H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4J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proofErr w:type="gramStart"/>
            <w:r>
              <w:rPr>
                <w:color w:val="000000"/>
              </w:rPr>
              <w:t>- z czego</w:t>
            </w:r>
            <w:proofErr w:type="gramEnd"/>
            <w:r>
              <w:rPr>
                <w:color w:val="000000"/>
              </w:rPr>
              <w:t>: Inne zapasy na dzień 31 grudnia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 szczególności zakupione wewnątrz Unii 4J = 4F - 4G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 xml:space="preserve">INFORMACJE, KTÓRE NALEŻY PODAĆ W </w:t>
            </w:r>
            <w:r>
              <w:rPr>
                <w:b/>
                <w:color w:val="000000"/>
              </w:rPr>
              <w:lastRenderedPageBreak/>
              <w:t>SPRAWOZDANIU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4K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poddana regeneracji przez samo przedsiębiorstwo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4L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poddana recyklingowi </w:t>
            </w:r>
            <w:r>
              <w:rPr>
                <w:color w:val="000000"/>
              </w:rPr>
              <w:t>przez samo przedsiębiorstwo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4M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Całkowita ilość fizycznie wprowadzona do obrotu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4M = 1E + 2 A - 2B - 3B + 4C - 4H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5: ilości do zastosowań wyłączonych na mocy art. 15 ust. 2; do wypełnienia przez producentów i </w:t>
      </w:r>
      <w:r>
        <w:rPr>
          <w:b/>
          <w:color w:val="000000"/>
        </w:rPr>
        <w:t xml:space="preserve">importerów </w:t>
      </w:r>
      <w:proofErr w:type="spellStart"/>
      <w:r>
        <w:rPr>
          <w:b/>
          <w:color w:val="000000"/>
        </w:rPr>
        <w:t>wodorofluorowęglowodorów</w:t>
      </w:r>
      <w:proofErr w:type="spellEnd"/>
      <w:r>
        <w:rPr>
          <w:b/>
          <w:color w:val="000000"/>
        </w:rPr>
        <w:t xml:space="preserve"> - art. 19 ust. 1, 2, 3 i 4 rozporządzenia (UE) nr 517/2014 oraz pkt 1 lit. b) i pkt 2 lit. a)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</w:t>
      </w:r>
      <w:r>
        <w:rPr>
          <w:color w:val="000000"/>
        </w:rPr>
        <w:t>owadzonej w 2014 r. (najpóźniej do dnia 31 marca 2015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 należy podać w tonach metrycznych, z dokładnością do trzeciego miejsca po przecinku, oddzielnie dla każdego </w:t>
      </w:r>
      <w:proofErr w:type="spellStart"/>
      <w:r>
        <w:rPr>
          <w:color w:val="000000"/>
        </w:rPr>
        <w:t>wodorofluorowęglowodoru</w:t>
      </w:r>
      <w:proofErr w:type="spellEnd"/>
      <w:r>
        <w:rPr>
          <w:color w:val="000000"/>
        </w:rPr>
        <w:t xml:space="preserve"> (dla gazów wymienionych w sekcji </w:t>
      </w:r>
      <w:r>
        <w:rPr>
          <w:color w:val="000000"/>
        </w:rPr>
        <w:t xml:space="preserve">1 </w:t>
      </w:r>
      <w:r>
        <w:rPr>
          <w:color w:val="1B1B1B"/>
        </w:rPr>
        <w:t>załącznika I</w:t>
      </w:r>
      <w:r>
        <w:rPr>
          <w:color w:val="000000"/>
        </w:rPr>
        <w:t xml:space="preserve"> do rozporządzenia (UE) nr 517/2014, dla mieszanin lub </w:t>
      </w:r>
      <w:proofErr w:type="spellStart"/>
      <w:r>
        <w:rPr>
          <w:color w:val="000000"/>
        </w:rPr>
        <w:t>przedmieszek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poliolowych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zawierających co</w:t>
      </w:r>
      <w:proofErr w:type="gramEnd"/>
      <w:r>
        <w:rPr>
          <w:color w:val="000000"/>
        </w:rPr>
        <w:t xml:space="preserve"> najmniej jeden z tych gazów).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26"/>
        <w:gridCol w:w="3609"/>
        <w:gridCol w:w="4822"/>
      </w:tblGrid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5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6135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5A</w:t>
            </w:r>
          </w:p>
        </w:tc>
        <w:tc>
          <w:tcPr>
            <w:tcW w:w="5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objęta przywozem do Unii w celu zniszczenia</w:t>
            </w:r>
          </w:p>
        </w:tc>
        <w:tc>
          <w:tcPr>
            <w:tcW w:w="6135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Należy </w:t>
            </w:r>
            <w:r>
              <w:rPr>
                <w:color w:val="000000"/>
              </w:rPr>
              <w:t>podać nazwę przedsiębiorstwa/przedsiębiorstw przeprowadzającego/przeprowadzających zniszczenie. Importerzy, którzy sami również przeprowadzają zniszczenie, podają zniszczone ilości w sekcji 8 sprawozdania.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5B</w:t>
            </w:r>
          </w:p>
        </w:tc>
        <w:tc>
          <w:tcPr>
            <w:tcW w:w="5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stosowana przez producenta lub </w:t>
            </w:r>
            <w:proofErr w:type="gramStart"/>
            <w:r>
              <w:rPr>
                <w:color w:val="000000"/>
              </w:rPr>
              <w:t>importera</w:t>
            </w:r>
            <w:r>
              <w:rPr>
                <w:color w:val="000000"/>
              </w:rPr>
              <w:t xml:space="preserve"> jako</w:t>
            </w:r>
            <w:proofErr w:type="gramEnd"/>
            <w:r>
              <w:rPr>
                <w:color w:val="000000"/>
              </w:rPr>
              <w:t xml:space="preserve"> substrat lub dostarczana do przedsiębiorstw bezpośrednio przez producenta lub importera w celu stosowania jako substrat</w:t>
            </w:r>
          </w:p>
        </w:tc>
        <w:tc>
          <w:tcPr>
            <w:tcW w:w="6135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podać nazwę/nazwy przedsiębiorstwa/przedsiębiorstw stosujących substraty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>Producenci lub importerzy, którzy sami również sto</w:t>
            </w:r>
            <w:r>
              <w:rPr>
                <w:color w:val="000000"/>
              </w:rPr>
              <w:t>sują substraty, podają informacje na temat stosowania przez nich substratów w sekcji 7 sprawozdania.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5C</w:t>
            </w:r>
          </w:p>
        </w:tc>
        <w:tc>
          <w:tcPr>
            <w:tcW w:w="5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dostarczona bezpośrednio do przedsiębiorstw w celu wywozu z Unii, w przypadku, gdy ilości te nie zostały następnie udostępnione innej stronie w U</w:t>
            </w:r>
            <w:r>
              <w:rPr>
                <w:color w:val="000000"/>
              </w:rPr>
              <w:t>nii przed wywozem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 xml:space="preserve">Na zasadzie dobrowolności, ilości dostarczone bezpośrednio do przedsiębiorstw w celu wytwarzania urządzeń w Unii, w </w:t>
            </w:r>
            <w:proofErr w:type="gramStart"/>
            <w:r>
              <w:rPr>
                <w:color w:val="000000"/>
              </w:rPr>
              <w:t>przypadku gdy</w:t>
            </w:r>
            <w:proofErr w:type="gramEnd"/>
            <w:r>
              <w:rPr>
                <w:color w:val="000000"/>
              </w:rPr>
              <w:t xml:space="preserve"> takie urządzenia są następnie bezpośrednio objęte wywozem z Unii</w:t>
            </w:r>
          </w:p>
        </w:tc>
        <w:tc>
          <w:tcPr>
            <w:tcW w:w="6135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Należy podać nazwę/nazwy </w:t>
            </w:r>
            <w:r>
              <w:rPr>
                <w:color w:val="000000"/>
              </w:rPr>
              <w:t>przedsiębiorstwa/przedsiębiorstw prowadzących wywóz. Należy przedstawić dokument weryfikacyjny.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 xml:space="preserve">Należy podać tylko </w:t>
            </w:r>
            <w:proofErr w:type="spellStart"/>
            <w:r>
              <w:rPr>
                <w:color w:val="000000"/>
              </w:rPr>
              <w:t>wodorofluorowęglowodory</w:t>
            </w:r>
            <w:proofErr w:type="spellEnd"/>
            <w:r>
              <w:rPr>
                <w:color w:val="000000"/>
              </w:rPr>
              <w:t xml:space="preserve"> luzem, a nie ilości zawarte w produktach lub urządzeniach. Do celów informacyjnych można przekazać dane dotyczące dos</w:t>
            </w:r>
            <w:r>
              <w:rPr>
                <w:color w:val="000000"/>
              </w:rPr>
              <w:t>taw w celu produkcji urządzeń objętych bezpośrednim wywozem; należy określić producenta urządzeń objętych wywozem oraz ilości, które zostały wywiezione.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5D</w:t>
            </w:r>
          </w:p>
        </w:tc>
        <w:tc>
          <w:tcPr>
            <w:tcW w:w="5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dostarczona bezpośrednio w celu stosowania w sprzęcie wojskowym</w:t>
            </w:r>
          </w:p>
        </w:tc>
        <w:tc>
          <w:tcPr>
            <w:tcW w:w="6135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podać nazwę przedsiębi</w:t>
            </w:r>
            <w:r>
              <w:rPr>
                <w:color w:val="000000"/>
              </w:rPr>
              <w:t>orstwa otrzymującego ilości w celu stosowania w sprzęcie wojskowym.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5E</w:t>
            </w:r>
          </w:p>
        </w:tc>
        <w:tc>
          <w:tcPr>
            <w:tcW w:w="5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dostarczona bezpośrednio do przedsiębiorstwa do stosowania w trawieniu materiałów półprzewodnikowych lub w czyszczeniu komór do wytrącania z fazy gazowej </w:t>
            </w:r>
            <w:r>
              <w:rPr>
                <w:color w:val="000000"/>
              </w:rPr>
              <w:lastRenderedPageBreak/>
              <w:t xml:space="preserve">pozostałości substancji </w:t>
            </w:r>
            <w:r>
              <w:rPr>
                <w:color w:val="000000"/>
              </w:rPr>
              <w:t>chemicznych w sektorze produkcji półprzewodników</w:t>
            </w:r>
          </w:p>
        </w:tc>
        <w:tc>
          <w:tcPr>
            <w:tcW w:w="6135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lastRenderedPageBreak/>
              <w:t>Należy podać nazwę producenta półprzewodników.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5F</w:t>
            </w:r>
          </w:p>
        </w:tc>
        <w:tc>
          <w:tcPr>
            <w:tcW w:w="5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dostarczona bezpośrednio do przedsiębiorstwa produkującego inhalatory ciśnieniowe z odmierzonym dozowaniem do celów podawania składników farmaceutyczn</w:t>
            </w:r>
            <w:r>
              <w:rPr>
                <w:color w:val="000000"/>
              </w:rPr>
              <w:t>ych</w:t>
            </w:r>
          </w:p>
        </w:tc>
        <w:tc>
          <w:tcPr>
            <w:tcW w:w="6135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podać nazwę producenta inhalatorów ciśnieniowych z odmierzonym dozowaniem do celów podawania składników farmaceutycznych.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6: Kategorie zastosowań gazów na potrzeby rynku UE; do wypełnienia przez producentów i importerów gazów - art. 19 </w:t>
      </w:r>
      <w:r>
        <w:rPr>
          <w:b/>
          <w:color w:val="000000"/>
        </w:rPr>
        <w:t>ust. 1 i 2 rozporządzenia (UE) nr 517/2014 oraz pkt 1 lit. a) i pkt 2 lit. a)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2014 r. (najpóźniej do dnia 31 marca 201</w:t>
      </w:r>
      <w:r>
        <w:rPr>
          <w:color w:val="000000"/>
        </w:rPr>
        <w:t>5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gazów należy podać w tonach metrycznych, z dokładnością do trzeciego miejsca po przecinku, oddzielnie dla każdego gazu wymienionego w </w:t>
      </w:r>
      <w:r>
        <w:rPr>
          <w:color w:val="1B1B1B"/>
        </w:rPr>
        <w:t>załączniku I</w:t>
      </w:r>
      <w:r>
        <w:rPr>
          <w:color w:val="000000"/>
        </w:rPr>
        <w:t xml:space="preserve">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 lub dla mieszaniny </w:t>
      </w:r>
      <w:proofErr w:type="gramStart"/>
      <w:r>
        <w:rPr>
          <w:color w:val="000000"/>
        </w:rPr>
        <w:t>zawierającej co</w:t>
      </w:r>
      <w:proofErr w:type="gramEnd"/>
      <w:r>
        <w:rPr>
          <w:color w:val="000000"/>
        </w:rPr>
        <w:t xml:space="preserve"> najmn</w:t>
      </w:r>
      <w:r>
        <w:rPr>
          <w:color w:val="000000"/>
        </w:rPr>
        <w:t>iej jeden z tych gazów.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18"/>
        <w:gridCol w:w="3643"/>
        <w:gridCol w:w="4696"/>
      </w:tblGrid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6A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Wywóz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przypadku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ilość podawana w niniejszej rubryce [6A] jest równa ilości podawanej w sekcji 5 sprawozdania - ilość dostarczana bezpośrednio do </w:t>
            </w:r>
            <w:r>
              <w:rPr>
                <w:color w:val="000000"/>
              </w:rPr>
              <w:t xml:space="preserve">przedsiębiorstw w celu wywozu z Unii, w </w:t>
            </w:r>
            <w:proofErr w:type="gramStart"/>
            <w:r>
              <w:rPr>
                <w:color w:val="000000"/>
              </w:rPr>
              <w:t>przypadku gdy</w:t>
            </w:r>
            <w:proofErr w:type="gramEnd"/>
            <w:r>
              <w:rPr>
                <w:color w:val="000000"/>
              </w:rPr>
              <w:t xml:space="preserve"> ilości te nie zostały następnie udostępnione przed wywozem innym stronom w Unii - lub jest od niej większa [5C].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6B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Niszczenie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przypadku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ilość podawana w niniejszej rubryce [</w:t>
            </w:r>
            <w:r>
              <w:rPr>
                <w:color w:val="000000"/>
              </w:rPr>
              <w:t>6B] jest równa ilości podawanej w sekcji 5 sprawozdania - ilość objęta przywozem do Unii w celu zniszczenia - lub jest od niej większa [5A].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6C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Sprzęt wojskowy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przypadku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ilość podawana w niniejszej rubryce [6C] jest równa ilości</w:t>
            </w:r>
            <w:r>
              <w:rPr>
                <w:color w:val="000000"/>
              </w:rPr>
              <w:t xml:space="preserve"> podawanej w sekcji 5 sprawozdania - ilość dostarczana bezpośrednio w celu stosowania w sprzęcie wojskowym - lub jest od niej większa [5D].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6D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Urządzenia chłodnicze, klimatyzacyjne i pompy ciepła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6E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Inne ciecze będące nośnikami ciepła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6F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Produkcja </w:t>
            </w:r>
            <w:r>
              <w:rPr>
                <w:color w:val="000000"/>
              </w:rPr>
              <w:t>pianek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6G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Produkcja </w:t>
            </w:r>
            <w:proofErr w:type="spellStart"/>
            <w:r>
              <w:rPr>
                <w:color w:val="000000"/>
              </w:rPr>
              <w:t>przedmieszek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poliolowych</w:t>
            </w:r>
            <w:proofErr w:type="spellEnd"/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6H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Ochrona przeciwpożarowa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6I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Aerozole - medyczne inhalatory z dozownikiem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przypadku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ilość podawana w niniejszej rubryce [6I] jest równa ilości podawanej w sekcji 5 sprawozdania </w:t>
            </w:r>
            <w:r>
              <w:rPr>
                <w:color w:val="000000"/>
              </w:rPr>
              <w:t xml:space="preserve">- ilość dostarczana bezpośrednio do przedsiębiorstwa produkującego inhalatory ciśnieniowe z odmierzonym dozowaniem do celów podawania składników farmaceutycznych - lub jest od niej </w:t>
            </w:r>
            <w:r>
              <w:rPr>
                <w:color w:val="000000"/>
              </w:rPr>
              <w:lastRenderedPageBreak/>
              <w:t>większa [5F].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6 J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Aerozole - inne zastosowania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 K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Rozpuszczalniki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6L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Substrat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przypadku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ilość podawana w niniejszej rubryce [6L] jest równa ilości podawanej w sekcji 5 sprawozdania - ilość stosowana przez </w:t>
            </w:r>
            <w:proofErr w:type="gramStart"/>
            <w:r>
              <w:rPr>
                <w:color w:val="000000"/>
              </w:rPr>
              <w:t>producenta jako</w:t>
            </w:r>
            <w:proofErr w:type="gramEnd"/>
            <w:r>
              <w:rPr>
                <w:color w:val="000000"/>
              </w:rPr>
              <w:t xml:space="preserve"> substrat lub dostarczana do przedsiębiorstw bezpośrednio przez producenta lub</w:t>
            </w:r>
            <w:r>
              <w:rPr>
                <w:color w:val="000000"/>
              </w:rPr>
              <w:t xml:space="preserve"> importera w celu stosowania jako substrat - lub jest od niej większa [5B].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6M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Produkcja półprzewodników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przypadku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ilość podawana w niniejszej rubryce [6M] jest równa ilości podawanej w sekcji 5 sprawozdania - ilość dostarczana </w:t>
            </w:r>
            <w:r>
              <w:rPr>
                <w:color w:val="000000"/>
              </w:rPr>
              <w:t>bezpośrednio do przedsiębiorstwa do stosowania w trawieniu materiałów półprzewodnikowych lub w czyszczeniu komór do wytrącania z fazy gazowej pozostałości substancji chemicznych w sektorze produkcji półprzewodników - lub jest od niej większa [5E].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6N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Produkcja systemów fotowoltaicznych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6O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Produkcja innych elementów elektronicznych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6P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Rozdzielnice elektryczne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6Q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Akceleratory cząstek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6R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Proces odlewania ciśnieniowego magnezu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6S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Anestezjologia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6T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Inne lub nieznane zastosowania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Składający sprawozdanie określa inne zastosowania i wyjaśnia nieznane zastosowania.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6U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Wyciek podczas przechowywania, transportu lub transferu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6V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Korekty księgowe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 </w:t>
            </w:r>
            <w:proofErr w:type="gramStart"/>
            <w:r>
              <w:rPr>
                <w:color w:val="000000"/>
              </w:rPr>
              <w:t>przypadku gdy</w:t>
            </w:r>
            <w:proofErr w:type="gramEnd"/>
            <w:r>
              <w:rPr>
                <w:color w:val="000000"/>
              </w:rPr>
              <w:t xml:space="preserve"> takie ilości są </w:t>
            </w:r>
            <w:r>
              <w:rPr>
                <w:color w:val="000000"/>
              </w:rPr>
              <w:t>zgłaszane, należy podać wyjaśnienie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OBLICZENIA ILOŚCI GENEROWANE AUTOMATYCZNIE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6W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Całkowite ilości dla kategorii zastosowań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6W = 6A + 6B + 6C + 6D + 6E + 6F + 6G + 6H + 6I + 6J +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>6K + 6L + 6M + 6N + 6O + 6P + 6Q + 6R + 6S + 6T + 6U + 6V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 xml:space="preserve">Jeżeli dane są </w:t>
            </w:r>
            <w:r>
              <w:rPr>
                <w:color w:val="000000"/>
              </w:rPr>
              <w:t>przekazywane w sposób prawidłowy, całkowite ilości dla kategorii zastosowań [6W] odpowiadają obliczonej całkowitej ilości dostarczonej na rynek Unii [6X].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6X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Całkowita ilość dostarczona na rynek Unii</w:t>
            </w:r>
          </w:p>
        </w:tc>
        <w:tc>
          <w:tcPr>
            <w:tcW w:w="659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6X = 1E + 2A - 3B + 4B - 4G + 4K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7: Do </w:t>
      </w:r>
      <w:r>
        <w:rPr>
          <w:b/>
          <w:color w:val="000000"/>
        </w:rPr>
        <w:t>wypełnienia przez stosujących substraty gazów - art. 19 ust. 3 rozporządzenia (UE) nr 517/2014 oraz pkt 5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2014 r. (naj</w:t>
      </w:r>
      <w:r>
        <w:rPr>
          <w:color w:val="000000"/>
        </w:rPr>
        <w:t>później do dnia 31 marca 2015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gazów należy podać w tonach metrycznych, z dokładnością do trzeciego miejsca po przecinku, oddzielnie dla każdego gazu wymienionego w </w:t>
      </w:r>
      <w:r>
        <w:rPr>
          <w:color w:val="1B1B1B"/>
        </w:rPr>
        <w:t>załączniku I</w:t>
      </w:r>
      <w:r>
        <w:rPr>
          <w:color w:val="000000"/>
        </w:rPr>
        <w:t xml:space="preserve">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 lub dla mies</w:t>
      </w:r>
      <w:r>
        <w:rPr>
          <w:color w:val="000000"/>
        </w:rPr>
        <w:t xml:space="preserve">zaniny </w:t>
      </w:r>
      <w:proofErr w:type="gramStart"/>
      <w:r>
        <w:rPr>
          <w:color w:val="000000"/>
        </w:rPr>
        <w:t>zawierającej co</w:t>
      </w:r>
      <w:proofErr w:type="gramEnd"/>
      <w:r>
        <w:rPr>
          <w:color w:val="000000"/>
        </w:rPr>
        <w:t xml:space="preserve"> najmniej jeden z tych gazów.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W tej rubryce należy podać jedynie ilości rzeczywiście </w:t>
      </w:r>
      <w:proofErr w:type="gramStart"/>
      <w:r>
        <w:rPr>
          <w:color w:val="000000"/>
        </w:rPr>
        <w:t>wykorzystane jako</w:t>
      </w:r>
      <w:proofErr w:type="gramEnd"/>
      <w:r>
        <w:rPr>
          <w:color w:val="000000"/>
        </w:rPr>
        <w:t xml:space="preserve"> substrat.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W </w:t>
      </w:r>
      <w:proofErr w:type="gramStart"/>
      <w:r>
        <w:rPr>
          <w:color w:val="000000"/>
        </w:rPr>
        <w:t>przypadku gdy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wodorofluorowęglowodory</w:t>
      </w:r>
      <w:proofErr w:type="spellEnd"/>
      <w:r>
        <w:rPr>
          <w:color w:val="000000"/>
        </w:rPr>
        <w:t xml:space="preserve"> (gazy wymienione w sekcji 1 </w:t>
      </w:r>
      <w:r>
        <w:rPr>
          <w:color w:val="1B1B1B"/>
        </w:rPr>
        <w:t>załącznika I</w:t>
      </w:r>
      <w:r>
        <w:rPr>
          <w:color w:val="000000"/>
        </w:rPr>
        <w:t xml:space="preserve"> do rozporządzenia (UE) nr 517/2014 lub m</w:t>
      </w:r>
      <w:r>
        <w:rPr>
          <w:color w:val="000000"/>
        </w:rPr>
        <w:t xml:space="preserve">ieszanina zawierająca co najmniej jeden z tych gazów) zostały wyprodukowane lub objęte przywozem przez przedsiębiorstwo stosujące je jako substrat, wykorzystane ilości należy podać również w sekcji 5 sprawozdania. W </w:t>
      </w:r>
      <w:proofErr w:type="gramStart"/>
      <w:r>
        <w:rPr>
          <w:color w:val="000000"/>
        </w:rPr>
        <w:t>przypadku gdy</w:t>
      </w:r>
      <w:proofErr w:type="gramEnd"/>
      <w:r>
        <w:rPr>
          <w:color w:val="000000"/>
        </w:rPr>
        <w:t xml:space="preserve"> przedsiębiorstwo wyproduko</w:t>
      </w:r>
      <w:r>
        <w:rPr>
          <w:color w:val="000000"/>
        </w:rPr>
        <w:t>wało te gazy lub dokonało ich przywozu, a następnie sprzedało je innym przedsiębiorstwom do stosowania jako substrat, dostarczone ilości są podawane tylko w sekcji 5 sprawozdania, wraz z nazwą przedsiębiorstwa stosującego je jako substrat.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54"/>
        <w:gridCol w:w="5350"/>
        <w:gridCol w:w="2953"/>
      </w:tblGrid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</w:t>
            </w:r>
            <w:r>
              <w:rPr>
                <w:b/>
                <w:color w:val="000000"/>
              </w:rPr>
              <w:t>RE NALEŻY PODAĆ W SPRAWOZDANIU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7A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</w:t>
            </w:r>
            <w:proofErr w:type="gramStart"/>
            <w:r>
              <w:rPr>
                <w:color w:val="000000"/>
              </w:rPr>
              <w:t>stosowana jako</w:t>
            </w:r>
            <w:proofErr w:type="gramEnd"/>
            <w:r>
              <w:rPr>
                <w:color w:val="000000"/>
              </w:rPr>
              <w:t xml:space="preserve"> substrat przez samo przedsiębiorstwo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8: Do wypełnienia przez przedsiębiorstwa, które przeprowadziły zniszczenie gazów - art. 19 ust. 2 rozporządzenia (UE) nr 517/2014 oraz pkt 4 </w:t>
      </w:r>
      <w:r>
        <w:rPr>
          <w:b/>
          <w:color w:val="000000"/>
        </w:rPr>
        <w:t>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2014 r. (najpóźniej do dnia 31 marca 2015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Ilości gazów należy podać w tonach metrycznych, z dokładnością do trzec</w:t>
      </w:r>
      <w:r>
        <w:rPr>
          <w:color w:val="000000"/>
        </w:rPr>
        <w:t xml:space="preserve">iego miejsca po przecinku, oddzielnie dla każdego fluorowanego gazu cieplarnianego wymienionego w </w:t>
      </w:r>
      <w:r>
        <w:rPr>
          <w:color w:val="1B1B1B"/>
        </w:rPr>
        <w:t>załączniku I</w:t>
      </w:r>
      <w:r>
        <w:rPr>
          <w:color w:val="000000"/>
        </w:rPr>
        <w:t xml:space="preserve">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 lub dla mieszaniny </w:t>
      </w:r>
      <w:proofErr w:type="gramStart"/>
      <w:r>
        <w:rPr>
          <w:color w:val="000000"/>
        </w:rPr>
        <w:t>zawierającej co</w:t>
      </w:r>
      <w:proofErr w:type="gramEnd"/>
      <w:r>
        <w:rPr>
          <w:color w:val="000000"/>
        </w:rPr>
        <w:t xml:space="preserve"> najmniej jeden z tych gazów.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Należy podać całkowite ilo</w:t>
      </w:r>
      <w:r>
        <w:rPr>
          <w:color w:val="000000"/>
        </w:rPr>
        <w:t>ści zniszczone we własnym zakresie przez przedsiębiorstwo składające sprawozdanie. Przedsiębiorstwa będące producentami podają również w sekcji 1 sprawozdania ilości z produkcji własnej, które zostały zniszczone.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Przedsiębiorstwa będące importerami </w:t>
      </w:r>
      <w:proofErr w:type="spellStart"/>
      <w:r>
        <w:rPr>
          <w:color w:val="000000"/>
        </w:rPr>
        <w:t>wodorof</w:t>
      </w:r>
      <w:r>
        <w:rPr>
          <w:color w:val="000000"/>
        </w:rPr>
        <w:t>luorowęglowodorów</w:t>
      </w:r>
      <w:proofErr w:type="spellEnd"/>
      <w:r>
        <w:rPr>
          <w:color w:val="000000"/>
        </w:rPr>
        <w:t xml:space="preserve"> (gazy wymienione w sekcji 1 </w:t>
      </w:r>
      <w:r>
        <w:rPr>
          <w:color w:val="1B1B1B"/>
        </w:rPr>
        <w:t>załącznika I</w:t>
      </w:r>
      <w:r>
        <w:rPr>
          <w:color w:val="000000"/>
        </w:rPr>
        <w:t xml:space="preserve"> do rozporządzenia (UE) nr 517/2014 lub mieszanina </w:t>
      </w:r>
      <w:proofErr w:type="gramStart"/>
      <w:r>
        <w:rPr>
          <w:color w:val="000000"/>
        </w:rPr>
        <w:t>zawierająca co</w:t>
      </w:r>
      <w:proofErr w:type="gramEnd"/>
      <w:r>
        <w:rPr>
          <w:color w:val="000000"/>
        </w:rPr>
        <w:t xml:space="preserve"> najmniej jeden z tych gazów) podają w sekcji 5 sprawozdania ilości objęte przywozem, które zostały zniszczone.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W tej rubryce nie nal</w:t>
      </w:r>
      <w:r>
        <w:rPr>
          <w:color w:val="000000"/>
        </w:rPr>
        <w:t>eży podawać ilości przekazanych innym przedsiębiorstwom w UE w celu zniszczenia. Ilości objęte wywozem w celu zniszczenia poza granicami UE należy podać w sekcji 3F.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41"/>
        <w:gridCol w:w="5251"/>
        <w:gridCol w:w="3065"/>
      </w:tblGrid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8A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zniszczona przez </w:t>
            </w:r>
            <w:r>
              <w:rPr>
                <w:color w:val="000000"/>
              </w:rPr>
              <w:t>przedsiębiorstwo składające sprawozdanie poprzez spalanie w wysokiej temperaturze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8B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zniszczona przez przedsiębiorstwo składające sprawozdanie poprzez termiczną desorpcję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8C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zniszczona przez przedsiębiorstwo składające sprawozdanie poprzez </w:t>
            </w:r>
            <w:r>
              <w:rPr>
                <w:color w:val="000000"/>
              </w:rPr>
              <w:t>zastosowanie innych technologii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zastosowane technologie niszczenia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8D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Całkowita ilość zniszczona przez samo przedsiębiorstwo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8D = 8A + 8B + 8C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8E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Zapasy na</w:t>
            </w:r>
            <w:r>
              <w:rPr>
                <w:color w:val="000000"/>
              </w:rPr>
              <w:t xml:space="preserve"> dzień 1 stycznia, które mają zostać zniszczone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8F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Zapasy na dzień 31 grudnia, które mają zostać zniszczone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9: Do wypełnienia przez producentów lub importerów, którzy upoważnili do wykorzystania kontyngentów na </w:t>
      </w:r>
      <w:proofErr w:type="spellStart"/>
      <w:r>
        <w:rPr>
          <w:b/>
          <w:color w:val="000000"/>
        </w:rPr>
        <w:t>wodorofluorowęglowodory</w:t>
      </w:r>
      <w:proofErr w:type="spellEnd"/>
      <w:r>
        <w:rPr>
          <w:b/>
          <w:color w:val="000000"/>
        </w:rPr>
        <w:t xml:space="preserve"> przedsiębi</w:t>
      </w:r>
      <w:r>
        <w:rPr>
          <w:b/>
          <w:color w:val="000000"/>
        </w:rPr>
        <w:t xml:space="preserve">orstwa wprowadzające do obrotu urządzenia chłodnicze, klimatyzacyjne oraz pompy ciepła napełnione </w:t>
      </w:r>
      <w:proofErr w:type="spellStart"/>
      <w:r>
        <w:rPr>
          <w:b/>
          <w:color w:val="000000"/>
        </w:rPr>
        <w:t>wodorofluorowęglowodorami</w:t>
      </w:r>
      <w:proofErr w:type="spellEnd"/>
      <w:r>
        <w:rPr>
          <w:b/>
          <w:color w:val="000000"/>
        </w:rPr>
        <w:t xml:space="preserve"> - art. 19 ust. 1 rozporządzenia (UE) nr 517/2014 oraz pkt 1 lit. e) i pkt 2 lit. c) załącznika VII do rozporządzenia (UE) nr 517/201</w:t>
      </w:r>
      <w:r>
        <w:rPr>
          <w:b/>
          <w:color w:val="000000"/>
        </w:rPr>
        <w:t>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2015 r. (najpóźniej do dnia 31 marca 2016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należy podawać w tonach </w:t>
      </w:r>
      <w:proofErr w:type="gramStart"/>
      <w:r>
        <w:rPr>
          <w:color w:val="000000"/>
        </w:rPr>
        <w:t>ekwiwalentów CO</w:t>
      </w:r>
      <w:proofErr w:type="gramEnd"/>
      <w:r>
        <w:rPr>
          <w:color w:val="000000"/>
          <w:vertAlign w:val="subscript"/>
        </w:rPr>
        <w:t>2</w:t>
      </w:r>
      <w:r>
        <w:rPr>
          <w:color w:val="000000"/>
        </w:rPr>
        <w:t xml:space="preserve"> z dokładnością do 1 tony ekwiwalentu CO</w:t>
      </w:r>
      <w:r>
        <w:rPr>
          <w:color w:val="000000"/>
          <w:vertAlign w:val="subscript"/>
        </w:rPr>
        <w:t>2</w:t>
      </w:r>
      <w:r>
        <w:rPr>
          <w:color w:val="000000"/>
        </w:rPr>
        <w:t>, bez rozróżnienia między poszc</w:t>
      </w:r>
      <w:r>
        <w:rPr>
          <w:color w:val="000000"/>
        </w:rPr>
        <w:t xml:space="preserve">zególnymi </w:t>
      </w:r>
      <w:proofErr w:type="spellStart"/>
      <w:r>
        <w:rPr>
          <w:color w:val="000000"/>
        </w:rPr>
        <w:t>wodorofluorowęglowodorami</w:t>
      </w:r>
      <w:proofErr w:type="spellEnd"/>
      <w:r>
        <w:rPr>
          <w:color w:val="000000"/>
        </w:rPr>
        <w:t>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Należy zgłosić wyłącznie upoważnienia wydane w trakcie roku kalendarzowego, w </w:t>
      </w:r>
      <w:proofErr w:type="gramStart"/>
      <w:r>
        <w:rPr>
          <w:color w:val="000000"/>
        </w:rPr>
        <w:t>odniesieniu do którego</w:t>
      </w:r>
      <w:proofErr w:type="gramEnd"/>
      <w:r>
        <w:rPr>
          <w:color w:val="000000"/>
        </w:rPr>
        <w:t xml:space="preserve"> przedkładane jest sprawozdanie.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26"/>
        <w:gridCol w:w="5145"/>
        <w:gridCol w:w="3186"/>
      </w:tblGrid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9A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Ilości objęte upoważnieniami na wykorzystanie kontyngentu przydzielonego producentom lub importerom fabrycznie napełnionych urządzeń, zgodnie z </w:t>
            </w:r>
            <w:r>
              <w:rPr>
                <w:color w:val="1B1B1B"/>
              </w:rPr>
              <w:t>art. 18 ust. 2</w:t>
            </w:r>
            <w:r>
              <w:rPr>
                <w:color w:val="000000"/>
              </w:rPr>
              <w:t xml:space="preserve"> rozporządzenia (UE) nr 517/2014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podać nazwę przedsiębiorstwa, które otrzymało upoważnienie</w:t>
            </w:r>
            <w:r>
              <w:rPr>
                <w:color w:val="000000"/>
              </w:rPr>
              <w:t>.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10: Do wypełnienia przez przedsiębiorstwa, którym przyznano kontyngent wyłącznie na podstawie deklaracji zgodnie z art. 16 ust. 2 rozporządzenia (UE) nr 517/2014 i które upoważniły do wykorzystania kontyngentów na </w:t>
      </w:r>
      <w:proofErr w:type="spellStart"/>
      <w:r>
        <w:rPr>
          <w:b/>
          <w:color w:val="000000"/>
        </w:rPr>
        <w:t>wodorofluorowęglowodory</w:t>
      </w:r>
      <w:proofErr w:type="spellEnd"/>
      <w:r>
        <w:rPr>
          <w:b/>
          <w:color w:val="000000"/>
        </w:rPr>
        <w:t xml:space="preserve"> przedsię</w:t>
      </w:r>
      <w:r>
        <w:rPr>
          <w:b/>
          <w:color w:val="000000"/>
        </w:rPr>
        <w:t xml:space="preserve">biorstwa wprowadzające do obrotu urządzenia chłodnicze, klimatyzacyjne oraz pompy ciepła napełnione </w:t>
      </w:r>
      <w:proofErr w:type="spellStart"/>
      <w:r>
        <w:rPr>
          <w:b/>
          <w:color w:val="000000"/>
        </w:rPr>
        <w:t>wodorofluorowęglo</w:t>
      </w:r>
      <w:proofErr w:type="spellEnd"/>
      <w:r>
        <w:rPr>
          <w:b/>
          <w:color w:val="000000"/>
        </w:rPr>
        <w:t xml:space="preserve">-odorami zgodnie z art. 18 ust. 2 akapit drugi rozporządzenia (UE) nr 517/2014 - art. 19 ust. 1 rozporządzenia (UE) nr 517/2014 oraz pkt 1 </w:t>
      </w:r>
      <w:r>
        <w:rPr>
          <w:b/>
          <w:color w:val="000000"/>
        </w:rPr>
        <w:t>lit. e) i pkt 2 lit. c)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2015 r. (najpóźniej do dnia 31 marca 2016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 należy podać w </w:t>
      </w:r>
      <w:r>
        <w:rPr>
          <w:color w:val="000000"/>
        </w:rPr>
        <w:t xml:space="preserve">tonach metrycznych, z dokładnością do trzeciego miejsca po przecinku, oddzielnie dla każdego </w:t>
      </w:r>
      <w:proofErr w:type="spellStart"/>
      <w:r>
        <w:rPr>
          <w:color w:val="000000"/>
        </w:rPr>
        <w:t>wodorofluorowęglowodoru</w:t>
      </w:r>
      <w:proofErr w:type="spellEnd"/>
      <w:r>
        <w:rPr>
          <w:color w:val="000000"/>
        </w:rPr>
        <w:t xml:space="preserve"> (gazy wymienione w sekcji 1 </w:t>
      </w:r>
      <w:r>
        <w:rPr>
          <w:color w:val="1B1B1B"/>
        </w:rPr>
        <w:t>załącznika I</w:t>
      </w:r>
      <w:r>
        <w:rPr>
          <w:color w:val="000000"/>
        </w:rPr>
        <w:t xml:space="preserve"> do rozporządzenia (UE) nr 517/2014 lub mieszanina </w:t>
      </w:r>
      <w:proofErr w:type="gramStart"/>
      <w:r>
        <w:rPr>
          <w:color w:val="000000"/>
        </w:rPr>
        <w:t>zawierająca co</w:t>
      </w:r>
      <w:proofErr w:type="gramEnd"/>
      <w:r>
        <w:rPr>
          <w:color w:val="000000"/>
        </w:rPr>
        <w:t xml:space="preserve"> najmniej jeden z tych gazów).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W niniejszej sekcji sprawozdania należy podać wszystkie dostawy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 związane z upoważnieniami zgłoszonymi w sekcji 9 sprawozdania, wydanymi w trakcie roku kalendarzowego, w </w:t>
      </w:r>
      <w:proofErr w:type="gramStart"/>
      <w:r>
        <w:rPr>
          <w:color w:val="000000"/>
        </w:rPr>
        <w:t>odniesieniu do którego</w:t>
      </w:r>
      <w:proofErr w:type="gramEnd"/>
      <w:r>
        <w:rPr>
          <w:color w:val="000000"/>
        </w:rPr>
        <w:t xml:space="preserve"> przedkładane jest sprawozdanie. Informa</w:t>
      </w:r>
      <w:r>
        <w:rPr>
          <w:color w:val="000000"/>
        </w:rPr>
        <w:t xml:space="preserve">cje te są niezbędne w celu sprawdzenia zgodności z </w:t>
      </w:r>
      <w:r>
        <w:rPr>
          <w:color w:val="1B1B1B"/>
        </w:rPr>
        <w:t>art. 18 ust. 2</w:t>
      </w:r>
      <w:r>
        <w:rPr>
          <w:color w:val="000000"/>
        </w:rPr>
        <w:t xml:space="preserve"> rozporządzenia (UE) nr 517/2014.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74"/>
        <w:gridCol w:w="4793"/>
        <w:gridCol w:w="3590"/>
      </w:tblGrid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10A</w:t>
            </w:r>
          </w:p>
        </w:tc>
        <w:tc>
          <w:tcPr>
            <w:tcW w:w="75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Ilość gazu dostarczanego do przedsiębiorstw, które zostały upoważnione do wprowadzenia do obrotu ur</w:t>
            </w:r>
            <w:r>
              <w:rPr>
                <w:color w:val="000000"/>
              </w:rPr>
              <w:t xml:space="preserve">ządzeń chłodniczych, klimatyzacyjnych oraz pomp ciepła napełnionych </w:t>
            </w:r>
            <w:proofErr w:type="spellStart"/>
            <w:r>
              <w:rPr>
                <w:color w:val="000000"/>
              </w:rPr>
              <w:t>wodorofluorowęglowodorami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0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podać nazwę/nazwy przedsiębiorstwa/przedsiębiorstw, które otrzymały upoważnienie.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>Wraz ze sprawozdaniem przedsiębiorstwa powinny przedstawić dodatkowe dow</w:t>
            </w:r>
            <w:r>
              <w:rPr>
                <w:color w:val="000000"/>
              </w:rPr>
              <w:t>ody na poparcie wszystkich fizycznych dostaw zgłoszonych w niniejszym dokumencie (np. faktury).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lastRenderedPageBreak/>
        <w:t>Sekcja 11: Do wypełnienia przez przedsiębiorstwa, które wprowadziły do obrotu gazy zawarte w produktach lub urządzeniach zgodnie z art. 19 ust. 4 rozporządzeni</w:t>
      </w:r>
      <w:r>
        <w:rPr>
          <w:b/>
          <w:color w:val="000000"/>
        </w:rPr>
        <w:t>a nr 517/2014 - art. 19 ust. 4 rozporządzenia (UE) nr 517/2014 oraz pkt 6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działalności prowadzonej w 2014 r. (najpóźniej do dnia 31 marca 2015 r.</w:t>
      </w:r>
      <w:r>
        <w:rPr>
          <w:color w:val="000000"/>
        </w:rPr>
        <w:t>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fluorowanych gazów cieplarnianych wymienionych w </w:t>
      </w:r>
      <w:r>
        <w:rPr>
          <w:color w:val="1B1B1B"/>
        </w:rPr>
        <w:t>załączniku I</w:t>
      </w:r>
      <w:r>
        <w:rPr>
          <w:color w:val="000000"/>
        </w:rPr>
        <w:t xml:space="preserve"> lub w </w:t>
      </w:r>
      <w:r>
        <w:rPr>
          <w:color w:val="1B1B1B"/>
        </w:rPr>
        <w:t>załączniku II</w:t>
      </w:r>
      <w:r>
        <w:rPr>
          <w:color w:val="000000"/>
        </w:rPr>
        <w:t xml:space="preserve"> do rozporządzenia (UE) nr 517/2014 lub mieszaniny </w:t>
      </w:r>
      <w:proofErr w:type="gramStart"/>
      <w:r>
        <w:rPr>
          <w:color w:val="000000"/>
        </w:rPr>
        <w:t>zawierające co</w:t>
      </w:r>
      <w:proofErr w:type="gramEnd"/>
      <w:r>
        <w:rPr>
          <w:color w:val="000000"/>
        </w:rPr>
        <w:t xml:space="preserve"> najmniej jeden z tych gazów zawartych w produktach i urządzeniach należy podać w tonach metrycznych z dokładnością do trzeciego miejsca po przecinku, w podziale na kategorie. Oprócz całkowit</w:t>
      </w:r>
      <w:r>
        <w:rPr>
          <w:color w:val="000000"/>
        </w:rPr>
        <w:t>ej ilości gazów należy podać liczbę jednostek w podziale na kategorie, o ile nie określono inaczej.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Producenci produktów i urządzeń wyprodukowanych w Unii nie zgłaszają produktów ani urządzeń, w </w:t>
      </w:r>
      <w:proofErr w:type="gramStart"/>
      <w:r>
        <w:rPr>
          <w:color w:val="000000"/>
        </w:rPr>
        <w:t>przypadku których</w:t>
      </w:r>
      <w:proofErr w:type="gramEnd"/>
      <w:r>
        <w:rPr>
          <w:color w:val="000000"/>
        </w:rPr>
        <w:t xml:space="preserve"> zawarte w nich gazy były uprzednio objęte p</w:t>
      </w:r>
      <w:r>
        <w:rPr>
          <w:color w:val="000000"/>
        </w:rPr>
        <w:t xml:space="preserve">rzywozem do Unii lub w niej wyprodukowane. W </w:t>
      </w:r>
      <w:proofErr w:type="gramStart"/>
      <w:r>
        <w:rPr>
          <w:color w:val="000000"/>
        </w:rPr>
        <w:t>przypadku gdy</w:t>
      </w:r>
      <w:proofErr w:type="gramEnd"/>
      <w:r>
        <w:rPr>
          <w:color w:val="000000"/>
        </w:rPr>
        <w:t xml:space="preserve"> producent wytwarza we własnym zakresie w Unii gaz luzem do stosowania w Unii w celu wytwarzania produktów i urządzeń, informacje dotyczące produkcji (sekcja 1 sprawozdania) obejmują podobnie odpowi</w:t>
      </w:r>
      <w:r>
        <w:rPr>
          <w:color w:val="000000"/>
        </w:rPr>
        <w:t>ednie ilości gazów, a zatem ilości tych nie należy podawać w niniejszej sekcji.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Importerzy produktów lub urządzeń zawierających fluorowane gazy cieplarniane wymienione w </w:t>
      </w:r>
      <w:r>
        <w:rPr>
          <w:color w:val="1B1B1B"/>
        </w:rPr>
        <w:t>załączniku I</w:t>
      </w:r>
      <w:r>
        <w:rPr>
          <w:color w:val="000000"/>
        </w:rPr>
        <w:t xml:space="preserve"> lub </w:t>
      </w:r>
      <w:r>
        <w:rPr>
          <w:color w:val="1B1B1B"/>
        </w:rPr>
        <w:t>II</w:t>
      </w:r>
      <w:r>
        <w:rPr>
          <w:color w:val="000000"/>
        </w:rPr>
        <w:t xml:space="preserve"> do rozporządzenia (UE) nr 517/2014 podają informacje na temat całości przywozu zawierającego gazy dopuszczonego przez organy celne do swobodnego obrotu w Unii. Przywozu </w:t>
      </w:r>
      <w:proofErr w:type="spellStart"/>
      <w:r>
        <w:rPr>
          <w:color w:val="000000"/>
        </w:rPr>
        <w:t>przedmieszek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poliolowych</w:t>
      </w:r>
      <w:proofErr w:type="spellEnd"/>
      <w:r>
        <w:rPr>
          <w:color w:val="000000"/>
        </w:rPr>
        <w:t xml:space="preserve"> nie należy zgłaszać w niniejszej sekcji, lecz w sekcji 2. W </w:t>
      </w:r>
      <w:proofErr w:type="gramStart"/>
      <w:r>
        <w:rPr>
          <w:color w:val="000000"/>
        </w:rPr>
        <w:t>p</w:t>
      </w:r>
      <w:r>
        <w:rPr>
          <w:color w:val="000000"/>
        </w:rPr>
        <w:t>rzypadku gdy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wodorofluorowęglowodory</w:t>
      </w:r>
      <w:proofErr w:type="spellEnd"/>
      <w:r>
        <w:rPr>
          <w:color w:val="000000"/>
        </w:rPr>
        <w:t xml:space="preserve"> (gazy wymienione w sekcji 1 </w:t>
      </w:r>
      <w:r>
        <w:rPr>
          <w:color w:val="1B1B1B"/>
        </w:rPr>
        <w:t>załącznika I</w:t>
      </w:r>
      <w:r>
        <w:rPr>
          <w:color w:val="000000"/>
        </w:rPr>
        <w:t xml:space="preserve"> do rozporządzenia (UE) nr 517/2014 lub mieszanina zawierająca co najmniej jeden z tych gazów) zawarte w urządzeniach chłodniczych, klimatyzacyjnych lub pompach ciepła objętych pr</w:t>
      </w:r>
      <w:r>
        <w:rPr>
          <w:color w:val="000000"/>
        </w:rPr>
        <w:t xml:space="preserve">zywozem zostały wcześniej objęte wywozem z Unii oraz były przedmiotem ograniczeń kontyngentowych dotyczących wprowadzania do obrotu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, należy to zgłosić w sekcji 12 sprawozdania w celu udowodnienia zgodności z </w:t>
      </w:r>
      <w:r>
        <w:rPr>
          <w:color w:val="1B1B1B"/>
        </w:rPr>
        <w:t>art. 14</w:t>
      </w:r>
      <w:r>
        <w:rPr>
          <w:color w:val="000000"/>
        </w:rPr>
        <w:t xml:space="preserve"> rozporządzenia </w:t>
      </w:r>
      <w:r>
        <w:rPr>
          <w:color w:val="000000"/>
        </w:rPr>
        <w:t>(UE) nr 517/2014.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Wymienione poniżej kategorie produktów lub urządzeń obejmują składniki przeznaczone do określonych kategorii produktów lub urządzeń.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Termin "projekt bezpośredni" odnosi się w szczególności do systemów powietrze-powietrze, woda-powietrze o</w:t>
      </w:r>
      <w:r>
        <w:rPr>
          <w:color w:val="000000"/>
        </w:rPr>
        <w:t>raz solanka-powietrze, termin "projekt pośredni" odnosi się w szczególności do systemów powietrze-woda, woda-woda, solanka-woda, w tym do wodnych pomp ciepła.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92"/>
        <w:gridCol w:w="743"/>
        <w:gridCol w:w="4122"/>
        <w:gridCol w:w="3500"/>
      </w:tblGrid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 w:rsidRPr="001C6CBC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chłodzenia/ogrzewania klimatyz</w:t>
            </w:r>
            <w:r>
              <w:rPr>
                <w:color w:val="000000"/>
              </w:rPr>
              <w:t>acyjnego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Pr="001C6CBC" w:rsidRDefault="001C6CBC">
            <w:pPr>
              <w:spacing w:after="0"/>
              <w:rPr>
                <w:lang w:val="en-US"/>
              </w:rPr>
            </w:pPr>
            <w:r w:rsidRPr="001C6CBC">
              <w:rPr>
                <w:color w:val="000000"/>
                <w:lang w:val="en-US"/>
              </w:rPr>
              <w:t>11A = 11A1 + 11A2 + 11A3 + 11A4 + 11A5 + 11A6 + 11A7 + 11A8 + 11A9 + 11A10 + 11A11 + 11A12 + 11A13 + 11A14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Pr="001C6CBC" w:rsidRDefault="00186F7A">
            <w:pPr>
              <w:rPr>
                <w:lang w:val="en-US"/>
              </w:rPr>
            </w:pP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chłodzenia/ogrzewania klimatyzacyjnego, projekt bezpośredni: </w:t>
            </w:r>
            <w:r>
              <w:rPr>
                <w:color w:val="000000"/>
              </w:rPr>
              <w:t>autonomiczne/monoblokowe jednostki przenośne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chłodzenia/ogrzewania klimatyzacyjnego, projekt bezpośredni: autonomiczne/monoblokowe jednostki dachowe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chłodzenia/ogrzewania klimatyzacyjnego, </w:t>
            </w:r>
            <w:r>
              <w:rPr>
                <w:color w:val="000000"/>
              </w:rPr>
              <w:lastRenderedPageBreak/>
              <w:t>projekt bezpośredni: autonomiczne/monoblokowe jednostki innego typu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lastRenderedPageBreak/>
              <w:t>Należy określić typ/typy urządzenia/urządzeń.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11A4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chłodzenia/ogrzewania klimatyzacyjnego, projekt bezpośredni: jednostki pojedyncze dzielone </w:t>
            </w:r>
            <w:proofErr w:type="gramStart"/>
            <w:r>
              <w:rPr>
                <w:color w:val="000000"/>
              </w:rPr>
              <w:t>zawierające co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najmniej 3 kg czynnika chłodniczego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11A5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chłodzenia/ogrzewania klimatyzacyjnego, projekt bezpośredni: jednostki pojedyncze dzielone zawierające mniej niż 3 kg czynnika chłodniczego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11A6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</w:t>
            </w:r>
            <w:r>
              <w:rPr>
                <w:color w:val="000000"/>
              </w:rPr>
              <w:t>nia klimatyzacyjnego, projekt bezpośredni: jednostki wieloczęściowe dzielone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11A7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chłodzenia/ogrzewania klimatyzacyjnego, projekt pośredni: jednostki autonomiczne/monoblokowe do zastosowań domowych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11A8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</w:t>
            </w:r>
            <w:r>
              <w:rPr>
                <w:color w:val="000000"/>
              </w:rPr>
              <w:t>chłodzenia/ogrzewania klimatyzacyjnego, projekt pośredni: jednostki autonomiczne/monoblokowe do zastosowań komercyjnych lub przemysłowych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11A9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chłodzenia/ogrzewania klimatyzacyjnego, projekt pośredni: jednostki </w:t>
            </w:r>
            <w:r>
              <w:rPr>
                <w:color w:val="000000"/>
              </w:rPr>
              <w:t>autonomiczne/monoblokowe do innych zastosowań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planowane zastosowanie/zastosowania.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11A10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chłodzenia/ogrzewania klimatyzacyjnego, projekt pośredni: jednostki dzielone do zastosowań domowych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11A11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</w:t>
            </w:r>
            <w:r>
              <w:rPr>
                <w:color w:val="000000"/>
              </w:rPr>
              <w:t>urządzenia chłodzenia/ogrzewania klimatyzacyjnego, projekt pośredni: jednostki dzielone do zastosowań komercyjnych lub przemysłowych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11A12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chłodzenia/ogrzewania klimatyzacyjnego, projekt pośredni: jednostki dzielone do innych zast</w:t>
            </w:r>
            <w:r>
              <w:rPr>
                <w:color w:val="000000"/>
              </w:rPr>
              <w:t>osowań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planowane zastosowanie/zastosowania.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11A13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chłodzenia/ogrzewania klimatyzacyjnego, projekt bezpośredni i pośredni: jednostki autonomiczne/monoblokowe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11A14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chłodzenia/ogrzewania </w:t>
            </w:r>
            <w:r>
              <w:rPr>
                <w:color w:val="000000"/>
              </w:rPr>
              <w:t xml:space="preserve">klimatyzacyjnego, projekt bezpośredni i pośredni: jednostki </w:t>
            </w:r>
            <w:r>
              <w:rPr>
                <w:color w:val="000000"/>
              </w:rPr>
              <w:lastRenderedPageBreak/>
              <w:t>dzielone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11B = 11B1 + 11B2 + 11B3 + 11B4 + 11B5 + 11B6 + 11B7 + 11B8 + 11B9 + 11B10 + 11B11 + 11B12 + 11B13 + 11B14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bezpośredni: jednostki autonomiczne/monoblokowe do zastosowań domowych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chłodnicze, projekt bezpośredni: jednostki </w:t>
            </w:r>
            <w:r>
              <w:rPr>
                <w:color w:val="000000"/>
              </w:rPr>
              <w:t>autonomiczne/monoblokowe do zastosowań komercyjnych lub przemysłowych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bezpośredni: jednostki autonomiczne/monoblokowe do innych zastosowań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planowane zastosowanie/zastosowania.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11B4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bezpośredni: jednostki dzielone do zastosowań komercyjnych lub przemysłowych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11B5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bezpośredni: jednostki dzielone do innych zastosowań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planowane zastos</w:t>
            </w:r>
            <w:r>
              <w:rPr>
                <w:color w:val="000000"/>
              </w:rPr>
              <w:t>owanie/zastosowania.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11B6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pośredni: jednostki autonomiczne/monoblokowe do zastosowań komercyjnych lub przemysłowych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11B7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pośredni: jednostki autonomiczne/monoblokowe</w:t>
            </w:r>
            <w:r>
              <w:rPr>
                <w:color w:val="000000"/>
              </w:rPr>
              <w:t xml:space="preserve"> do innych zastosowań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planowane zastosowanie/zastosowania.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11B8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pośredni: jednostki dzielone do zastosowań komercyjnych lub przemysłowych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11B9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chłodnicze, projekt </w:t>
            </w:r>
            <w:r>
              <w:rPr>
                <w:color w:val="000000"/>
              </w:rPr>
              <w:t>pośredni: jednostki dzielone do innych zastosowań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planowane zastosowanie/zastosowania.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11B10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 projekt bezpośredni i pośredni: jednostki autonomiczne/monoblokowe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11B11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chłodnicze,</w:t>
            </w:r>
            <w:r>
              <w:rPr>
                <w:color w:val="000000"/>
              </w:rPr>
              <w:t xml:space="preserve"> projekt bezpośredni i pośredni: jednostki dzielone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11B12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 lub ogrzewania procesowego, projekt bezpośredni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11B13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chłodzenia lub ogrzewania procesowego, projekt pośredni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11B14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</w:t>
            </w:r>
            <w:r>
              <w:rPr>
                <w:color w:val="000000"/>
              </w:rPr>
              <w:t>urządzenia chłodzenia lub ogrzewania procesowego, projekt bezpośredni i pośredni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11C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Suszarki z pompą ciepła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11D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Stacjonarne urządzenia ogrzewania/urządzenia klimatyzacyjne, w tym pompy ciepła, a także urządzenia </w:t>
            </w:r>
            <w:r>
              <w:rPr>
                <w:color w:val="000000"/>
              </w:rPr>
              <w:t>chłodnicze (HACR) do wszelkich innych celów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11D = 11D1 + 11D2 + 11D3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11D1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HACR do wszelkich innych celów, projekt bezpośredni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Należy określić typ/typy urządzenia/urządzeń oraz ich </w:t>
            </w:r>
            <w:r>
              <w:rPr>
                <w:color w:val="000000"/>
              </w:rPr>
              <w:t>przeznaczenie.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11D2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HACR do wszelkich innych celów, projekt pośredni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typ/typy urządzenia/urządzeń oraz ich przeznaczenie.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11D3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Stacjonarne urządzenia HACR do wszelkich innych celów, projekt bezpośredni i pośredni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typ/typy urządzenia/urządzeń oraz ich przeznaczenie.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11E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chłodnicze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11E = 11E1 + 11E2 + 11E3 + 11E4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11E1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chłodnicze</w:t>
            </w:r>
            <w:r>
              <w:rPr>
                <w:color w:val="000000"/>
              </w:rPr>
              <w:t xml:space="preserve"> do lekkich pojazdów dostawczych lub osobowych chłodni (np. </w:t>
            </w:r>
            <w:proofErr w:type="spellStart"/>
            <w:r>
              <w:rPr>
                <w:color w:val="000000"/>
              </w:rPr>
              <w:t>vanów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11E2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chłodnicze do pojazdów ciężarowych chłodni (w tym samochodów ciężarowych i przyczep)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11E3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chłodnicze do chłodniowców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11E4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Wszelkie inne </w:t>
            </w:r>
            <w:r>
              <w:rPr>
                <w:color w:val="000000"/>
              </w:rPr>
              <w:t>ruchome urządzenia chłodnicze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typ/typy urządzenia/urządzeń.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 w:rsidRPr="001C6CBC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klimatyzacyjne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Pr="001C6CBC" w:rsidRDefault="001C6CBC">
            <w:pPr>
              <w:spacing w:after="0"/>
              <w:rPr>
                <w:lang w:val="en-US"/>
              </w:rPr>
            </w:pPr>
            <w:r w:rsidRPr="001C6CBC">
              <w:rPr>
                <w:color w:val="000000"/>
                <w:lang w:val="en-US"/>
              </w:rPr>
              <w:t>11F = 11F1 + 11F2 + 11F3 + 11F4 + 11F5 + 11F6 + 11F7 + 11F8 + 11F9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Pr="001C6CBC" w:rsidRDefault="00186F7A">
            <w:pPr>
              <w:rPr>
                <w:lang w:val="en-US"/>
              </w:rPr>
            </w:pP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 xml:space="preserve">INFORMACJE, KTÓRE NALEŻY PODAĆ W </w:t>
            </w:r>
            <w:r>
              <w:rPr>
                <w:b/>
                <w:color w:val="000000"/>
              </w:rPr>
              <w:t>SPRAWOZDANIU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klimatyzacyjne do samochodów osobowych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klimatyzacyjne do autobusów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Ruchome urządzenia klimatyzacyjne do </w:t>
            </w:r>
            <w:proofErr w:type="spellStart"/>
            <w:r>
              <w:rPr>
                <w:color w:val="000000"/>
              </w:rPr>
              <w:t>vanów</w:t>
            </w:r>
            <w:proofErr w:type="spellEnd"/>
            <w:r>
              <w:rPr>
                <w:color w:val="000000"/>
              </w:rPr>
              <w:t xml:space="preserve"> (lekkich pojazdów dostawczych lub osobowych)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11F4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</w:t>
            </w:r>
            <w:r>
              <w:rPr>
                <w:color w:val="000000"/>
              </w:rPr>
              <w:t xml:space="preserve"> klimatyzacyjne do samochodów ciężarowych i przyczep (pojazdów ciężarowych)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11F5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klimatyzacyjne do pojazdów i maszyn rolniczych, leśnych i budowlanych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11F6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klimatyzacyjne do pojazdów kolejowych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11F7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Ruchome </w:t>
            </w:r>
            <w:r>
              <w:rPr>
                <w:color w:val="000000"/>
              </w:rPr>
              <w:t>urządzenia klimatyzacyjne do statków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11F8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Ruchome urządzenia klimatyzacyjne do statków powietrznych i śmigłowców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11F9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Wszelkie inne ruchome urządzenia klimatyzacyjne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typ/typy urządzenia/urządzeń.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WARTOŚĆ OBLICZONA AUTOMATYCZNIE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b/>
                <w:color w:val="000000"/>
              </w:rPr>
              <w:t>11G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Ogółem urządzeń chłodniczych, klimatyzacyjnych lub pomp ciepła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11G = 11A + 11B + 11C + 11D + 11E + 11F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11H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Wyroby piankowe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11H = 11H1 + 11H2 + 11H3 + 11H4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11H1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Płyty izolacyjne z polistyrenu </w:t>
            </w:r>
            <w:r>
              <w:rPr>
                <w:color w:val="000000"/>
              </w:rPr>
              <w:t>ekstrudowanego (XPS)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Ilości płyt XPS należy podać w metrach sześciennych (obok ilości zawartych w nich gazów fluorowanych podawanych w tonach metrycznych)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11H2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Płyty izolacyjne z poliuretanu (PU)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Ilości płyt PU należy podać w metrach sześciennych (obok </w:t>
            </w:r>
            <w:r>
              <w:rPr>
                <w:color w:val="000000"/>
              </w:rPr>
              <w:t>ilości zawartych w nich gazów fluorowanych podawanych w tonach metrycznych)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11H3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Pianka jednoskładnikowa (OCF)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Jednostką miary może być liczba pojemników na piankę jednoskładnikową (obok ilości zawartych w nich gazów fluorowanych podawanych w tonach metr</w:t>
            </w:r>
            <w:r>
              <w:rPr>
                <w:color w:val="000000"/>
              </w:rPr>
              <w:t>ycznych)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11H4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Inne wyroby piankowe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określić kategorię/kategorie produktu.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 xml:space="preserve">Przywozu </w:t>
            </w:r>
            <w:proofErr w:type="spellStart"/>
            <w:r>
              <w:rPr>
                <w:color w:val="000000"/>
              </w:rPr>
              <w:t>przedmieszek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poliolowych</w:t>
            </w:r>
            <w:proofErr w:type="spellEnd"/>
            <w:r>
              <w:rPr>
                <w:color w:val="000000"/>
              </w:rPr>
              <w:t xml:space="preserve"> (np. w systemach pianowych/ pojemnikach na piankę) nie należy podawać w niniejszej rubryce, lecz w sekcji 2.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 xml:space="preserve">Ilości wyrobów piankowych </w:t>
            </w:r>
            <w:r>
              <w:rPr>
                <w:color w:val="000000"/>
              </w:rPr>
              <w:t xml:space="preserve">należy podać w metrach sześciennych, tonach metrycznych lub sztukach produktu/urządzenia (obok ilości zawartych w nich gazów fluorowanych </w:t>
            </w:r>
            <w:r>
              <w:rPr>
                <w:color w:val="000000"/>
              </w:rPr>
              <w:lastRenderedPageBreak/>
              <w:t>podawanych w tonach metrycznych)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11I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Urządzenia ochrony przeciwpożarowej (w tym systemy wbudowywane w pojazdach)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 J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Aerozole medyczne lub farmaceutyczne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11K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Aerozole do zastosowań pozamedycznych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11L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Urządzenia medyczne (bez aerozoli)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11M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Rozdzielnice do przesyłania i dystrybucji energii elektrycznej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 N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Inne urządzenia do przesyłania i dystrybucji </w:t>
            </w:r>
            <w:r>
              <w:rPr>
                <w:color w:val="000000"/>
              </w:rPr>
              <w:t>energii elektrycznej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11O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Akceleratory cząstek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11P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Inne produkty i urządzenia zawierające gazy wymienione w </w:t>
            </w:r>
            <w:r>
              <w:rPr>
                <w:color w:val="1B1B1B"/>
              </w:rPr>
              <w:t>załączniku I</w:t>
            </w:r>
            <w:r>
              <w:rPr>
                <w:color w:val="000000"/>
              </w:rPr>
              <w:t xml:space="preserve"> lub w </w:t>
            </w:r>
            <w:r>
              <w:rPr>
                <w:color w:val="1B1B1B"/>
              </w:rPr>
              <w:t>załączniku II</w:t>
            </w:r>
            <w:r>
              <w:rPr>
                <w:color w:val="000000"/>
              </w:rPr>
              <w:t xml:space="preserve"> do rozporządzenia (UE) nr 517/2014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Należy określić kategorię/kategorie produktu lub urządzenia. Jednostką </w:t>
            </w:r>
            <w:r>
              <w:rPr>
                <w:color w:val="000000"/>
              </w:rPr>
              <w:t>miary może być objętość, masa lub liczba sztuk produktów/ urządzeń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>(obok ilości zawartych w nich gazów fluorowanych podawanych w tonach metrycznych)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ILOŚCI OBLICZANE AUTOMATYCZNIE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</w:tr>
      <w:tr w:rsidR="00186F7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11Q</w:t>
            </w:r>
          </w:p>
        </w:tc>
        <w:tc>
          <w:tcPr>
            <w:tcW w:w="61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Suma produktów i urządzeń zawierających gazy wymienione w </w:t>
            </w:r>
            <w:r>
              <w:rPr>
                <w:color w:val="1B1B1B"/>
              </w:rPr>
              <w:t>załączniku</w:t>
            </w:r>
            <w:r>
              <w:rPr>
                <w:color w:val="1B1B1B"/>
              </w:rPr>
              <w:t xml:space="preserve"> I</w:t>
            </w:r>
            <w:r>
              <w:rPr>
                <w:color w:val="000000"/>
              </w:rPr>
              <w:t xml:space="preserve"> lub w </w:t>
            </w:r>
            <w:r>
              <w:rPr>
                <w:color w:val="1B1B1B"/>
              </w:rPr>
              <w:t>załączniku II</w:t>
            </w:r>
            <w:r>
              <w:rPr>
                <w:color w:val="000000"/>
              </w:rPr>
              <w:t xml:space="preserve"> do rozporządzenia (UE) nr 517/2014</w:t>
            </w:r>
          </w:p>
        </w:tc>
        <w:tc>
          <w:tcPr>
            <w:tcW w:w="474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11Q = 11G + 11H + 11I + 11J + 11K + 11L + 11M + 11N + 11O + 11P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t xml:space="preserve">Sekcja 12: Do wypełnienia przez importerów urządzeń chłodniczych, klimatyzacyjnych lub pomp ciepła napełnionych </w:t>
      </w:r>
      <w:proofErr w:type="spellStart"/>
      <w:r>
        <w:rPr>
          <w:b/>
          <w:color w:val="000000"/>
        </w:rPr>
        <w:t>wodorofluorowęglowodo</w:t>
      </w:r>
      <w:r>
        <w:rPr>
          <w:b/>
          <w:color w:val="000000"/>
        </w:rPr>
        <w:t>rami</w:t>
      </w:r>
      <w:proofErr w:type="spellEnd"/>
      <w:r>
        <w:rPr>
          <w:b/>
          <w:color w:val="000000"/>
        </w:rPr>
        <w:t xml:space="preserve">, w </w:t>
      </w:r>
      <w:proofErr w:type="gramStart"/>
      <w:r>
        <w:rPr>
          <w:b/>
          <w:color w:val="000000"/>
        </w:rPr>
        <w:t>przypadku gdy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wodorofluorowęglowodory</w:t>
      </w:r>
      <w:proofErr w:type="spellEnd"/>
      <w:r>
        <w:rPr>
          <w:b/>
          <w:color w:val="000000"/>
        </w:rPr>
        <w:t xml:space="preserve"> zawarte w urządzeniach objętych przywozem zostały wcześniej objęte wywozem z Unii i nabyte przez producentów urządzeń bezpośrednio od przedsiębiorstwa dokonującego wywozu, oraz były przedmiotem ograniczeń konty</w:t>
      </w:r>
      <w:r>
        <w:rPr>
          <w:b/>
          <w:color w:val="000000"/>
        </w:rPr>
        <w:t xml:space="preserve">ngentowych dotyczących wprowadzania </w:t>
      </w:r>
      <w:proofErr w:type="spellStart"/>
      <w:r>
        <w:rPr>
          <w:b/>
          <w:color w:val="000000"/>
        </w:rPr>
        <w:t>wodorofluorowęglowodorów</w:t>
      </w:r>
      <w:proofErr w:type="spellEnd"/>
      <w:r>
        <w:rPr>
          <w:b/>
          <w:color w:val="000000"/>
        </w:rPr>
        <w:t xml:space="preserve"> do obrotu w Unii - art. 19 ust. 5 rozporządzenia (UE) nr 517/2014 oraz pkt 6 załącznika VII do rozporządzenia (UE) nr 517/2014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>Stosuje się po raz pierwszy do składania sprawozdań na temat działal</w:t>
      </w:r>
      <w:r>
        <w:rPr>
          <w:color w:val="000000"/>
        </w:rPr>
        <w:t>ności prowadzonej w 2017 r. (najpóźniej do dnia 31 marca 2018 r.).</w:t>
      </w:r>
    </w:p>
    <w:p w:rsidR="00186F7A" w:rsidRDefault="001C6CBC">
      <w:pPr>
        <w:spacing w:before="25" w:after="0"/>
        <w:jc w:val="both"/>
      </w:pPr>
      <w:r>
        <w:rPr>
          <w:color w:val="000000"/>
        </w:rPr>
        <w:t xml:space="preserve">Ilości </w:t>
      </w:r>
      <w:proofErr w:type="spellStart"/>
      <w:r>
        <w:rPr>
          <w:color w:val="000000"/>
        </w:rPr>
        <w:t>wodorofluorowęglowodorów</w:t>
      </w:r>
      <w:proofErr w:type="spellEnd"/>
      <w:r>
        <w:rPr>
          <w:color w:val="000000"/>
        </w:rPr>
        <w:t xml:space="preserve"> należy podać w tonach metrycznych, z dokładnością do trzeciego miejsca po przecinku, oddzielnie dla każdego </w:t>
      </w:r>
      <w:proofErr w:type="spellStart"/>
      <w:r>
        <w:rPr>
          <w:color w:val="000000"/>
        </w:rPr>
        <w:t>wodorofluorowęglowodoru</w:t>
      </w:r>
      <w:proofErr w:type="spellEnd"/>
      <w:r>
        <w:rPr>
          <w:color w:val="000000"/>
        </w:rPr>
        <w:t xml:space="preserve"> (gazy wymienione w sekcji</w:t>
      </w:r>
      <w:r>
        <w:rPr>
          <w:color w:val="000000"/>
        </w:rPr>
        <w:t xml:space="preserve"> 1 </w:t>
      </w:r>
      <w:r>
        <w:rPr>
          <w:color w:val="1B1B1B"/>
        </w:rPr>
        <w:t>załącznika I</w:t>
      </w:r>
      <w:r>
        <w:rPr>
          <w:color w:val="000000"/>
        </w:rPr>
        <w:t xml:space="preserve"> do rozporządzenia (UE) nr 517/2014 lub mieszanina </w:t>
      </w:r>
      <w:proofErr w:type="gramStart"/>
      <w:r>
        <w:rPr>
          <w:color w:val="000000"/>
        </w:rPr>
        <w:t>zawierająca co</w:t>
      </w:r>
      <w:proofErr w:type="gramEnd"/>
      <w:r>
        <w:rPr>
          <w:color w:val="000000"/>
        </w:rPr>
        <w:t xml:space="preserve"> najmniej jeden z tych gazów).</w:t>
      </w:r>
    </w:p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96"/>
        <w:gridCol w:w="4631"/>
        <w:gridCol w:w="3930"/>
      </w:tblGrid>
      <w:tr w:rsidR="00186F7A">
        <w:trPr>
          <w:trHeight w:val="45"/>
          <w:tblCellSpacing w:w="0" w:type="auto"/>
        </w:trPr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86F7A"/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INFORMACJE, KTÓRE NALEŻY PODAĆ W SPRAWOZDANIU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b/>
                <w:color w:val="000000"/>
              </w:rPr>
              <w:t>UWAGI</w:t>
            </w:r>
          </w:p>
        </w:tc>
      </w:tr>
      <w:tr w:rsidR="00186F7A">
        <w:trPr>
          <w:trHeight w:val="45"/>
          <w:tblCellSpacing w:w="0" w:type="auto"/>
        </w:trPr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  <w:jc w:val="center"/>
            </w:pPr>
            <w:r>
              <w:rPr>
                <w:color w:val="000000"/>
              </w:rPr>
              <w:t>12 A</w:t>
            </w:r>
          </w:p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 xml:space="preserve">Ilość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, którymi napełnione są urządzenia objęte przywozem, </w:t>
            </w:r>
            <w:r>
              <w:rPr>
                <w:color w:val="000000"/>
              </w:rPr>
              <w:t xml:space="preserve">dopuszczone przez organy celne do swobodnego obrotu w Unii, które to </w:t>
            </w:r>
            <w:proofErr w:type="spellStart"/>
            <w:r>
              <w:rPr>
                <w:color w:val="000000"/>
              </w:rPr>
              <w:t>wodorofluorowęglowodory</w:t>
            </w:r>
            <w:proofErr w:type="spellEnd"/>
            <w:r>
              <w:rPr>
                <w:color w:val="000000"/>
              </w:rPr>
              <w:t xml:space="preserve"> zostały wcześniej objęte wywozem z Unii i były przedmiotem ograniczeń kontyngentowych dotyczących wprowadzania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do obrotu w Unii</w:t>
            </w:r>
          </w:p>
        </w:tc>
        <w:tc>
          <w:tcPr>
            <w:tcW w:w="5011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7A" w:rsidRDefault="001C6CBC">
            <w:pPr>
              <w:spacing w:after="0"/>
            </w:pPr>
            <w:r>
              <w:rPr>
                <w:color w:val="000000"/>
              </w:rPr>
              <w:t>Należy pod</w:t>
            </w:r>
            <w:r>
              <w:rPr>
                <w:color w:val="000000"/>
              </w:rPr>
              <w:t xml:space="preserve">ać nazwę/nazwy przedsiębiorstwa/przedsiębiorstw prowadzących wywóz </w:t>
            </w:r>
            <w:proofErr w:type="spellStart"/>
            <w:r>
              <w:rPr>
                <w:color w:val="000000"/>
              </w:rPr>
              <w:t>wodorofluorowęglowodorów</w:t>
            </w:r>
            <w:proofErr w:type="spellEnd"/>
            <w:r>
              <w:rPr>
                <w:color w:val="000000"/>
              </w:rPr>
              <w:t xml:space="preserve"> oraz rok/lata wywozu</w:t>
            </w:r>
          </w:p>
          <w:p w:rsidR="00186F7A" w:rsidRDefault="001C6CBC">
            <w:pPr>
              <w:spacing w:before="25" w:after="0"/>
            </w:pPr>
            <w:r>
              <w:rPr>
                <w:color w:val="000000"/>
              </w:rPr>
              <w:t xml:space="preserve">Należy wyszczególnić nazwę/nazwy przedsiębiorstwa/przedsiębiorstw, które wprowadziło(-y) do obrotu </w:t>
            </w:r>
            <w:proofErr w:type="spellStart"/>
            <w:r>
              <w:rPr>
                <w:color w:val="000000"/>
              </w:rPr>
              <w:lastRenderedPageBreak/>
              <w:t>wodorofluorowęglowodory</w:t>
            </w:r>
            <w:proofErr w:type="spellEnd"/>
            <w:r>
              <w:rPr>
                <w:color w:val="000000"/>
              </w:rPr>
              <w:t xml:space="preserve"> w Unii po raz pierws</w:t>
            </w:r>
            <w:r>
              <w:rPr>
                <w:color w:val="000000"/>
              </w:rPr>
              <w:t>zy oraz rok/lata tego wprowadzenia do obrotu</w:t>
            </w:r>
          </w:p>
        </w:tc>
      </w:tr>
    </w:tbl>
    <w:p w:rsidR="00186F7A" w:rsidRDefault="001C6CBC">
      <w:pPr>
        <w:spacing w:before="25" w:after="0"/>
        <w:jc w:val="both"/>
      </w:pPr>
      <w:r>
        <w:rPr>
          <w:b/>
          <w:color w:val="000000"/>
        </w:rPr>
        <w:lastRenderedPageBreak/>
        <w:t>Sekcja 13: (skreślona).</w:t>
      </w:r>
    </w:p>
    <w:p w:rsidR="00186F7A" w:rsidRDefault="001C6CBC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Dz.U. L 150 z 20.5.2014,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. 195.</w:t>
      </w:r>
    </w:p>
    <w:p w:rsidR="00186F7A" w:rsidRDefault="001C6CBC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</w:t>
      </w:r>
      <w:r>
        <w:rPr>
          <w:color w:val="1B1B1B"/>
        </w:rPr>
        <w:t>Rozporządzenie</w:t>
      </w:r>
      <w:r>
        <w:rPr>
          <w:color w:val="000000"/>
        </w:rPr>
        <w:t xml:space="preserve"> Komisji (WE) nr 1493/2007 z dnia 17 grudnia 2007 r. określające, zgodnie z rozporządzeniem (WE) nr 842/2006 Parlamentu Europejskiego i</w:t>
      </w:r>
      <w:r>
        <w:rPr>
          <w:color w:val="000000"/>
        </w:rPr>
        <w:t xml:space="preserve"> Rady, format sprawozdań, które mają być składane przez producentów, importerów i eksporterów niektórych fluorowanych gazów cieplarnianych (Dz.U. L 332 z 18.12.2007,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. 7).</w:t>
      </w:r>
    </w:p>
    <w:p w:rsidR="00186F7A" w:rsidRDefault="001C6CBC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 </w:t>
      </w:r>
      <w:r>
        <w:rPr>
          <w:color w:val="1B1B1B"/>
        </w:rPr>
        <w:t>Rozporządzenie</w:t>
      </w:r>
      <w:r>
        <w:rPr>
          <w:color w:val="000000"/>
        </w:rPr>
        <w:t xml:space="preserve"> (WE) nr 842/2006 Parlamentu Europejskiego i Rady z dnia 17 maja 20</w:t>
      </w:r>
      <w:r>
        <w:rPr>
          <w:color w:val="000000"/>
        </w:rPr>
        <w:t xml:space="preserve">06 r. w sprawie niektórych fluorowanych gazów cieplarnianych (Dz.U. L 161 z 14.6.2006,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. 1).</w:t>
      </w:r>
    </w:p>
    <w:p w:rsidR="00186F7A" w:rsidRDefault="001C6CBC">
      <w:pPr>
        <w:spacing w:after="0"/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 Art. 1 zmieniony przez art. 1 pkt 1 rozporządzenia nr (UE) 2017/1375 z dnia 25 lipca 2017 r. (Dz.U.UE.L.2017.194.4) </w:t>
      </w:r>
      <w:proofErr w:type="gramStart"/>
      <w:r>
        <w:rPr>
          <w:color w:val="000000"/>
        </w:rPr>
        <w:t>zmieniającego</w:t>
      </w:r>
      <w:proofErr w:type="gramEnd"/>
      <w:r>
        <w:rPr>
          <w:color w:val="000000"/>
        </w:rPr>
        <w:t xml:space="preserve"> nin. rozporządzenie z dniem 15</w:t>
      </w:r>
      <w:r>
        <w:rPr>
          <w:color w:val="000000"/>
        </w:rPr>
        <w:t xml:space="preserve"> sierpnia 2017 r.</w:t>
      </w:r>
    </w:p>
    <w:p w:rsidR="00186F7A" w:rsidRDefault="001C6CBC">
      <w:pPr>
        <w:spacing w:after="0"/>
      </w:pPr>
      <w:r>
        <w:rPr>
          <w:color w:val="000000"/>
          <w:vertAlign w:val="superscript"/>
        </w:rPr>
        <w:t>5</w:t>
      </w:r>
      <w:r>
        <w:rPr>
          <w:color w:val="000000"/>
        </w:rPr>
        <w:t xml:space="preserve"> Załącznik zmieniony przez art. 1 pkt 2 rozporządzenia nr (UE) 2017/1375 z dnia 25 lipca 2017 r. (Dz.U.UE.L.2017.194.4) </w:t>
      </w:r>
      <w:proofErr w:type="gramStart"/>
      <w:r>
        <w:rPr>
          <w:color w:val="000000"/>
        </w:rPr>
        <w:t>zmieniającego</w:t>
      </w:r>
      <w:proofErr w:type="gramEnd"/>
      <w:r>
        <w:rPr>
          <w:color w:val="000000"/>
        </w:rPr>
        <w:t xml:space="preserve"> nin. rozporządzenie z dniem 15 sierpnia 2017 r.</w:t>
      </w:r>
    </w:p>
    <w:sectPr w:rsidR="00186F7A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73516"/>
    <w:multiLevelType w:val="multilevel"/>
    <w:tmpl w:val="A8763A2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F7A"/>
    <w:rsid w:val="00186F7A"/>
    <w:rsid w:val="001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BB137-EB99-494E-ADD8-4158DC2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5925</Words>
  <Characters>35554</Characters>
  <Application>Microsoft Office Word</Application>
  <DocSecurity>0</DocSecurity>
  <Lines>296</Lines>
  <Paragraphs>82</Paragraphs>
  <ScaleCrop>false</ScaleCrop>
  <Company/>
  <LinksUpToDate>false</LinksUpToDate>
  <CharactersWithSpaces>41397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Wanczewski</cp:lastModifiedBy>
  <cp:revision>2</cp:revision>
  <dcterms:created xsi:type="dcterms:W3CDTF">2018-01-23T09:50:00Z</dcterms:created>
  <dcterms:modified xsi:type="dcterms:W3CDTF">2018-01-23T09:52:00Z</dcterms:modified>
</cp:coreProperties>
</file>