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A9D3" w14:textId="77777777" w:rsidR="0064765B" w:rsidRPr="0038468B" w:rsidRDefault="0064765B" w:rsidP="0064765B">
      <w:pPr>
        <w:spacing w:after="0" w:line="240" w:lineRule="auto"/>
        <w:rPr>
          <w:rFonts w:ascii="Arial" w:eastAsia="Times New Roman" w:hAnsi="Arial" w:cs="Arial"/>
          <w:b/>
          <w:bCs/>
          <w:sz w:val="24"/>
          <w:szCs w:val="24"/>
        </w:rPr>
      </w:pPr>
      <w:r w:rsidRPr="0038468B">
        <w:rPr>
          <w:rFonts w:ascii="Arial" w:hAnsi="Arial" w:cs="Arial"/>
          <w:noProof/>
          <w:sz w:val="24"/>
          <w:szCs w:val="24"/>
        </w:rPr>
        <w:drawing>
          <wp:inline distT="0" distB="0" distL="0" distR="0" wp14:anchorId="163354E5" wp14:editId="4A4C993A">
            <wp:extent cx="2578735" cy="621665"/>
            <wp:effectExtent l="0" t="0" r="0" b="6985"/>
            <wp:docPr id="5" name="Obraz 5" descr="W nagłówku, po lewej stronie,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5" name="Obraz 5" descr="W nagłówku, po lewej stronie, znajduje się logo Komisji do spraw reprywatyzacji nieruchomości warszawskich zawierające godło państwa polskiego i podkreślenie nazwy organu w formie miniaturki flagi R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735" cy="621665"/>
                    </a:xfrm>
                    <a:prstGeom prst="rect">
                      <a:avLst/>
                    </a:prstGeom>
                    <a:noFill/>
                  </pic:spPr>
                </pic:pic>
              </a:graphicData>
            </a:graphic>
          </wp:inline>
        </w:drawing>
      </w:r>
    </w:p>
    <w:p w14:paraId="4FCFD65F" w14:textId="77777777" w:rsidR="0064765B" w:rsidRDefault="0064765B" w:rsidP="0064765B">
      <w:pPr>
        <w:spacing w:before="58"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35FE8BA" w14:textId="77777777" w:rsidR="0064765B" w:rsidRPr="00A1588B" w:rsidRDefault="0064765B" w:rsidP="0064765B">
      <w:pPr>
        <w:suppressAutoHyphens/>
        <w:spacing w:after="480" w:line="360" w:lineRule="auto"/>
        <w:rPr>
          <w:rFonts w:ascii="Arial" w:eastAsia="Times New Roman" w:hAnsi="Arial" w:cs="Arial"/>
          <w:sz w:val="24"/>
          <w:szCs w:val="24"/>
          <w:lang w:eastAsia="zh-CN"/>
        </w:rPr>
      </w:pPr>
      <w:r w:rsidRPr="00A1588B">
        <w:rPr>
          <w:rFonts w:ascii="Arial" w:eastAsia="Times New Roman"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p>
    <w:p w14:paraId="2C42C423" w14:textId="5E75E5E9"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Warszawa, </w:t>
      </w:r>
      <w:r w:rsidR="0091750F">
        <w:rPr>
          <w:rFonts w:ascii="Arial" w:eastAsia="Times New Roman" w:hAnsi="Arial" w:cs="Arial"/>
          <w:bCs/>
          <w:color w:val="000000"/>
          <w:sz w:val="24"/>
          <w:szCs w:val="24"/>
        </w:rPr>
        <w:t>5 października</w:t>
      </w:r>
      <w:r w:rsidRPr="007B1A67">
        <w:rPr>
          <w:rFonts w:ascii="Arial" w:eastAsia="Times New Roman" w:hAnsi="Arial" w:cs="Arial"/>
          <w:bCs/>
          <w:color w:val="000000"/>
          <w:sz w:val="24"/>
          <w:szCs w:val="24"/>
        </w:rPr>
        <w:t xml:space="preserve"> 2022 r.</w:t>
      </w:r>
    </w:p>
    <w:p w14:paraId="186B4F07" w14:textId="77777777"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p>
    <w:p w14:paraId="67C390FD" w14:textId="303DF336"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Sygn. akt KR III R </w:t>
      </w:r>
      <w:r w:rsidR="0091750F">
        <w:rPr>
          <w:rFonts w:ascii="Arial" w:eastAsia="Times New Roman" w:hAnsi="Arial" w:cs="Arial"/>
          <w:bCs/>
          <w:color w:val="000000"/>
          <w:sz w:val="24"/>
          <w:szCs w:val="24"/>
        </w:rPr>
        <w:t>50</w:t>
      </w:r>
      <w:r w:rsidRPr="007B1A67">
        <w:rPr>
          <w:rFonts w:ascii="Arial" w:eastAsia="Times New Roman" w:hAnsi="Arial" w:cs="Arial"/>
          <w:bCs/>
          <w:color w:val="000000"/>
          <w:sz w:val="24"/>
          <w:szCs w:val="24"/>
        </w:rPr>
        <w:t xml:space="preserve"> ukośnik 22 </w:t>
      </w:r>
    </w:p>
    <w:p w14:paraId="549E24C2" w14:textId="77777777"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p>
    <w:p w14:paraId="74950993" w14:textId="69B57F68" w:rsidR="0064765B" w:rsidRDefault="007B1A67" w:rsidP="007B1A67">
      <w:pPr>
        <w:suppressAutoHyphens/>
        <w:spacing w:after="480" w:line="360" w:lineRule="auto"/>
        <w:contextualSpacing/>
        <w:rPr>
          <w:rFonts w:ascii="Arial" w:eastAsia="Times New Roman" w:hAnsi="Arial" w:cs="Arial"/>
          <w:b/>
          <w:bCs/>
          <w:color w:val="000000"/>
          <w:sz w:val="24"/>
          <w:szCs w:val="24"/>
        </w:rPr>
      </w:pPr>
      <w:r w:rsidRPr="00E80A2E">
        <w:rPr>
          <w:rFonts w:ascii="Arial" w:eastAsia="Times New Roman" w:hAnsi="Arial" w:cs="Arial"/>
          <w:bCs/>
          <w:color w:val="000000"/>
          <w:sz w:val="24"/>
          <w:szCs w:val="24"/>
        </w:rPr>
        <w:t>DPA myślnik III.9130.</w:t>
      </w:r>
      <w:r w:rsidR="0091750F">
        <w:rPr>
          <w:rFonts w:ascii="Arial" w:eastAsia="Times New Roman" w:hAnsi="Arial" w:cs="Arial"/>
          <w:bCs/>
          <w:color w:val="000000"/>
          <w:sz w:val="24"/>
          <w:szCs w:val="24"/>
        </w:rPr>
        <w:t>17</w:t>
      </w:r>
      <w:r w:rsidRPr="00E80A2E">
        <w:rPr>
          <w:rFonts w:ascii="Arial" w:eastAsia="Times New Roman" w:hAnsi="Arial" w:cs="Arial"/>
          <w:bCs/>
          <w:color w:val="000000"/>
          <w:sz w:val="24"/>
          <w:szCs w:val="24"/>
        </w:rPr>
        <w:t>.2022</w:t>
      </w:r>
    </w:p>
    <w:p w14:paraId="71256963" w14:textId="7C7A22C6" w:rsidR="0064765B" w:rsidRPr="0064765B" w:rsidRDefault="0064765B" w:rsidP="0064765B">
      <w:pPr>
        <w:pStyle w:val="Nagwek1"/>
        <w:rPr>
          <w:rFonts w:ascii="Arial" w:eastAsia="Times New Roman" w:hAnsi="Arial" w:cs="Arial"/>
          <w:b/>
          <w:bCs/>
          <w:color w:val="auto"/>
        </w:rPr>
      </w:pPr>
      <w:r w:rsidRPr="0064765B">
        <w:rPr>
          <w:rFonts w:ascii="Arial" w:eastAsia="Times New Roman" w:hAnsi="Arial" w:cs="Arial"/>
          <w:b/>
          <w:bCs/>
          <w:color w:val="auto"/>
        </w:rPr>
        <w:t>POSTANOWIENIE</w:t>
      </w:r>
    </w:p>
    <w:p w14:paraId="4348E5E3" w14:textId="77777777" w:rsidR="0064765B" w:rsidRPr="0064765B" w:rsidRDefault="0064765B" w:rsidP="0064765B">
      <w:pPr>
        <w:suppressAutoHyphens/>
        <w:spacing w:after="480" w:line="360" w:lineRule="auto"/>
        <w:contextualSpacing/>
        <w:rPr>
          <w:rFonts w:ascii="Arial" w:eastAsia="Times New Roman" w:hAnsi="Arial" w:cs="Arial"/>
          <w:b/>
          <w:color w:val="000000"/>
          <w:sz w:val="24"/>
          <w:szCs w:val="24"/>
        </w:rPr>
      </w:pPr>
    </w:p>
    <w:p w14:paraId="23ECD17B" w14:textId="77777777" w:rsidR="0064765B" w:rsidRDefault="0064765B" w:rsidP="0064765B">
      <w:pPr>
        <w:suppressAutoHyphens/>
        <w:spacing w:after="480" w:line="360" w:lineRule="auto"/>
        <w:contextualSpacing/>
        <w:rPr>
          <w:rFonts w:ascii="Arial" w:eastAsia="Times New Roman" w:hAnsi="Arial" w:cs="Arial"/>
          <w:bCs/>
          <w:color w:val="000000"/>
          <w:sz w:val="24"/>
          <w:szCs w:val="24"/>
        </w:rPr>
      </w:pPr>
      <w:r w:rsidRPr="0064765B">
        <w:rPr>
          <w:rFonts w:ascii="Arial" w:eastAsia="Times New Roman" w:hAnsi="Arial" w:cs="Arial"/>
          <w:bCs/>
          <w:color w:val="000000"/>
          <w:sz w:val="24"/>
          <w:szCs w:val="24"/>
        </w:rPr>
        <w:t xml:space="preserve">Komisja do spraw reprywatyzacji nieruchomości warszawskich w składzie: </w:t>
      </w:r>
      <w:r w:rsidRPr="00AC2579">
        <w:rPr>
          <w:rFonts w:ascii="Arial" w:eastAsia="Times New Roman" w:hAnsi="Arial" w:cs="Arial"/>
          <w:b/>
          <w:color w:val="000000"/>
          <w:sz w:val="24"/>
          <w:szCs w:val="24"/>
        </w:rPr>
        <w:t>Przewodniczący Komisji:</w:t>
      </w:r>
      <w:r w:rsidRPr="0064765B">
        <w:rPr>
          <w:rFonts w:ascii="Arial" w:eastAsia="Times New Roman" w:hAnsi="Arial" w:cs="Arial"/>
          <w:bCs/>
          <w:color w:val="000000"/>
          <w:sz w:val="24"/>
          <w:szCs w:val="24"/>
        </w:rPr>
        <w:t xml:space="preserve"> </w:t>
      </w:r>
    </w:p>
    <w:p w14:paraId="4D4B918C" w14:textId="671B788E" w:rsidR="0064765B" w:rsidRDefault="0064765B" w:rsidP="0064765B">
      <w:pPr>
        <w:suppressAutoHyphens/>
        <w:spacing w:after="480" w:line="360" w:lineRule="auto"/>
        <w:contextualSpacing/>
        <w:rPr>
          <w:rFonts w:ascii="Arial" w:eastAsia="Times New Roman" w:hAnsi="Arial" w:cs="Arial"/>
          <w:bCs/>
          <w:color w:val="000000"/>
          <w:sz w:val="24"/>
          <w:szCs w:val="24"/>
        </w:rPr>
      </w:pPr>
      <w:r w:rsidRPr="0064765B">
        <w:rPr>
          <w:rFonts w:ascii="Arial" w:eastAsia="Times New Roman" w:hAnsi="Arial" w:cs="Arial"/>
          <w:bCs/>
          <w:color w:val="000000"/>
          <w:sz w:val="24"/>
          <w:szCs w:val="24"/>
        </w:rPr>
        <w:t xml:space="preserve">Sebastian Kaleta </w:t>
      </w:r>
    </w:p>
    <w:p w14:paraId="5EA81718" w14:textId="7366E427" w:rsidR="0064765B" w:rsidRPr="00AC2579" w:rsidRDefault="0064765B" w:rsidP="0064765B">
      <w:pPr>
        <w:suppressAutoHyphens/>
        <w:spacing w:after="480" w:line="360" w:lineRule="auto"/>
        <w:contextualSpacing/>
        <w:rPr>
          <w:rFonts w:ascii="Arial" w:eastAsia="Times New Roman" w:hAnsi="Arial" w:cs="Arial"/>
          <w:b/>
          <w:color w:val="000000"/>
          <w:sz w:val="24"/>
          <w:szCs w:val="24"/>
        </w:rPr>
      </w:pPr>
      <w:r w:rsidRPr="00AC2579">
        <w:rPr>
          <w:rFonts w:ascii="Arial" w:eastAsia="Times New Roman" w:hAnsi="Arial" w:cs="Arial"/>
          <w:b/>
          <w:color w:val="000000"/>
          <w:sz w:val="24"/>
          <w:szCs w:val="24"/>
        </w:rPr>
        <w:t>Członkowie Komisji:</w:t>
      </w:r>
    </w:p>
    <w:p w14:paraId="4B90F597" w14:textId="77777777" w:rsidR="0091750F" w:rsidRPr="0091750F" w:rsidRDefault="0091750F"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Paweł Lisiecki, Bartłomiej Opaliński, Łukasz Kondratko, Robert Kropiwnicki, Jan Mosiński, Sławomir Potapowicz</w:t>
      </w:r>
    </w:p>
    <w:p w14:paraId="60E12742" w14:textId="43FA121E" w:rsidR="007B1A67" w:rsidRPr="0091750F" w:rsidRDefault="007B1A67"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 xml:space="preserve">po rozpoznaniu w dniu </w:t>
      </w:r>
      <w:r w:rsidR="0091750F" w:rsidRPr="0091750F">
        <w:rPr>
          <w:rFonts w:ascii="Arial" w:eastAsia="Times New Roman" w:hAnsi="Arial" w:cs="Arial"/>
          <w:bCs/>
          <w:color w:val="000000"/>
          <w:sz w:val="24"/>
          <w:szCs w:val="24"/>
        </w:rPr>
        <w:t>5 października</w:t>
      </w:r>
      <w:r w:rsidRPr="0091750F">
        <w:rPr>
          <w:rFonts w:ascii="Arial" w:eastAsia="Times New Roman" w:hAnsi="Arial" w:cs="Arial"/>
          <w:bCs/>
          <w:color w:val="000000"/>
          <w:sz w:val="24"/>
          <w:szCs w:val="24"/>
        </w:rPr>
        <w:t xml:space="preserve"> 2022 r. na posiedzeniu niejawnym</w:t>
      </w:r>
    </w:p>
    <w:p w14:paraId="1D6292CE" w14:textId="57FB566D" w:rsidR="007B1A67" w:rsidRPr="0091750F" w:rsidRDefault="007B1A67" w:rsidP="0091750F">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 xml:space="preserve">sprawy w przedmiocie </w:t>
      </w:r>
      <w:r w:rsidR="0091750F" w:rsidRPr="0091750F">
        <w:rPr>
          <w:rFonts w:ascii="Arial" w:hAnsi="Arial" w:cs="Arial"/>
          <w:sz w:val="24"/>
          <w:szCs w:val="24"/>
        </w:rPr>
        <w:t>decyzji Prezydenta m.st. Warszawy nr 213 ukośnik GKDW ukośnik 2014 z dnia 26 maja 2014 roku,</w:t>
      </w:r>
      <w:r w:rsidR="0010424B">
        <w:rPr>
          <w:rFonts w:ascii="Arial" w:hAnsi="Arial" w:cs="Arial"/>
          <w:sz w:val="24"/>
          <w:szCs w:val="24"/>
        </w:rPr>
        <w:t xml:space="preserve"> ustanawiającej prawo użytkowania wieczystego do udziału części</w:t>
      </w:r>
      <w:r w:rsidR="0091750F" w:rsidRPr="0091750F">
        <w:rPr>
          <w:rFonts w:ascii="Arial" w:hAnsi="Arial" w:cs="Arial"/>
          <w:sz w:val="24"/>
          <w:szCs w:val="24"/>
        </w:rPr>
        <w:t xml:space="preserve"> zabudowanego gruntu o powierzchni wynoszącej metrów kwadratowych, oznaczonego jako działka ewidencyjna nr w obrębie położonego w Warszawie przy ul. Kwiatowej 22 (dawniej ul. Madalińskiego 44 ukośnik 46, ozn. hip.), dla </w:t>
      </w:r>
      <w:r w:rsidR="005E2050">
        <w:rPr>
          <w:rFonts w:ascii="Arial" w:hAnsi="Arial" w:cs="Arial"/>
          <w:sz w:val="24"/>
          <w:szCs w:val="24"/>
        </w:rPr>
        <w:t>którego</w:t>
      </w:r>
      <w:r w:rsidR="0091750F" w:rsidRPr="0091750F">
        <w:rPr>
          <w:rFonts w:ascii="Arial" w:hAnsi="Arial" w:cs="Arial"/>
          <w:sz w:val="24"/>
          <w:szCs w:val="24"/>
        </w:rPr>
        <w:t xml:space="preserve"> założono księgę wieczystą nr </w:t>
      </w:r>
      <w:r w:rsidR="0010424B">
        <w:rPr>
          <w:rFonts w:ascii="Arial" w:hAnsi="Arial" w:cs="Arial"/>
          <w:sz w:val="24"/>
          <w:szCs w:val="24"/>
        </w:rPr>
        <w:t xml:space="preserve">oraz odmawiającej ustanowienia prawa użytkowania wieczystego do udziału wynoszącego części zabudowanego gruntu </w:t>
      </w:r>
      <w:r w:rsidR="0091750F" w:rsidRPr="0091750F">
        <w:rPr>
          <w:rFonts w:ascii="Arial" w:hAnsi="Arial" w:cs="Arial"/>
          <w:sz w:val="24"/>
          <w:szCs w:val="24"/>
        </w:rPr>
        <w:t xml:space="preserve">z udziałem stron: Miasta Stołecznego Warszawy, Prokuratora Regionalnego w Warszawie, J. L. Ś., W. M. Ś., M. M. M., B. B., W. </w:t>
      </w:r>
      <w:r w:rsidR="0091750F" w:rsidRPr="0091750F">
        <w:rPr>
          <w:rFonts w:ascii="Arial" w:hAnsi="Arial" w:cs="Arial"/>
          <w:sz w:val="24"/>
          <w:szCs w:val="24"/>
        </w:rPr>
        <w:lastRenderedPageBreak/>
        <w:t>J. C., M. M. N., M. W. S., D. M. K., E. K. L. S., K. K. K., A. S., A. K. K., J. S. W., następców prawnych J. H. G., A. M. K., R. K. D., A. R., następców prawnych J. K., następców prawnych D. W. K., P. S., następców prawnych M. S., następców prawnych J. S., Z. G., M. J. B., J. A. P. B., B. K., A. D., następców prawnych W. J. D., J. M., D. M. N., W. W. C., A. B., P. T. M., K. E. M., P. K. K., R. L., B. K. L., M. K. K.</w:t>
      </w:r>
    </w:p>
    <w:p w14:paraId="27BDE875" w14:textId="7DBED79D" w:rsidR="0064765B" w:rsidRPr="0091750F" w:rsidRDefault="0064765B"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na podstawie art. 11 ust. 2 ustawy z dnia 9 marca 2017 r. o szczególnych zasadach usuwania skutków prawnych decyzji reprywatyzacyjnych dotyczących nieruchomości warszawskich, wydanych z naruszeniem prawa (Dz. U. z 2021 r. poz. 795)</w:t>
      </w:r>
    </w:p>
    <w:p w14:paraId="3B8B899A" w14:textId="77777777" w:rsidR="0064765B" w:rsidRPr="0064765B" w:rsidRDefault="0064765B" w:rsidP="0064765B">
      <w:pPr>
        <w:suppressAutoHyphens/>
        <w:spacing w:after="480" w:line="360" w:lineRule="auto"/>
        <w:contextualSpacing/>
        <w:rPr>
          <w:rFonts w:ascii="Arial" w:eastAsia="Times New Roman" w:hAnsi="Arial" w:cs="Arial"/>
          <w:bCs/>
          <w:color w:val="000000"/>
          <w:sz w:val="24"/>
          <w:szCs w:val="24"/>
        </w:rPr>
      </w:pPr>
    </w:p>
    <w:p w14:paraId="732A9C27" w14:textId="77777777" w:rsidR="0064765B" w:rsidRPr="0064765B" w:rsidRDefault="0064765B" w:rsidP="0064765B">
      <w:pPr>
        <w:suppressAutoHyphens/>
        <w:spacing w:after="480" w:line="360" w:lineRule="auto"/>
        <w:contextualSpacing/>
        <w:rPr>
          <w:rFonts w:ascii="Arial" w:eastAsia="Times New Roman" w:hAnsi="Arial" w:cs="Arial"/>
          <w:b/>
          <w:color w:val="000000"/>
          <w:sz w:val="24"/>
          <w:szCs w:val="24"/>
        </w:rPr>
      </w:pPr>
      <w:r w:rsidRPr="0064765B">
        <w:rPr>
          <w:rFonts w:ascii="Arial" w:eastAsia="Times New Roman" w:hAnsi="Arial" w:cs="Arial"/>
          <w:b/>
          <w:color w:val="000000"/>
          <w:sz w:val="24"/>
          <w:szCs w:val="24"/>
        </w:rPr>
        <w:t>postanawia:</w:t>
      </w:r>
    </w:p>
    <w:p w14:paraId="4BC89FAF" w14:textId="2382B7D0" w:rsidR="0064765B" w:rsidRDefault="007B1A67" w:rsidP="0064765B">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zwrócić się do Społecznej Rady z wnioskiem o wydanie opinii w przedmiocie </w:t>
      </w:r>
      <w:r w:rsidR="0091750F" w:rsidRPr="0091750F">
        <w:rPr>
          <w:rFonts w:ascii="Arial" w:eastAsia="Times New Roman" w:hAnsi="Arial" w:cs="Arial"/>
          <w:bCs/>
          <w:color w:val="000000"/>
          <w:sz w:val="24"/>
          <w:szCs w:val="24"/>
        </w:rPr>
        <w:t xml:space="preserve">decyzji Prezydenta m.st. Warszawy nr 213 ukośnik GKDW ukośnik 2014 z dnia 26 maja 2014 roku, </w:t>
      </w:r>
      <w:r w:rsidR="0010424B">
        <w:rPr>
          <w:rFonts w:ascii="Arial" w:hAnsi="Arial" w:cs="Arial"/>
          <w:sz w:val="24"/>
          <w:szCs w:val="24"/>
        </w:rPr>
        <w:t>ustanawiającej prawo użytkowania wieczystego do udziału części</w:t>
      </w:r>
      <w:r w:rsidR="0010424B" w:rsidRPr="0091750F">
        <w:rPr>
          <w:rFonts w:ascii="Arial" w:eastAsia="Times New Roman" w:hAnsi="Arial" w:cs="Arial"/>
          <w:bCs/>
          <w:color w:val="000000"/>
          <w:sz w:val="24"/>
          <w:szCs w:val="24"/>
        </w:rPr>
        <w:t xml:space="preserve"> </w:t>
      </w:r>
      <w:r w:rsidR="0091750F" w:rsidRPr="0091750F">
        <w:rPr>
          <w:rFonts w:ascii="Arial" w:eastAsia="Times New Roman" w:hAnsi="Arial" w:cs="Arial"/>
          <w:bCs/>
          <w:color w:val="000000"/>
          <w:sz w:val="24"/>
          <w:szCs w:val="24"/>
        </w:rPr>
        <w:t>zabudowanego gruntu o powierzchni wynoszącej metrów kwadratowych, oznaczonego jako działka ewidencyjna nr w obrębie położonego w Warszawie przy ul. Kwiatowej 22 (dawniej ul. Madalińskiego 44 ukośnik 46, ozn. hip.), dla której założono księgę wieczystą nr</w:t>
      </w:r>
      <w:r w:rsidR="0010424B">
        <w:rPr>
          <w:rFonts w:ascii="Arial" w:eastAsia="Times New Roman" w:hAnsi="Arial" w:cs="Arial"/>
          <w:bCs/>
          <w:color w:val="000000"/>
          <w:sz w:val="24"/>
          <w:szCs w:val="24"/>
        </w:rPr>
        <w:t xml:space="preserve"> oraz odmawiającej </w:t>
      </w:r>
      <w:r w:rsidR="0010424B">
        <w:rPr>
          <w:rFonts w:ascii="Arial" w:hAnsi="Arial" w:cs="Arial"/>
          <w:sz w:val="24"/>
          <w:szCs w:val="24"/>
        </w:rPr>
        <w:t>ustanowienia prawa użytkowania wieczystego do udziału wynoszącego części zabudowanego gruntu</w:t>
      </w:r>
      <w:r w:rsidRPr="007B1A67">
        <w:rPr>
          <w:rFonts w:ascii="Arial" w:eastAsia="Times New Roman" w:hAnsi="Arial" w:cs="Arial"/>
          <w:bCs/>
          <w:color w:val="000000"/>
          <w:sz w:val="24"/>
          <w:szCs w:val="24"/>
        </w:rPr>
        <w:t>.</w:t>
      </w:r>
    </w:p>
    <w:p w14:paraId="0D872AF6" w14:textId="77777777" w:rsidR="007B1A67" w:rsidRDefault="007B1A67" w:rsidP="0064765B">
      <w:pPr>
        <w:suppressAutoHyphens/>
        <w:spacing w:after="480" w:line="360" w:lineRule="auto"/>
        <w:contextualSpacing/>
        <w:rPr>
          <w:rFonts w:ascii="Arial" w:eastAsia="Times New Roman" w:hAnsi="Arial" w:cs="Arial"/>
          <w:sz w:val="24"/>
          <w:szCs w:val="24"/>
        </w:rPr>
      </w:pPr>
    </w:p>
    <w:p w14:paraId="6AA2EA58" w14:textId="77777777" w:rsidR="0064765B" w:rsidRPr="00A1588B" w:rsidRDefault="0064765B" w:rsidP="0064765B">
      <w:pPr>
        <w:suppressAutoHyphens/>
        <w:spacing w:after="480" w:line="360" w:lineRule="auto"/>
        <w:contextualSpacing/>
        <w:rPr>
          <w:rFonts w:ascii="Arial" w:eastAsia="Times New Roman" w:hAnsi="Arial" w:cs="Arial"/>
          <w:b/>
          <w:sz w:val="24"/>
          <w:szCs w:val="24"/>
        </w:rPr>
      </w:pPr>
      <w:r w:rsidRPr="00A1588B">
        <w:rPr>
          <w:rFonts w:ascii="Arial" w:eastAsia="Times New Roman" w:hAnsi="Arial" w:cs="Arial"/>
          <w:b/>
          <w:sz w:val="24"/>
          <w:szCs w:val="24"/>
        </w:rPr>
        <w:t>Przewodniczący Komisji</w:t>
      </w:r>
    </w:p>
    <w:p w14:paraId="07050FC8" w14:textId="77777777" w:rsidR="0064765B" w:rsidRPr="00A1588B" w:rsidRDefault="0064765B" w:rsidP="0064765B">
      <w:pPr>
        <w:suppressAutoHyphens/>
        <w:spacing w:after="480" w:line="360" w:lineRule="auto"/>
        <w:contextualSpacing/>
        <w:rPr>
          <w:rFonts w:ascii="Arial" w:eastAsia="Times New Roman" w:hAnsi="Arial" w:cs="Arial"/>
          <w:b/>
          <w:sz w:val="24"/>
          <w:szCs w:val="24"/>
        </w:rPr>
      </w:pPr>
    </w:p>
    <w:p w14:paraId="683B2F04" w14:textId="17D91728" w:rsidR="0064765B" w:rsidRDefault="0064765B" w:rsidP="0064765B">
      <w:pPr>
        <w:suppressAutoHyphens/>
        <w:spacing w:after="480" w:line="360" w:lineRule="auto"/>
        <w:contextualSpacing/>
        <w:rPr>
          <w:rFonts w:ascii="Arial" w:eastAsia="Times New Roman" w:hAnsi="Arial" w:cs="Arial"/>
          <w:b/>
          <w:sz w:val="24"/>
          <w:szCs w:val="24"/>
        </w:rPr>
      </w:pPr>
      <w:r w:rsidRPr="00A1588B">
        <w:rPr>
          <w:rFonts w:ascii="Arial" w:eastAsia="Times New Roman" w:hAnsi="Arial" w:cs="Arial"/>
          <w:b/>
          <w:sz w:val="24"/>
          <w:szCs w:val="24"/>
        </w:rPr>
        <w:t>Sebastian Kaleta</w:t>
      </w:r>
    </w:p>
    <w:p w14:paraId="7E5A231B" w14:textId="6301D13F" w:rsidR="0064765B" w:rsidRDefault="0064765B" w:rsidP="0064765B">
      <w:pPr>
        <w:suppressAutoHyphens/>
        <w:spacing w:after="480" w:line="360" w:lineRule="auto"/>
        <w:contextualSpacing/>
        <w:rPr>
          <w:rFonts w:ascii="Arial" w:eastAsia="Times New Roman" w:hAnsi="Arial" w:cs="Arial"/>
          <w:b/>
          <w:sz w:val="24"/>
          <w:szCs w:val="24"/>
        </w:rPr>
      </w:pPr>
    </w:p>
    <w:p w14:paraId="31C03F13" w14:textId="77777777" w:rsidR="0064765B" w:rsidRPr="0064765B" w:rsidRDefault="0064765B" w:rsidP="0064765B">
      <w:pPr>
        <w:suppressAutoHyphens/>
        <w:spacing w:after="480" w:line="360" w:lineRule="auto"/>
        <w:contextualSpacing/>
        <w:rPr>
          <w:rFonts w:ascii="Arial" w:eastAsia="Times New Roman" w:hAnsi="Arial" w:cs="Arial"/>
          <w:b/>
          <w:bCs/>
          <w:sz w:val="24"/>
          <w:szCs w:val="24"/>
        </w:rPr>
      </w:pPr>
      <w:r w:rsidRPr="0064765B">
        <w:rPr>
          <w:rFonts w:ascii="Arial" w:eastAsia="Times New Roman" w:hAnsi="Arial" w:cs="Arial"/>
          <w:b/>
          <w:bCs/>
          <w:sz w:val="24"/>
          <w:szCs w:val="24"/>
        </w:rPr>
        <w:t>Pouczenie:</w:t>
      </w:r>
    </w:p>
    <w:p w14:paraId="08D79577" w14:textId="77777777" w:rsidR="0064765B" w:rsidRDefault="0064765B" w:rsidP="0064765B">
      <w:pPr>
        <w:suppressAutoHyphens/>
        <w:spacing w:after="480" w:line="360" w:lineRule="auto"/>
        <w:contextualSpacing/>
        <w:rPr>
          <w:rFonts w:ascii="Arial" w:eastAsia="Times New Roman" w:hAnsi="Arial" w:cs="Arial"/>
          <w:bCs/>
          <w:sz w:val="24"/>
          <w:szCs w:val="24"/>
        </w:rPr>
      </w:pPr>
      <w:r>
        <w:rPr>
          <w:rFonts w:ascii="Arial" w:eastAsia="Times New Roman" w:hAnsi="Arial" w:cs="Arial"/>
          <w:bCs/>
          <w:sz w:val="24"/>
          <w:szCs w:val="24"/>
        </w:rPr>
        <w:t>Punkt pierwszy z</w:t>
      </w:r>
      <w:r w:rsidRPr="0064765B">
        <w:rPr>
          <w:rFonts w:ascii="Arial" w:eastAsia="Times New Roman" w:hAnsi="Arial" w:cs="Arial"/>
          <w:bCs/>
          <w:sz w:val="24"/>
          <w:szCs w:val="24"/>
        </w:rPr>
        <w:t>godnie z art. 10 ust. 4 ustawy z dnia 9 marca 2017 r. o szczególnych zasadach usuwania skutków prawnych decyzji reprywatyzacyjnych dotyczących nieruchomości warszawskich, wydanych z naruszeniem prawa (Dz. U. z 2021 r. poz. 795, dalej: ustawa) na niniejsze postanowienie nie przysługuje środek zaskarżenia.</w:t>
      </w:r>
    </w:p>
    <w:p w14:paraId="0BDFD241" w14:textId="5700DB13" w:rsidR="00EF0C8E" w:rsidRPr="003E578A" w:rsidRDefault="0064765B" w:rsidP="003E578A">
      <w:pPr>
        <w:suppressAutoHyphens/>
        <w:spacing w:after="480" w:line="360" w:lineRule="auto"/>
        <w:contextualSpacing/>
        <w:rPr>
          <w:rFonts w:ascii="Arial" w:eastAsia="Times New Roman" w:hAnsi="Arial" w:cs="Arial"/>
          <w:bCs/>
          <w:sz w:val="24"/>
          <w:szCs w:val="24"/>
        </w:rPr>
      </w:pPr>
      <w:r>
        <w:rPr>
          <w:rFonts w:ascii="Arial" w:eastAsia="Times New Roman" w:hAnsi="Arial" w:cs="Arial"/>
          <w:bCs/>
          <w:sz w:val="24"/>
          <w:szCs w:val="24"/>
        </w:rPr>
        <w:lastRenderedPageBreak/>
        <w:t>Punkt drugi z</w:t>
      </w:r>
      <w:r w:rsidRPr="0064765B">
        <w:rPr>
          <w:rFonts w:ascii="Arial" w:eastAsia="Times New Roman" w:hAnsi="Arial" w:cs="Arial"/>
          <w:bCs/>
          <w:sz w:val="24"/>
          <w:szCs w:val="24"/>
        </w:rPr>
        <w:t>godnie z art. 11 ust. 2 ustawy Społeczna Rada wydaje opinię w terminie 14 dni od dnia otrzymania wniosku Komisji ojej wydanie. Na wniosek Społecznej Rady przewodniczący Komisji może przedłużyć termin do wydania opinii.</w:t>
      </w:r>
    </w:p>
    <w:sectPr w:rsidR="00EF0C8E" w:rsidRPr="003E578A">
      <w:pgSz w:w="11981" w:h="16882"/>
      <w:pgMar w:top="710" w:right="1670" w:bottom="3538"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CCE"/>
    <w:multiLevelType w:val="singleLevel"/>
    <w:tmpl w:val="65088448"/>
    <w:lvl w:ilvl="0">
      <w:start w:val="1"/>
      <w:numFmt w:val="decimal"/>
      <w:lvlText w:val="%1."/>
      <w:legacy w:legacy="1" w:legacySpace="0" w:legacyIndent="336"/>
      <w:lvlJc w:val="left"/>
      <w:rPr>
        <w:rFonts w:ascii="Times New Roman" w:hAnsi="Times New Roman" w:cs="Times New Roman" w:hint="default"/>
      </w:rPr>
    </w:lvl>
  </w:abstractNum>
  <w:num w:numId="1" w16cid:durableId="44928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5B"/>
    <w:rsid w:val="00080CE5"/>
    <w:rsid w:val="000F53E9"/>
    <w:rsid w:val="0010424B"/>
    <w:rsid w:val="00137F37"/>
    <w:rsid w:val="001903C5"/>
    <w:rsid w:val="003E578A"/>
    <w:rsid w:val="003E719C"/>
    <w:rsid w:val="005C16B4"/>
    <w:rsid w:val="005E2050"/>
    <w:rsid w:val="005F55B3"/>
    <w:rsid w:val="0064765B"/>
    <w:rsid w:val="0065795B"/>
    <w:rsid w:val="007B1A67"/>
    <w:rsid w:val="008D479F"/>
    <w:rsid w:val="0091750F"/>
    <w:rsid w:val="00A427ED"/>
    <w:rsid w:val="00AC2579"/>
    <w:rsid w:val="00BC4F71"/>
    <w:rsid w:val="00BE0DEE"/>
    <w:rsid w:val="00D52431"/>
    <w:rsid w:val="00E80A2E"/>
    <w:rsid w:val="00EF0C8E"/>
    <w:rsid w:val="00F51DC4"/>
    <w:rsid w:val="00F5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83F9"/>
  <w15:chartTrackingRefBased/>
  <w15:docId w15:val="{340E0D62-6E1B-4DDE-BFC7-373F772D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65B"/>
    <w:rPr>
      <w:rFonts w:asciiTheme="minorHAnsi" w:eastAsiaTheme="minorEastAsia" w:hAnsiTheme="minorHAnsi"/>
      <w:sz w:val="22"/>
      <w:lang w:eastAsia="pl-PL"/>
    </w:rPr>
  </w:style>
  <w:style w:type="paragraph" w:styleId="Nagwek1">
    <w:name w:val="heading 1"/>
    <w:basedOn w:val="Normalny"/>
    <w:next w:val="Normalny"/>
    <w:link w:val="Nagwek1Znak"/>
    <w:uiPriority w:val="9"/>
    <w:qFormat/>
    <w:rsid w:val="006476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rsid w:val="0064765B"/>
    <w:pPr>
      <w:spacing w:after="0" w:line="398" w:lineRule="exact"/>
      <w:ind w:firstLine="677"/>
      <w:jc w:val="both"/>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64765B"/>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2718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Postanowienie o zwróceniu się o opinię Społecznej Rady - wersja cyfrowa [BIP 12.10.2022]</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 zwróceniu się o opinię Społecznej Rady - wersja cyfrowa [BIP 18.10.2022]</dc:title>
  <dc:subject/>
  <dc:creator>Mikolaj.Bajera@ms.gov.pl</dc:creator>
  <cp:keywords/>
  <dc:description/>
  <cp:lastModifiedBy>Bajera Mikołaj  (DPA)</cp:lastModifiedBy>
  <cp:revision>7</cp:revision>
  <dcterms:created xsi:type="dcterms:W3CDTF">2022-10-11T13:07:00Z</dcterms:created>
  <dcterms:modified xsi:type="dcterms:W3CDTF">2022-10-18T10:43:00Z</dcterms:modified>
</cp:coreProperties>
</file>