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7D" w:rsidRDefault="00455984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Załącznik nr 5 do umowy nr …… z dnia ……………….</w:t>
      </w:r>
    </w:p>
    <w:p w:rsidR="006F3B7D" w:rsidRDefault="00455984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208655" cy="37401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7D" w:rsidRDefault="00455984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Wytyczne dotyczące realizacji obowiązków informacyjno-promocyjnych przez OOW </w:t>
      </w:r>
      <w:r>
        <w:rPr>
          <w:rFonts w:ascii="Times New Roman" w:hAnsi="Times New Roman" w:cs="Times New Roman"/>
          <w:b/>
          <w:sz w:val="24"/>
          <w:szCs w:val="24"/>
        </w:rPr>
        <w:br/>
        <w:t>w ramach Programu MALUCH+ 2022–2029 finansowanego ze środków FERS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OOW jest zobowiązany eksponować źródło dofinansowania </w:t>
      </w:r>
      <w:r>
        <w:rPr>
          <w:rFonts w:ascii="Times New Roman" w:hAnsi="Times New Roman" w:cs="Times New Roman"/>
          <w:sz w:val="24"/>
          <w:szCs w:val="24"/>
        </w:rPr>
        <w:t>zadania m.in. przez właściwe oznaczanie zadania, zestawieniem znaków: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Dla zadania finansowanego tylko ze środków FERS: znakiem Funduszy Europejskich (złożonym z symbolu graficznego i nazwy Fundusze Europejskie lub nazwy programu FERS), znakiem barw </w:t>
      </w:r>
      <w:r>
        <w:rPr>
          <w:rFonts w:ascii="Times New Roman" w:hAnsi="Times New Roman" w:cs="Times New Roman"/>
          <w:sz w:val="24"/>
          <w:szCs w:val="24"/>
        </w:rPr>
        <w:t xml:space="preserve">Rzeczypospolitej Polskiej (złożonym z barw RP oraz nazwy Rzeczpospolita Polska), znakiem Unii Europejskiej (złożonym z flagi UE i napisu „Dofinansowane przez Unię Europejską”). Obowiązek ten dotyczy oznaczania dokumentów oraz umów zawieranych przez OOW na </w:t>
      </w:r>
      <w:r>
        <w:rPr>
          <w:rFonts w:ascii="Times New Roman" w:hAnsi="Times New Roman" w:cs="Times New Roman"/>
          <w:sz w:val="24"/>
          <w:szCs w:val="24"/>
        </w:rPr>
        <w:t>świadczenie usług opieki ze środków FERS w okresie uczestniczenia w zadaniu. Pozostałe zasady dotyczące zestawienia znaków właściwego dla zadania finansowanego ze środków FERS są wskazane w Księdze Tożsamości Wizualnej marki Fundusze Europejskie 2021–2029.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 Właściwe zestawienia znaków (w wersjach pełnokolorowych i czarno-białych) znajdują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pod adresem: </w:t>
      </w:r>
      <w:hyperlink r:id="rId7">
        <w:r>
          <w:rPr>
            <w:rStyle w:val="czeinternetowe"/>
            <w:rFonts w:ascii="Times New Roman" w:hAnsi="Times New Roman"/>
            <w:sz w:val="24"/>
            <w:szCs w:val="24"/>
          </w:rPr>
          <w:t>https://www.gov.pl/web/rodzina/maluch-2022-2029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. 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OOW jest zobowiązany u</w:t>
      </w:r>
      <w:r>
        <w:rPr>
          <w:rFonts w:ascii="Times New Roman" w:hAnsi="Times New Roman" w:cs="Times New Roman"/>
          <w:sz w:val="24"/>
          <w:szCs w:val="24"/>
        </w:rPr>
        <w:t>mieścić opis realizowanego zadania na swojej stronie internetowej, o ile ją posiada, i na profilach w mediach społecznościowych.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 Poprzez poprawne oznaczanie stron internetowych i stron mediów społecznościowych rozumie się co najmniej umieszczenie w w</w:t>
      </w:r>
      <w:r>
        <w:rPr>
          <w:rFonts w:ascii="Times New Roman" w:hAnsi="Times New Roman" w:cs="Times New Roman"/>
          <w:sz w:val="24"/>
          <w:szCs w:val="24"/>
        </w:rPr>
        <w:t>idocznym miejscu odpowiedniego zestawienia znaków, zgodnie z opisem w punkcie 1.1, a także krótkiego opisu zadania. Zestawienie znaków i opis należy umieścić na głównej stronie lub istniejącej już podstronie. OOW może utworzyć odrębną zakładkę/podstronę pr</w:t>
      </w:r>
      <w:r>
        <w:rPr>
          <w:rFonts w:ascii="Times New Roman" w:hAnsi="Times New Roman" w:cs="Times New Roman"/>
          <w:sz w:val="24"/>
          <w:szCs w:val="24"/>
        </w:rPr>
        <w:t>zeznaczoną specjalnie dla realizowanego zadania. W takiej sytuacji na stronie głównej powinien znaleźć się odnośnik do zakładki/podstrony z opisem zadania. Zestawienie znaków powinno być zamieszczone w taki sposób, aby symbol UE był widoczny w momencie wej</w:t>
      </w:r>
      <w:r>
        <w:rPr>
          <w:rFonts w:ascii="Times New Roman" w:hAnsi="Times New Roman" w:cs="Times New Roman"/>
          <w:sz w:val="24"/>
          <w:szCs w:val="24"/>
        </w:rPr>
        <w:t xml:space="preserve">ścia użytkownika na stronę (www lub aplikacji mobilnej) z opisem, tj. bez konieczności przewijania jej w dół. 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 Opis powinien zawierać: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nazwę zadania (jak w punkcie 1.1): „Dofinansowanie żłobka / klubu dziecięcego / dziennego opiekuna z programu MA</w:t>
      </w:r>
      <w:r>
        <w:rPr>
          <w:rFonts w:ascii="Times New Roman" w:hAnsi="Times New Roman" w:cs="Times New Roman"/>
          <w:sz w:val="24"/>
          <w:szCs w:val="24"/>
        </w:rPr>
        <w:t>LUCH+ 2022–2029”,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podkreślenie faktu otrzymania wsparcia finansowego z Unii Europejskiej czyli: odpowiednie zestawianie znaków (zgodnie z punktem 1.2),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zadania, działania, które będą realizowane w ramach Programu „MALUCH+” 2022-2029 (opis, co zostani</w:t>
      </w:r>
      <w:r>
        <w:rPr>
          <w:rFonts w:ascii="Times New Roman" w:hAnsi="Times New Roman" w:cs="Times New Roman"/>
          <w:sz w:val="24"/>
          <w:szCs w:val="24"/>
        </w:rPr>
        <w:t>e zrobione, zakupione, itp.),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grupy docelowe (kto skorzysta z realizacji zadania): dzieci, w tym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niepełnosprawnościami lub wymagające szczególnej opieki, do ukończenia roku szkolnego, </w:t>
      </w:r>
      <w:r>
        <w:rPr>
          <w:rFonts w:ascii="Times New Roman" w:hAnsi="Times New Roman" w:cs="Times New Roman"/>
          <w:sz w:val="24"/>
          <w:szCs w:val="24"/>
        </w:rPr>
        <w:br/>
        <w:t>w którym dziecko ukończy 3 rok życia lub dłużej, zgodnie z</w:t>
      </w:r>
      <w:r>
        <w:rPr>
          <w:rFonts w:ascii="Times New Roman" w:hAnsi="Times New Roman" w:cs="Times New Roman"/>
          <w:sz w:val="24"/>
          <w:szCs w:val="24"/>
        </w:rPr>
        <w:t xml:space="preserve"> ustawą z dnia 4 lutego 2011 r. o opiece nad dziećmi w wieku do lat 3 oraz z ustawą z dnia 12 marca 2022 r. o pomocy obywatelom Ukrainy w związku z konfliktem zbrojnym na terytorium tego państwa, rodzice, prawni opiekunowie dzieci,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cele zadania, np. dof</w:t>
      </w:r>
      <w:r>
        <w:rPr>
          <w:rFonts w:ascii="Times New Roman" w:hAnsi="Times New Roman" w:cs="Times New Roman"/>
          <w:sz w:val="24"/>
          <w:szCs w:val="24"/>
        </w:rPr>
        <w:t>inansowanie funkcjonowania 25 utworzonych miejsc w okresie 36 miesięcy,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efekty, rezultaty realizacji zadania (jeśli opis działań nie zawiera opisu efektów, rezultatów), np. utworzenie x miejsc opieki w żłobku / klubie dziecięcym / u dziennego opiekuna. </w:t>
      </w:r>
      <w:r>
        <w:rPr>
          <w:rFonts w:ascii="Times New Roman" w:hAnsi="Times New Roman" w:cs="Times New Roman"/>
          <w:sz w:val="24"/>
          <w:szCs w:val="24"/>
        </w:rPr>
        <w:t>Dofinansowanie funkcjonowania żłobka / klubu dziecięcego / dziennego opiekuna,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wartość zadania,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  <w:t>wartość dofinansowania z UE,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hasztagi: #FunduszeUE lub #FunduszeEuropejskie, (do wyboru, w zależności od źródła finansowania).  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OOW może także re</w:t>
      </w:r>
      <w:r>
        <w:rPr>
          <w:rFonts w:ascii="Times New Roman" w:hAnsi="Times New Roman" w:cs="Times New Roman"/>
          <w:sz w:val="24"/>
          <w:szCs w:val="24"/>
        </w:rPr>
        <w:t>alizować dodatkowe działania informacyjno-promocyjne, jeśli przyczyniają się one do zwiększenia efektywności realizowanych zadań i zwiększenia świadomości oraz informowania społeczeństwa o dofinansowaniu przedsięwzięcia przez Unię Europejską.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OOW jest</w:t>
      </w:r>
      <w:r>
        <w:rPr>
          <w:rFonts w:ascii="Times New Roman" w:hAnsi="Times New Roman" w:cs="Times New Roman"/>
          <w:sz w:val="24"/>
          <w:szCs w:val="24"/>
        </w:rPr>
        <w:t xml:space="preserve"> zobowiązany do stosowania niestereotypowego przekazu w materiałach informacyjnych, zgodnie ze standardem informacyjno-promocyjnym, stanowiącym część III załącznika nr 2 do Wytycznych dotyczących realizacji zasad równościowych w ramach funduszy unijnych na</w:t>
      </w:r>
      <w:r>
        <w:rPr>
          <w:rFonts w:ascii="Times New Roman" w:hAnsi="Times New Roman" w:cs="Times New Roman"/>
          <w:sz w:val="24"/>
          <w:szCs w:val="24"/>
        </w:rPr>
        <w:t xml:space="preserve"> lata 2021–2027 – w przypadku podejmowania takich działań. Oznacza to, że OOW </w:t>
      </w:r>
      <w:r>
        <w:rPr>
          <w:rFonts w:ascii="Times New Roman" w:hAnsi="Times New Roman" w:cs="Times New Roman"/>
          <w:sz w:val="24"/>
          <w:szCs w:val="24"/>
        </w:rPr>
        <w:br/>
        <w:t>w materiałach informacyjnych zobowiązany jest do niewykorzystywania przekazu dyskryminującego, ośmieszającego bądź utrwalającego stereotypy ze względu na niepełnosprawność, płeć</w:t>
      </w:r>
      <w:r>
        <w:rPr>
          <w:rFonts w:ascii="Times New Roman" w:hAnsi="Times New Roman" w:cs="Times New Roman"/>
          <w:sz w:val="24"/>
          <w:szCs w:val="24"/>
        </w:rPr>
        <w:t>, rasę, kolor skóry, pochodzenie etniczne lub społeczne, cechy genetyczne, język, religię lub przekonania, poglądy polityczne lub wszelkie inne poglądy, przynależność do mniejszości narodowej, majątek, urodzenie, niepełnosprawność, wiek lub orientację seks</w:t>
      </w:r>
      <w:r>
        <w:rPr>
          <w:rFonts w:ascii="Times New Roman" w:hAnsi="Times New Roman" w:cs="Times New Roman"/>
          <w:sz w:val="24"/>
          <w:szCs w:val="24"/>
        </w:rPr>
        <w:t xml:space="preserve">ualną. Tam, gdzie jest zasadne należy zróżnicować tematykę przekazu i sposoby komunikacji </w:t>
      </w:r>
      <w:r>
        <w:rPr>
          <w:rFonts w:ascii="Times New Roman" w:hAnsi="Times New Roman" w:cs="Times New Roman"/>
          <w:sz w:val="24"/>
          <w:szCs w:val="24"/>
        </w:rPr>
        <w:br/>
        <w:t>w zależności od oczekiwanych potrzeb odbiorców.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OOW jest zobowiązany do zapewnienia w procesie rekrutacji dzieci do instytucji opieki co najmniej 2 kanałów komu</w:t>
      </w:r>
      <w:r>
        <w:rPr>
          <w:rFonts w:ascii="Times New Roman" w:hAnsi="Times New Roman" w:cs="Times New Roman"/>
          <w:sz w:val="24"/>
          <w:szCs w:val="24"/>
        </w:rPr>
        <w:t xml:space="preserve">nikacji – o ile w trakcie rekrutacji zostanie zgłoszona taka potrzeba. 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OOW korzystający z dofinansowania do funkcjonowania miejsc opieki ma obowiązek poinformować rodziców o fakcie zakwalifikowania się do Programu, o źródle dofinansowania (KPO i / lu</w:t>
      </w:r>
      <w:r>
        <w:rPr>
          <w:rFonts w:ascii="Times New Roman" w:hAnsi="Times New Roman" w:cs="Times New Roman"/>
          <w:sz w:val="24"/>
          <w:szCs w:val="24"/>
        </w:rPr>
        <w:t xml:space="preserve">b FERS+), o miesięcznej kwocie przyznanego dofinansowania na 1 miejsce oraz </w:t>
      </w:r>
      <w:r>
        <w:rPr>
          <w:rFonts w:ascii="Times New Roman" w:hAnsi="Times New Roman" w:cs="Times New Roman"/>
          <w:sz w:val="24"/>
          <w:szCs w:val="24"/>
        </w:rPr>
        <w:br/>
        <w:t xml:space="preserve">o okresie dofinansowania niezwłocznie po dokonaniu wpisu instytucji opieki do rejestru żłobków </w:t>
      </w:r>
      <w:r>
        <w:rPr>
          <w:rFonts w:ascii="Times New Roman" w:hAnsi="Times New Roman" w:cs="Times New Roman"/>
          <w:sz w:val="24"/>
          <w:szCs w:val="24"/>
        </w:rPr>
        <w:br/>
        <w:t>i klubów dziecięcych lub do wykazu dziennych opiekunów bądź dokonaniu zmiany ww. wp</w:t>
      </w:r>
      <w:r>
        <w:rPr>
          <w:rFonts w:ascii="Times New Roman" w:hAnsi="Times New Roman" w:cs="Times New Roman"/>
          <w:sz w:val="24"/>
          <w:szCs w:val="24"/>
        </w:rPr>
        <w:t xml:space="preserve">isu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przeprowadzeniu rekrutacji do instytucji opieki, w tym poprzez zamieszczenie ww. informacji </w:t>
      </w:r>
      <w:r>
        <w:rPr>
          <w:rFonts w:ascii="Times New Roman" w:hAnsi="Times New Roman" w:cs="Times New Roman"/>
          <w:sz w:val="24"/>
          <w:szCs w:val="24"/>
        </w:rPr>
        <w:br/>
        <w:t>w ogólnie dostępnym miejscu w instytucji opieki.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OOW, który otrzymał środki dofinansowania z FERS, jest zobowiązany do przekazywania każdorazowo na wni</w:t>
      </w:r>
      <w:r>
        <w:rPr>
          <w:rFonts w:ascii="Times New Roman" w:hAnsi="Times New Roman" w:cs="Times New Roman"/>
          <w:sz w:val="24"/>
          <w:szCs w:val="24"/>
        </w:rPr>
        <w:t>osek Ministerstwa Rodziny i Polityki Społecznej, w imieniu którego działa Departament Polityki Rodzinnej, lub Instytucji Zarządzającej, tj. ministra właściwego do spraw rozwoju regionalnego albo Instytucji Pośredniczącej, tj. Ministerstwa Rodziny i Polityk</w:t>
      </w:r>
      <w:r>
        <w:rPr>
          <w:rFonts w:ascii="Times New Roman" w:hAnsi="Times New Roman" w:cs="Times New Roman"/>
          <w:sz w:val="24"/>
          <w:szCs w:val="24"/>
        </w:rPr>
        <w:t>i Społecznej, w imieniu którego działa Departament Wdrażania Europejskiego Funduszu Społecznego bądź Wojewody: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</w:t>
      </w:r>
      <w:r>
        <w:rPr>
          <w:rFonts w:ascii="Times New Roman" w:hAnsi="Times New Roman" w:cs="Times New Roman"/>
          <w:sz w:val="24"/>
          <w:szCs w:val="24"/>
        </w:rPr>
        <w:tab/>
        <w:t xml:space="preserve"> materiałów informacyjno-promocyjnych takich jak: filmy, zdjęcia, broszury informacyjne, które powstały w toku realizacji zadania wraz z u</w:t>
      </w:r>
      <w:r>
        <w:rPr>
          <w:rFonts w:ascii="Times New Roman" w:hAnsi="Times New Roman" w:cs="Times New Roman"/>
          <w:sz w:val="24"/>
          <w:szCs w:val="24"/>
        </w:rPr>
        <w:t xml:space="preserve">dzieleniem tym podmiotom nieodpłatnej </w:t>
      </w:r>
      <w:r>
        <w:rPr>
          <w:rFonts w:ascii="Times New Roman" w:hAnsi="Times New Roman" w:cs="Times New Roman"/>
          <w:sz w:val="24"/>
          <w:szCs w:val="24"/>
        </w:rPr>
        <w:br/>
        <w:t>i niewyłącznej licencji do korzystania z tych materiałów oraz prawem do udzielania sublicencji;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</w:t>
      </w:r>
      <w:r>
        <w:rPr>
          <w:rFonts w:ascii="Times New Roman" w:hAnsi="Times New Roman" w:cs="Times New Roman"/>
          <w:sz w:val="24"/>
          <w:szCs w:val="24"/>
        </w:rPr>
        <w:tab/>
        <w:t xml:space="preserve">utworów i materiałów związanych z komunikacją i widocznością (np. zdjęcia, filmy, broszury), powstałych w ramach </w:t>
      </w:r>
      <w:r>
        <w:rPr>
          <w:rFonts w:ascii="Times New Roman" w:hAnsi="Times New Roman" w:cs="Times New Roman"/>
          <w:sz w:val="24"/>
          <w:szCs w:val="24"/>
        </w:rPr>
        <w:t>zadania i udzielenia tym podmiotom nieodpłatnej i niewyłącznej licencji do korzystania z nich w następujący sposób: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na terytorium Rzeczypospolitej Polskiej oraz na terytorium innych państw członkowskich Unii Europejskiej;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na okres 10 lat;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bez </w:t>
      </w:r>
      <w:r>
        <w:rPr>
          <w:rFonts w:ascii="Times New Roman" w:hAnsi="Times New Roman" w:cs="Times New Roman"/>
          <w:sz w:val="24"/>
          <w:szCs w:val="24"/>
        </w:rPr>
        <w:t>ograniczeń co do liczby egzemplarzy i nośników, w zakresie następujących pól eksploatacji: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utrwalanie – w szczególności drukiem, zapisem w pamięci komputera i na nośnikach elektronicznych, oraz zwielokrotnianie, powielanie i kopiowanie tak powstałych eg</w:t>
      </w:r>
      <w:r>
        <w:rPr>
          <w:rFonts w:ascii="Times New Roman" w:hAnsi="Times New Roman" w:cs="Times New Roman"/>
          <w:sz w:val="24"/>
          <w:szCs w:val="24"/>
        </w:rPr>
        <w:t>zemplarzy dowolną techniką,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rozpowszechnianie oraz publikowanie w dowolny sposób (w tym poprzez: wyświetlanie lub publiczne odtwarzanie lub wprowadzanie do pamięci komputera i sieci multimedialnych, w tym Internetu) – w całości lub w części, jak również </w:t>
      </w:r>
      <w:r>
        <w:rPr>
          <w:rFonts w:ascii="Times New Roman" w:hAnsi="Times New Roman" w:cs="Times New Roman"/>
          <w:sz w:val="24"/>
          <w:szCs w:val="24"/>
        </w:rPr>
        <w:t>w połączeniu z innymi utworami,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publiczna dystrybucja utworów lub ich kopii we wszelkich formach (np. książka, broszura, CD, kanał youtube, Internet),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udostępnianie, w tym instytucjom i jednostkom organizacyjnym Unii Europejskiej, IK UP (instytucji do </w:t>
      </w:r>
      <w:r>
        <w:rPr>
          <w:rFonts w:ascii="Times New Roman" w:hAnsi="Times New Roman" w:cs="Times New Roman"/>
          <w:sz w:val="24"/>
          <w:szCs w:val="24"/>
        </w:rPr>
        <w:t xml:space="preserve">spraw koordynacji wdrożeniowej Umowy Partnerstwa w zakresie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i promocji, której funkcję pełni komórka organizacyjna w urzędzie obsługującym ministra właściwego do spraw rozwoju regionalnego), Instytucji Zarządzającej i Instytucji Pośredniczącej </w:t>
      </w:r>
      <w:r>
        <w:rPr>
          <w:rFonts w:ascii="Times New Roman" w:hAnsi="Times New Roman" w:cs="Times New Roman"/>
          <w:sz w:val="24"/>
          <w:szCs w:val="24"/>
        </w:rPr>
        <w:t>oraz ich pracownikom oraz publiczne udostępnianie przy wykorzystaniu wszelkich środków komunikacji (np. Internet),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przechowywanie i archiwizowanie w postaci papierowej albo elektronicznej;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hAnsi="Times New Roman" w:cs="Times New Roman"/>
          <w:sz w:val="24"/>
          <w:szCs w:val="24"/>
        </w:rPr>
        <w:tab/>
        <w:t>z prawem do udzielania osobom trzecim sublicencji na warunkach</w:t>
      </w:r>
      <w:r>
        <w:rPr>
          <w:rFonts w:ascii="Times New Roman" w:hAnsi="Times New Roman" w:cs="Times New Roman"/>
          <w:sz w:val="24"/>
          <w:szCs w:val="24"/>
        </w:rPr>
        <w:t xml:space="preserve"> i polach eksploatacji, </w:t>
      </w:r>
      <w:r>
        <w:rPr>
          <w:rFonts w:ascii="Times New Roman" w:hAnsi="Times New Roman" w:cs="Times New Roman"/>
          <w:sz w:val="24"/>
          <w:szCs w:val="24"/>
        </w:rPr>
        <w:br/>
        <w:t>o których mowa w lit. a – c.</w:t>
      </w:r>
    </w:p>
    <w:p w:rsidR="006F3B7D" w:rsidRDefault="0045598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Wojewoda może zażądać zwrotu części środków dofinansowania, jeśli OOW nie realizuje obowiązków informacyjno-promocyjnych w ramach programu „MALUCH+” 2022–2029.  Wojewoda na podstawie analizy niezre</w:t>
      </w:r>
      <w:r>
        <w:rPr>
          <w:rFonts w:ascii="Times New Roman" w:hAnsi="Times New Roman" w:cs="Times New Roman"/>
          <w:sz w:val="24"/>
          <w:szCs w:val="24"/>
        </w:rPr>
        <w:t>alizowanych obowiązków informacyjno-promocyjnych oszacowuje wysokość środków dofinansowania, jaka podlega zwrotowi.</w:t>
      </w:r>
    </w:p>
    <w:sectPr w:rsidR="006F3B7D">
      <w:footerReference w:type="even" r:id="rId8"/>
      <w:footerReference w:type="default" r:id="rId9"/>
      <w:footerReference w:type="first" r:id="rId10"/>
      <w:pgSz w:w="11906" w:h="16838"/>
      <w:pgMar w:top="1134" w:right="1134" w:bottom="794" w:left="1134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84" w:rsidRDefault="00455984">
      <w:pPr>
        <w:spacing w:after="0" w:line="240" w:lineRule="auto"/>
      </w:pPr>
      <w:r>
        <w:separator/>
      </w:r>
    </w:p>
  </w:endnote>
  <w:endnote w:type="continuationSeparator" w:id="0">
    <w:p w:rsidR="00455984" w:rsidRDefault="0045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7D" w:rsidRDefault="0045598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F3B7D" w:rsidRDefault="0045598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hpHd6L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6F3B7D" w:rsidRDefault="00455984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7D" w:rsidRDefault="00455984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F3B7D" w:rsidRDefault="0045598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928A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-46.1pt;margin-top:.05pt;width:5.1pt;height:12.2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Pj9Nni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6F3B7D" w:rsidRDefault="00455984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928A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3B7D" w:rsidRDefault="006F3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7D" w:rsidRDefault="00455984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F3B7D" w:rsidRDefault="0045598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6.1pt;margin-top:.05pt;width:5.1pt;height:12.2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LF9UuG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6F3B7D" w:rsidRDefault="00455984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3B7D" w:rsidRDefault="006F3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84" w:rsidRDefault="00455984">
      <w:pPr>
        <w:spacing w:after="0" w:line="240" w:lineRule="auto"/>
      </w:pPr>
      <w:r>
        <w:separator/>
      </w:r>
    </w:p>
  </w:footnote>
  <w:footnote w:type="continuationSeparator" w:id="0">
    <w:p w:rsidR="00455984" w:rsidRDefault="00455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D"/>
    <w:rsid w:val="00455984"/>
    <w:rsid w:val="004928A9"/>
    <w:rsid w:val="006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E4F7-6D42-4A6B-92AA-081B0E7C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3F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E20E0"/>
    <w:rPr>
      <w:rFonts w:cs="Times New Roman"/>
    </w:rPr>
  </w:style>
  <w:style w:type="character" w:customStyle="1" w:styleId="FooterChar">
    <w:name w:val="Footer Char"/>
    <w:uiPriority w:val="99"/>
    <w:qFormat/>
    <w:locked/>
    <w:rsid w:val="003E20E0"/>
  </w:style>
  <w:style w:type="character" w:customStyle="1" w:styleId="HeaderChar1">
    <w:name w:val="Header Char1"/>
    <w:basedOn w:val="Domylnaczcionkaakapitu"/>
    <w:uiPriority w:val="99"/>
    <w:semiHidden/>
    <w:qFormat/>
    <w:locked/>
    <w:rsid w:val="00B1342F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B1342F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1342F"/>
    <w:rPr>
      <w:rFonts w:cs="Times New Roman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684609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10388"/>
    <w:rPr>
      <w:rFonts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661596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qFormat/>
    <w:rsid w:val="0086776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3E20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D73F9"/>
    <w:pPr>
      <w:spacing w:after="140" w:line="276" w:lineRule="auto"/>
    </w:pPr>
  </w:style>
  <w:style w:type="paragraph" w:styleId="Lista">
    <w:name w:val="List"/>
    <w:basedOn w:val="Tekstpodstawowy"/>
    <w:uiPriority w:val="99"/>
    <w:rsid w:val="007D73F9"/>
    <w:rPr>
      <w:rFonts w:cs="Mangal"/>
    </w:rPr>
  </w:style>
  <w:style w:type="paragraph" w:styleId="Legenda">
    <w:name w:val="caption"/>
    <w:basedOn w:val="Normalny"/>
    <w:uiPriority w:val="99"/>
    <w:qFormat/>
    <w:rsid w:val="007D73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7D73F9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qFormat/>
    <w:rsid w:val="007D73F9"/>
  </w:style>
  <w:style w:type="paragraph" w:styleId="Stopka">
    <w:name w:val="footer"/>
    <w:basedOn w:val="Normalny"/>
    <w:link w:val="StopkaZnak"/>
    <w:uiPriority w:val="99"/>
    <w:rsid w:val="003E20E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C38B9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1596"/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rodzina/maluch-2022-20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5 do umowy nr …… z dnia ………………</vt:lpstr>
    </vt:vector>
  </TitlesOfParts>
  <Company>LUW w Lublinie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5 do umowy nr …… z dnia ………………</dc:title>
  <dc:subject/>
  <dc:creator>Dariusz Szwedo</dc:creator>
  <dc:description/>
  <cp:lastModifiedBy>Marta Kaźmierczak (mkazmierczak)</cp:lastModifiedBy>
  <cp:revision>2</cp:revision>
  <dcterms:created xsi:type="dcterms:W3CDTF">2024-03-13T14:18:00Z</dcterms:created>
  <dcterms:modified xsi:type="dcterms:W3CDTF">2024-03-13T14:18:00Z</dcterms:modified>
  <dc:language>pl-PL</dc:language>
</cp:coreProperties>
</file>