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465982F7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702E9">
        <w:rPr>
          <w:rFonts w:ascii="Arial" w:hAnsi="Arial" w:cs="Arial"/>
          <w:b/>
          <w:color w:val="auto"/>
          <w:sz w:val="24"/>
          <w:szCs w:val="24"/>
        </w:rPr>
        <w:t>I</w:t>
      </w:r>
      <w:r w:rsidR="006C570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69734F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48D075FD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Minister Gospodarki Morskiej i Żeglugi Śródlądowej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347D877D" w14:textId="77777777" w:rsidR="00A63DFF" w:rsidRPr="002D7C74" w:rsidRDefault="00A63DFF" w:rsidP="00E90AD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</w:t>
            </w:r>
            <w:r w:rsidRPr="002D7C74">
              <w:rPr>
                <w:rFonts w:ascii="Arial" w:hAnsi="Arial" w:cs="Arial"/>
                <w:bCs/>
                <w:sz w:val="20"/>
                <w:szCs w:val="20"/>
              </w:rPr>
              <w:t>acyjnych i zasobów nauki</w:t>
            </w:r>
          </w:p>
          <w:p w14:paraId="55D5C38B" w14:textId="36F6EF7A" w:rsidR="002D7C74" w:rsidRPr="0088524C" w:rsidRDefault="002D7C74" w:rsidP="00E90A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E90ADF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254ADE" w:rsidRPr="002B50C0" w14:paraId="617798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E470D6" w14:textId="41A76D3F" w:rsidR="00254ADE" w:rsidRPr="008A332F" w:rsidRDefault="00254ADE" w:rsidP="00254A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97419" w14:textId="5C9D097F" w:rsidR="00254ADE" w:rsidRPr="0088524C" w:rsidRDefault="00254ADE" w:rsidP="00254ADE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C5701">
              <w:rPr>
                <w:rFonts w:ascii="Arial" w:hAnsi="Arial" w:cs="Arial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0EC73019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.12.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</w:t>
            </w:r>
          </w:p>
          <w:p w14:paraId="48C3B0C2" w14:textId="3E8151BA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2020</w:t>
            </w:r>
            <w:r w:rsidR="006A3DA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(data pierwotna: 30.11.2020)</w:t>
            </w:r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C44A01C" w14:textId="77777777" w:rsidR="001D639F" w:rsidRDefault="001D639F" w:rsidP="00A63DFF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1F1FAF3" w14:textId="2D7B3FA0" w:rsidR="00A63DFF" w:rsidRPr="0088524C" w:rsidRDefault="00A63DFF" w:rsidP="00A63DFF">
      <w:pPr>
        <w:spacing w:line="240" w:lineRule="auto"/>
        <w:rPr>
          <w:color w:val="000000" w:themeColor="text1"/>
          <w:sz w:val="20"/>
          <w:szCs w:val="20"/>
        </w:rPr>
      </w:pP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3841583F" w:rsidR="00A63DFF" w:rsidRPr="00C01ED6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5702448" w14:textId="3DE34B58" w:rsidR="00033657" w:rsidRPr="00136E5E" w:rsidRDefault="00C96758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20,36</w:t>
            </w:r>
            <w:r w:rsidR="00033657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34B2721" w14:textId="53CE3C5E" w:rsidR="00A63DFF" w:rsidRDefault="00C96758" w:rsidP="0003365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13,17</w:t>
            </w:r>
            <w:r w:rsidR="00A63DFF" w:rsidRPr="00136E5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2408EDC" w14:textId="07B62656" w:rsidR="00033657" w:rsidRPr="00136E5E" w:rsidRDefault="00033657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41B56FA1" w14:textId="1FBF3AD9" w:rsidR="00A63DFF" w:rsidRPr="00C01ED6" w:rsidRDefault="00B368B2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82,66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16221874" w14:textId="77777777" w:rsidR="001D639F" w:rsidRPr="001D639F" w:rsidRDefault="001D639F" w:rsidP="001D639F">
      <w:pPr>
        <w:pStyle w:val="Nagwek3"/>
        <w:spacing w:after="200" w:line="240" w:lineRule="auto"/>
        <w:ind w:left="426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BCE7FB3" w14:textId="0641673C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7D003EB2" w:rsidR="00BF0D6D" w:rsidRPr="00C01ED6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346" w:type="dxa"/>
          </w:tcPr>
          <w:p w14:paraId="40F479A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3973164" w14:textId="715E1D16" w:rsidR="00A63DFF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5DE870FA" w14:textId="77777777" w:rsidR="001902D6" w:rsidRDefault="001902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533BF8C2" w14:textId="428EBA72" w:rsidR="001902D6" w:rsidRPr="00BF0D6D" w:rsidRDefault="001902D6" w:rsidP="00BF0D6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6B26FE2" w14:textId="78937F27" w:rsidR="001902D6" w:rsidRPr="00BF0D6D" w:rsidRDefault="00B77646" w:rsidP="00BF0D6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Późniejsze od spodziewanego przystąpienie do realizacji umowy w związku z odmową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>którego oferta została pierwotnie oceniona jako najkorzystniejsza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(konieczność kontynuowania postępowania z drugim Wykonawcą)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6C5701" w:rsidRP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Błędy w projekcie budowlanym w zakresie instalacji odgromowej skutkujące koniecznością poprawy projektu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6C5701" w:rsidRPr="00BF0D6D" w:rsidDel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DEC8A15" w14:textId="264983EF" w:rsidR="008B47F3" w:rsidRPr="008B47F3" w:rsidRDefault="00703728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osiągnięcia: 0</w:t>
            </w:r>
            <w:r w:rsidR="00BF0D6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.2020</w:t>
            </w:r>
          </w:p>
        </w:tc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5B0EFC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476DA935" w:rsidR="00A63DFF" w:rsidRPr="005B0EFC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5F1ADD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46" w:type="dxa"/>
          </w:tcPr>
          <w:p w14:paraId="42D05CC5" w14:textId="56C538BC" w:rsidR="00A63DFF" w:rsidRPr="005B0EFC" w:rsidRDefault="006C570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2793" w:type="dxa"/>
          </w:tcPr>
          <w:p w14:paraId="4E83C662" w14:textId="55012201" w:rsidR="00A63DFF" w:rsidRPr="005B0EFC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6E9382B7" w14:textId="2D51782F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297C6311" w14:textId="62F848AB" w:rsidR="00B90E2D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odmowa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którego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oferta została pierwotnie oceniona jako najkorzystniejsza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konieczność kontynuowania procedury przetargowej z kolejnym oferentem</w:t>
            </w:r>
          </w:p>
          <w:p w14:paraId="305E8F1F" w14:textId="718810EB" w:rsidR="00D422AC" w:rsidRPr="005B0EFC" w:rsidRDefault="00D422A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System do odbioru danych Sentinel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6B95C4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346" w:type="dxa"/>
          </w:tcPr>
          <w:p w14:paraId="42901B0E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D6AB317" w14:textId="4FFE8683" w:rsidR="00A63DFF" w:rsidRPr="00C01ED6" w:rsidRDefault="008312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111BA689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</w:t>
            </w:r>
            <w:r w:rsidR="00CD498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9</w:t>
            </w: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</w:t>
            </w:r>
            <w:r w:rsidR="00CD498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3AE033D5" w14:textId="5F5BBC02" w:rsidR="00A63DFF" w:rsidRPr="005B0EFC" w:rsidRDefault="00FC6C1E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09-2019</w:t>
            </w:r>
          </w:p>
        </w:tc>
        <w:tc>
          <w:tcPr>
            <w:tcW w:w="2793" w:type="dxa"/>
          </w:tcPr>
          <w:p w14:paraId="46313A16" w14:textId="3810B976" w:rsidR="00A63DFF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24F1BDA" w14:textId="77777777" w:rsidR="00831259" w:rsidRPr="005B0EFC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215D47" w14:textId="77777777" w:rsidR="00F15930" w:rsidRDefault="00906D93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Przyczyny opóźnienia: konieczność powtórzenia postępowania o zamówienie publiczne w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związku z uchyleniem się przez Wykonawcę </w:t>
            </w:r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Kongsberg Spacetec AS wyłonionego w pierwszym postępowaniu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od podpisania umowy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332791E" w14:textId="515C8806" w:rsidR="00421EE4" w:rsidRP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1EE4"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unieważnienia drugiego postępowania w związku z odrzuceniem jedynej złożonej oferty.</w:t>
            </w: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Brak możliwości przypisania wartości docelowej wskaźników do kamienia, ich osiągnięcie zależy łącznie od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zrealizowania wszystkich kamieni, z którymi są powiązane</w:t>
            </w:r>
          </w:p>
        </w:tc>
        <w:tc>
          <w:tcPr>
            <w:tcW w:w="1418" w:type="dxa"/>
          </w:tcPr>
          <w:p w14:paraId="2D1A2849" w14:textId="0BFDF8D1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4247CE5C" w:rsidR="00A63DFF" w:rsidRPr="00C01ED6" w:rsidRDefault="00F27FB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05.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793" w:type="dxa"/>
          </w:tcPr>
          <w:p w14:paraId="0B9007D0" w14:textId="33495204" w:rsidR="008B47F3" w:rsidRPr="008B47F3" w:rsidRDefault="00F27FBF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1EDC3B1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154FF9E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804F97D" w14:textId="77777777" w:rsidR="00A63DFF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38331897" w14:textId="1441DCDD" w:rsidR="004357D9" w:rsidRPr="00C01ED6" w:rsidRDefault="004357D9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1D639F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  <w:r w:rsidRPr="001D639F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 w:rsidRPr="001D639F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1D639F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76CE4400" w:rsidR="00A63DFF" w:rsidRPr="001D639F" w:rsidRDefault="005F1ADD" w:rsidP="00BC03AD">
            <w:pPr>
              <w:rPr>
                <w:rFonts w:ascii="Arial" w:eastAsia="Calibri" w:hAnsi="Arial" w:cs="Arial"/>
                <w:strike/>
                <w:color w:val="000000" w:themeColor="text1"/>
                <w:sz w:val="20"/>
                <w:szCs w:val="20"/>
              </w:rPr>
            </w:pPr>
            <w:r w:rsidRPr="001D639F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02-</w:t>
            </w:r>
            <w:r w:rsidR="00A63DFF" w:rsidRPr="001D639F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1D639F" w:rsidRDefault="00A63DFF" w:rsidP="00BC03AD">
            <w:pPr>
              <w:pStyle w:val="Akapitzlist"/>
              <w:ind w:left="7"/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2A82B4F" w14:textId="4A12142D" w:rsidR="000F4B2D" w:rsidRPr="00C01ED6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usunięty z harmonogramu projektu</w:t>
            </w:r>
            <w:r w:rsidR="005F28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D639F">
              <w:rPr>
                <w:rFonts w:ascii="Arial" w:hAnsi="Arial" w:cs="Arial"/>
                <w:color w:val="000000" w:themeColor="text1"/>
                <w:sz w:val="20"/>
                <w:szCs w:val="20"/>
              </w:rPr>
              <w:t>na mocy aneksu do umowy o dofinansowanie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6213A3F1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3DB7D92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66D2F6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56FC1952" w:rsidR="00A63DFF" w:rsidRPr="000F4B2D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1831A7E6" w14:textId="7B7C471A" w:rsidR="00A63DFF" w:rsidRPr="000F4B2D" w:rsidRDefault="00703728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2793" w:type="dxa"/>
          </w:tcPr>
          <w:p w14:paraId="3519ACB1" w14:textId="5FA513C2" w:rsidR="00A63DFF" w:rsidRPr="000F4B2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4E0D8D1" w14:textId="3FFFA6A2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3F52F18" w14:textId="20645361" w:rsidR="00B90E2D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402F101" w14:textId="48C6CB86" w:rsidR="00D422AC" w:rsidRPr="00B90E2D" w:rsidRDefault="00B90E2D" w:rsidP="00B90E2D"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Nieznacznie dłuższa od przewidywanej procedura przetargowa</w:t>
            </w: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394AF75D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A6810BB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556A6A2" w14:textId="3ABEB239" w:rsidR="00290F54" w:rsidRPr="00C01ED6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57C00D10" w:rsidR="00A63DFF" w:rsidRPr="00D361DB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758A34B9" w14:textId="77777777" w:rsidR="00A63DFF" w:rsidRPr="00D361DB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76C2CDD" w14:textId="429CCC4B" w:rsidR="00F339B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7AFF3CFD" w14:textId="77777777" w:rsidR="005C78D6" w:rsidRDefault="005C78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E254DA8" w14:textId="40281CC0" w:rsidR="00CD35E4" w:rsidRDefault="005C78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Konieczność unieważnienia postępowania (część 1 i 2) z uwagi na niezłożenie żadnej oferty niepodlegającej odrzuceniu. </w:t>
            </w:r>
            <w:r w:rsidR="006162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Postępowanie zostało ponownie wszczęte. </w:t>
            </w:r>
          </w:p>
          <w:p w14:paraId="74108AAC" w14:textId="77777777" w:rsidR="00F339BD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2158D99" w14:textId="066DD863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1627A">
              <w:rPr>
                <w:rFonts w:ascii="Arial" w:hAnsi="Arial" w:cs="Arial"/>
                <w:color w:val="000000" w:themeColor="text1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.2020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555692CD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50CA5F4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AD7DBA7" w14:textId="020BDDF5" w:rsidR="00A63DFF" w:rsidRDefault="005F28B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414756E9" w14:textId="0AA3D1E2" w:rsidR="00F339BD" w:rsidRPr="00C01ED6" w:rsidRDefault="00F339BD" w:rsidP="005F28B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Zorganizowanie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70C73688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D141D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2583E2B0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</w:t>
            </w:r>
            <w:r w:rsidR="00CD35E4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08F4DCCB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4197DCC6" w14:textId="29845BB9" w:rsidR="00A63DFF" w:rsidRPr="006226EC" w:rsidRDefault="00220F86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793" w:type="dxa"/>
          </w:tcPr>
          <w:p w14:paraId="32D8DCF0" w14:textId="278E52B8" w:rsidR="00A63DFF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9FD7DAE" w14:textId="5CF8352C" w:rsidR="000E0A55" w:rsidRPr="00C01ED6" w:rsidRDefault="000E0A55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648E45C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1E0646A" w14:textId="78652D0B" w:rsidR="00A63DFF" w:rsidRPr="00C01ED6" w:rsidRDefault="0062070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41174D0A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03E4A1C0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1DE5B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219F0CFF" w:rsidR="00A63DFF" w:rsidRPr="00C01ED6" w:rsidRDefault="005C78D6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7CAECE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D78D13B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59444D3B" w14:textId="044F3258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zakup wyposażenia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dla centrum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7512EBC7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4BC29543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AE4085E" w14:textId="14562766" w:rsidR="00A63DFF" w:rsidRPr="006226EC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484BF372" w14:textId="77777777" w:rsidR="005C78D6" w:rsidRDefault="006226E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został połączony z postępowaniem 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na wyposażenie na potrzeby 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stacjonarnego centrum analizowania i opracowywania danych satelitarnych.</w:t>
            </w:r>
          </w:p>
          <w:p w14:paraId="24C73581" w14:textId="77777777" w:rsidR="005C78D6" w:rsidRDefault="005C78D6" w:rsidP="005C78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02E4FF1D" w14:textId="1B3B6218" w:rsidR="00F339BD" w:rsidRPr="00C01ED6" w:rsidRDefault="005C78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unieważnienia postępowania (część 1 i 2) z uwagi na niezłożenie żadnej oferty niepodlegającej odrzuceniu.</w:t>
            </w:r>
            <w:r w:rsidR="006162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Postępowanie zostało ponownie wszczęte. </w:t>
            </w:r>
            <w:r w:rsidR="00F339BD"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 w:rsidR="00F33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1627A"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1627A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09.2020</w:t>
            </w: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334D31CF" w:rsidR="00A63DFF" w:rsidRPr="00C01ED6" w:rsidRDefault="005C78D6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4489599A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9EDED90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643F4B79" w14:textId="50DDED6F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32931AB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1AAA9E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5075F2A5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57EA74F0" w:rsidR="00A63DFF" w:rsidRPr="00C01ED6" w:rsidRDefault="005F1AD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4D7632A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="0062299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781A039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9097A0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445262F" w14:textId="46B0F89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BD6AEB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zdigitalizowanych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430AF87" w14:textId="5C9E703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ACA9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</w:p>
        </w:tc>
        <w:tc>
          <w:tcPr>
            <w:tcW w:w="1701" w:type="dxa"/>
          </w:tcPr>
          <w:p w14:paraId="1516A68D" w14:textId="3FC381E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10025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02F15A" w14:textId="14943F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68C1F62" w14:textId="4AC75DD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pobrań/odtworzeń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</w:p>
        </w:tc>
        <w:tc>
          <w:tcPr>
            <w:tcW w:w="1701" w:type="dxa"/>
          </w:tcPr>
          <w:p w14:paraId="36DD7722" w14:textId="55FBE48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693017D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2E9B4B09" w14:textId="57724F4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69A56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</w:p>
        </w:tc>
        <w:tc>
          <w:tcPr>
            <w:tcW w:w="1701" w:type="dxa"/>
          </w:tcPr>
          <w:p w14:paraId="53602703" w14:textId="580A3D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2AC5732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361F3BD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1D639F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1D639F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zdigitalizowane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1D639F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1D639F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Meteosat</w:t>
            </w:r>
          </w:p>
        </w:tc>
        <w:tc>
          <w:tcPr>
            <w:tcW w:w="1261" w:type="dxa"/>
          </w:tcPr>
          <w:p w14:paraId="62A79C0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53197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125481D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65E76E6" w14:textId="77777777" w:rsidTr="001D639F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B92273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F732A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283096A" w14:textId="77777777" w:rsidTr="001D639F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Terra/Aqua</w:t>
            </w:r>
          </w:p>
        </w:tc>
        <w:tc>
          <w:tcPr>
            <w:tcW w:w="1261" w:type="dxa"/>
          </w:tcPr>
          <w:p w14:paraId="7858EA5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622D0B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00ACDC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094BE4" w14:textId="77777777" w:rsidTr="001D639F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Suomi NPP</w:t>
            </w:r>
          </w:p>
        </w:tc>
        <w:tc>
          <w:tcPr>
            <w:tcW w:w="1261" w:type="dxa"/>
          </w:tcPr>
          <w:p w14:paraId="1EF221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FA867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2B05012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77561F8" w14:textId="77777777" w:rsidTr="001D639F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-1</w:t>
            </w:r>
          </w:p>
        </w:tc>
        <w:tc>
          <w:tcPr>
            <w:tcW w:w="1261" w:type="dxa"/>
          </w:tcPr>
          <w:p w14:paraId="1D0FB44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E85066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527C3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9050B2B" w14:textId="77777777" w:rsidTr="001D639F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-2</w:t>
            </w:r>
          </w:p>
        </w:tc>
        <w:tc>
          <w:tcPr>
            <w:tcW w:w="1261" w:type="dxa"/>
          </w:tcPr>
          <w:p w14:paraId="460502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3E3BA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738323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99C920C" w14:textId="77777777" w:rsidTr="001D639F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-3</w:t>
            </w:r>
          </w:p>
        </w:tc>
        <w:tc>
          <w:tcPr>
            <w:tcW w:w="1261" w:type="dxa"/>
          </w:tcPr>
          <w:p w14:paraId="4E83032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31BE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302FECC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00F787E" w14:textId="77777777" w:rsidTr="001D639F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z innych satelitów (nie objęte bazami wymienionymi powyżej, a dostępne poprzez system EUMETCast)</w:t>
            </w:r>
          </w:p>
        </w:tc>
        <w:tc>
          <w:tcPr>
            <w:tcW w:w="1261" w:type="dxa"/>
          </w:tcPr>
          <w:p w14:paraId="5DB506D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4D47A7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66AF39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BAE111" w14:textId="77777777" w:rsidTr="001D639F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5747EC74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: </w:t>
            </w:r>
          </w:p>
          <w:p w14:paraId="7D46FDF8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Wojewódzkie plany zarządzania kryzysowego</w:t>
            </w:r>
          </w:p>
        </w:tc>
        <w:tc>
          <w:tcPr>
            <w:tcW w:w="1261" w:type="dxa"/>
          </w:tcPr>
          <w:p w14:paraId="278A1F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8E7A75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A0BFB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63DFF" w:rsidRPr="002B50C0" w14:paraId="413EF7CF" w14:textId="77777777" w:rsidTr="00BC03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BC03AD">
        <w:tc>
          <w:tcPr>
            <w:tcW w:w="2547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Stacja odbioru i przetwarzania danych Sentinel</w:t>
            </w:r>
          </w:p>
        </w:tc>
        <w:tc>
          <w:tcPr>
            <w:tcW w:w="1701" w:type="dxa"/>
          </w:tcPr>
          <w:p w14:paraId="6F07A0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12B56B5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BC03AD">
        <w:tc>
          <w:tcPr>
            <w:tcW w:w="2547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701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648DD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BC03AD">
        <w:tc>
          <w:tcPr>
            <w:tcW w:w="2547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Stacjonarne centrum analizowania i opracowywania danych 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701" w:type="dxa"/>
          </w:tcPr>
          <w:p w14:paraId="3C422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503C553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BC03AD">
        <w:tc>
          <w:tcPr>
            <w:tcW w:w="2547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 wideo-konferencyjny</w:t>
            </w:r>
          </w:p>
        </w:tc>
        <w:tc>
          <w:tcPr>
            <w:tcW w:w="1701" w:type="dxa"/>
          </w:tcPr>
          <w:p w14:paraId="137BB843" w14:textId="7EF61797" w:rsidR="00A63DFF" w:rsidRPr="00C01ED6" w:rsidRDefault="001648AE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43" w:type="dxa"/>
          </w:tcPr>
          <w:p w14:paraId="0C588C6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BC03AD">
        <w:tc>
          <w:tcPr>
            <w:tcW w:w="2547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Mobilne centrum analizowania i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opracowywania danych satelitarnych</w:t>
            </w:r>
          </w:p>
        </w:tc>
        <w:tc>
          <w:tcPr>
            <w:tcW w:w="1701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1C1D4C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BC03AD">
        <w:tc>
          <w:tcPr>
            <w:tcW w:w="2547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Mobilny zespół wsparcia</w:t>
            </w:r>
          </w:p>
        </w:tc>
        <w:tc>
          <w:tcPr>
            <w:tcW w:w="1701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65A28E10" w14:textId="0E409059" w:rsidR="00A63DFF" w:rsidRPr="00C01ED6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3543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BC03AD">
        <w:tc>
          <w:tcPr>
            <w:tcW w:w="2547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701" w:type="dxa"/>
          </w:tcPr>
          <w:p w14:paraId="74A723F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4B1CA04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BC03AD">
        <w:tc>
          <w:tcPr>
            <w:tcW w:w="2547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701" w:type="dxa"/>
          </w:tcPr>
          <w:p w14:paraId="18BD416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2F8268C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BC03AD">
        <w:tc>
          <w:tcPr>
            <w:tcW w:w="2547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Publikacja/podręcznik - pod roboczym tytułem „Technologie satelitarne dla potrzeb administracji publicznej”</w:t>
            </w:r>
          </w:p>
        </w:tc>
        <w:tc>
          <w:tcPr>
            <w:tcW w:w="1701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3" w:type="dxa"/>
          </w:tcPr>
          <w:p w14:paraId="0867D3D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BC03AD">
        <w:tc>
          <w:tcPr>
            <w:tcW w:w="2547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701" w:type="dxa"/>
          </w:tcPr>
          <w:p w14:paraId="42F31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021D04A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FD329E1" w14:textId="77777777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B48C266" w14:textId="483238D7" w:rsidR="00A63DFF" w:rsidRPr="00C01ED6" w:rsidRDefault="00F339BD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384" w:type="dxa"/>
          </w:tcPr>
          <w:p w14:paraId="2156859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0CAE541A" w14:textId="7435373C" w:rsidR="00A63DFF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 Staranne przygotowanie dokumentacji przetargowej, zwłaszcza Opisu Przedmiotu Zamówienia</w:t>
            </w:r>
          </w:p>
          <w:p w14:paraId="1BF70E11" w14:textId="7562159B" w:rsidR="00431C31" w:rsidRDefault="00431C31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Dotychczasowe efekty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podejmowanych działań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: brak konieczności wprowadzania znaczących zmian w dokumentacji przetargowej w toku postępowań.</w:t>
            </w:r>
          </w:p>
          <w:p w14:paraId="0D3A6AA1" w14:textId="0C57B63E" w:rsidR="00763FA9" w:rsidRDefault="00763FA9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Nastąpiła materializacja ryzyka w zakresie największego postępowania w projekcie: na dostawę stacji odbioru danych satelitarnych (konieczne było unieważnienie postępowania).</w:t>
            </w:r>
          </w:p>
          <w:p w14:paraId="403FA4E4" w14:textId="6C728D09" w:rsidR="00D52FF9" w:rsidRDefault="00431C31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ramach środków zaradczych 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interdyscyplinarny zespół pracowników Beneficjenta dokonał analizy prawnej i faktycznej zaistniałej sytuacji i w jej wyniku rekomendował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udzieleni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zamówienia w trybie z wolnej ręki – w efekcie z końcem września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2019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.r. zawarto umowę.</w:t>
            </w:r>
          </w:p>
          <w:p w14:paraId="3E3B3421" w14:textId="77A5A87C" w:rsidR="002411EC" w:rsidRDefault="001648AE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obejmuje również kwestię</w:t>
            </w:r>
            <w:r w:rsidR="00252B9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wycofywania się </w:t>
            </w:r>
            <w:r w:rsidR="0004587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 zawierania umów przez Wykonawców wobec pandemii</w:t>
            </w:r>
            <w:r w:rsidR="006600F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COVID-19</w:t>
            </w:r>
            <w:r w:rsidR="002411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  <w:r w:rsidR="0004587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celu zapobiegania ryzyku do projektów umów w trwających postępowaniach wprowadzono zapisy traktujące pandemię jako siłę wyższą.</w:t>
            </w:r>
          </w:p>
          <w:p w14:paraId="0F4FD716" w14:textId="39E3777A" w:rsidR="001648AE" w:rsidRPr="00C01ED6" w:rsidRDefault="001648AE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bieżącym okresie sprawozdawczym ryzyko zmaterializowało się w odniesieniu do postępowania na wyposażenie stacjonarnego centrum przetwarzania danych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satelitarnych oraz centrum udostępniania danych (konieczność odrzucenia wszystkich ofert w cz. 1 i 2 postępowania z uwagi na niezgodność z OPZ i w konsekwencji unieważnienie postępowania). W celu zapobiegnięcia powtórzeni</w:t>
            </w:r>
            <w:r w:rsidR="004715F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sytuacji w kolejnym postępowaniu zmodyfikowano zapisy OPZ w zakresie, który </w:t>
            </w:r>
            <w:r w:rsidR="004715F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okazał się być problematyczny dla Wykonawców.</w:t>
            </w:r>
            <w:r w:rsidR="007B7F3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7A67D52" w14:textId="0E193D10" w:rsidR="00A63DFF" w:rsidRPr="00C01ED6" w:rsidRDefault="00431C31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392280A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135DFACE" w14:textId="01998AD5" w:rsidR="00FE6FB0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rozwiązań, które muszą być zaprojektowane, wykonane i dostarczone na etapie budowy infrastruktury.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0C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Zakres ryzyka zmniejszył się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(w III kwartale 2019 r.) </w:t>
            </w:r>
            <w:r w:rsidR="00B40C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wyniku podpisania umowy na dostawę stacji do odbioru danych Sentinel-1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 doświadczonego dostawcy.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Ponadto operacyjny harmonogram projektu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dostosowano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stosownie dla zapewnienia współpracy pomiędzy dostawcą stacji odbioru danych satelitarnych a wykonawcą masztu pod antenę, w rezultacie czego spodziewane jest zapewnienie kompatybilności rozwiązań i ograniczenie ryzyka braku możliwości wykorzystania zamówionej stacji.</w:t>
            </w:r>
          </w:p>
          <w:p w14:paraId="5CEAD93A" w14:textId="6CEA9632" w:rsidR="002411EC" w:rsidRPr="00C01ED6" w:rsidRDefault="002411EC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  <w:p w14:paraId="56B8A260" w14:textId="68553D9D" w:rsidR="00A63DFF" w:rsidRPr="00C01ED6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62B0A" w:rsidRPr="00C01ED6" w:rsidDel="0014218D" w14:paraId="72DC8EE4" w14:textId="77777777" w:rsidTr="00BC03AD">
        <w:tc>
          <w:tcPr>
            <w:tcW w:w="3232" w:type="dxa"/>
            <w:vAlign w:val="center"/>
          </w:tcPr>
          <w:p w14:paraId="2BDE09C8" w14:textId="724379B0" w:rsidR="00062B0A" w:rsidRPr="00C01ED6" w:rsidDel="0014218D" w:rsidRDefault="00062B0A" w:rsidP="00062B0A">
            <w:pPr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803A58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Brak możliwości instalacji stacji odbioru i przetwarzania danych satelitarnych z uwagi na opóźnienie w budowie masztu</w:t>
            </w:r>
          </w:p>
        </w:tc>
        <w:tc>
          <w:tcPr>
            <w:tcW w:w="1559" w:type="dxa"/>
          </w:tcPr>
          <w:p w14:paraId="002A0298" w14:textId="293D935C" w:rsidR="00062B0A" w:rsidRPr="00C01ED6" w:rsidDel="0014218D" w:rsidRDefault="007B7F32" w:rsidP="00062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559" w:type="dxa"/>
          </w:tcPr>
          <w:p w14:paraId="66B238E3" w14:textId="6AC18A6D" w:rsidR="00062B0A" w:rsidDel="0014218D" w:rsidRDefault="007B7F32" w:rsidP="00062B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3384" w:type="dxa"/>
          </w:tcPr>
          <w:p w14:paraId="5E3D5B18" w14:textId="683FDDDD" w:rsidR="00062B0A" w:rsidRPr="00C01ED6" w:rsidDel="0014218D" w:rsidRDefault="007B7F32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zamknięte w bieżącym okresie sprawozdawczym w związku z zakończeniem budowy masztu.</w:t>
            </w:r>
          </w:p>
        </w:tc>
      </w:tr>
      <w:tr w:rsidR="0074017D" w:rsidRPr="00C01ED6" w:rsidDel="0014218D" w14:paraId="247D3D23" w14:textId="77777777" w:rsidTr="00BC03AD">
        <w:tc>
          <w:tcPr>
            <w:tcW w:w="3232" w:type="dxa"/>
            <w:vAlign w:val="center"/>
          </w:tcPr>
          <w:p w14:paraId="39E80F22" w14:textId="717D4120" w:rsidR="0074017D" w:rsidRPr="00803A58" w:rsidRDefault="0074017D" w:rsidP="00062B0A">
            <w:pPr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Przekroczenie terminu realizacji projektu w związku z utrudnieniami w realizacji zadań projektowych wobec zmniejszonej dostępności pracowników, zaburzeń łańcuchów dostaw, ograniczeń w zakresie realizacji szkoleń, trudności po stronie Wykonawców i innych ograniczeń wynikających z pandemii COVID-19</w:t>
            </w:r>
          </w:p>
        </w:tc>
        <w:tc>
          <w:tcPr>
            <w:tcW w:w="1559" w:type="dxa"/>
          </w:tcPr>
          <w:p w14:paraId="16996D70" w14:textId="70BA10C3" w:rsidR="0074017D" w:rsidRDefault="0074017D" w:rsidP="00062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Wysoka</w:t>
            </w:r>
          </w:p>
        </w:tc>
        <w:tc>
          <w:tcPr>
            <w:tcW w:w="1559" w:type="dxa"/>
          </w:tcPr>
          <w:p w14:paraId="170817B7" w14:textId="752F62FD" w:rsidR="0074017D" w:rsidDel="0004587F" w:rsidRDefault="007B7F32" w:rsidP="00062B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384" w:type="dxa"/>
          </w:tcPr>
          <w:p w14:paraId="20C48ADD" w14:textId="77777777" w:rsidR="0074017D" w:rsidRDefault="0074017D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redukowanie.</w:t>
            </w:r>
          </w:p>
          <w:p w14:paraId="26F3510F" w14:textId="77777777" w:rsidR="0074017D" w:rsidRDefault="0074017D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Wzmocnienie monitoringu realizacji projektu i poszczególnych umów, sporządzenie wniosku o przedłużenie terminu realizacji projektu w przypadku stwierdzenia istotnego zwiększania się prawdopodobieństwa wystąpienia ryzyka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6F07CCC" w14:textId="77777777" w:rsidR="0074017D" w:rsidRPr="0074017D" w:rsidRDefault="0074017D" w:rsidP="0074017D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Dostosowanie definicji siły wyższej w projektach umów do sytuacji pandemii.</w:t>
            </w:r>
          </w:p>
          <w:p w14:paraId="7787CA11" w14:textId="77777777" w:rsidR="0074017D" w:rsidRDefault="0074017D" w:rsidP="0074017D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Analiza możliwości modyfikacji harmonogramu szkoleń.</w:t>
            </w:r>
          </w:p>
          <w:p w14:paraId="2C827989" w14:textId="35F57FD8" w:rsidR="0074017D" w:rsidRDefault="007B7F32" w:rsidP="0074017D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B7F3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aktywne w szczególności w odniesieniu do stacji odbioru danych satelitarnych, gdzie zagraniczny dostawca sygnalizuje potencjalne trudności z przyjazdem do Polski w celu instalacji stacji z uwagi na ograniczenia w podróżowaniu i konieczność u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wz</w:t>
            </w:r>
            <w:r w:rsidRPr="007B7F3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ględnienia łącznie regulacji polskich oraz norweskich.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związku z tym zwiększono stopień prawdopodobieństwa wystąpienia ryzyka</w:t>
            </w:r>
            <w:r w:rsidR="0003495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958DD41" w14:textId="24E414A7" w:rsidR="00A63DFF" w:rsidRPr="00C01ED6" w:rsidRDefault="00102DE7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5933AD3C" w14:textId="77777777" w:rsidR="00A63DFF" w:rsidRDefault="00A63DFF" w:rsidP="00BC03AD">
            <w:pPr>
              <w:pStyle w:val="Legenda"/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  <w:p w14:paraId="28160628" w14:textId="0B1DDC9F" w:rsidR="00692053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Przesunięcie większości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dostaw infrastruktury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 ostatni rok realizacji projektu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będ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zie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skutkował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em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najlepszej, dostępnej w danym czasie infrastruktury</w:t>
            </w:r>
            <w:r w:rsidR="0003495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B1B0397" w14:textId="77777777" w:rsidR="00B40C72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umowach związanych z dostawami kluczowych elementów infrastruktury w ramach gwarancji oczekuje się zapewnienia aktualizacji oprogramowania, co powinno przynieść spodziewany efekt w postaci dostępu do najnowszych wersji obsługujących aktualne formaty danych.</w:t>
            </w:r>
            <w:r w:rsidR="00B40C72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3E06A5C" w14:textId="3AF3CA89" w:rsidR="002411EC" w:rsidRPr="00014B65" w:rsidRDefault="002411E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5CF906FC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Akcja promocyjna </w:t>
            </w:r>
          </w:p>
          <w:p w14:paraId="6567C06F" w14:textId="77777777" w:rsidR="00B40C72" w:rsidRDefault="00A63DFF" w:rsidP="00B40C72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Działania edukacyjne skierowane do użytkowników statutowych</w:t>
            </w:r>
          </w:p>
          <w:p w14:paraId="039F18EB" w14:textId="0E00E5F2" w:rsidR="00B40C72" w:rsidRDefault="00B40C72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Oczekuje się, że w 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yniku podjętych kroków zwiększy się grono potencjalnych użytkowników wyników projektu. W wyniku podejmowanych działań, informacja o możliwościach wykorzystania informacji satelitarnej dotarła do szeregu instytucji.</w:t>
            </w:r>
          </w:p>
          <w:p w14:paraId="40F96D69" w14:textId="7C98991E" w:rsidR="00692053" w:rsidRPr="00B40C72" w:rsidRDefault="00880B01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Brak zmian w</w:t>
            </w:r>
            <w:r w:rsidR="002411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zględem poprzedniego okresu sprawozdawczego</w:t>
            </w:r>
            <w:r w:rsidR="008A2DF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utrzymują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się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ograniczeni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możliwości bezpośredniej promocji i szkoleń 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przyszłych użytkowników 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wobec utrudnień wynikaj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ą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cych z pandemii COVID-19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156060CD" w14:textId="77777777" w:rsidR="00FC6C1E" w:rsidRPr="00805178" w:rsidRDefault="00FC6C1E" w:rsidP="00FC6C1E">
      <w:pPr>
        <w:pStyle w:val="Akapitzlist"/>
        <w:numPr>
          <w:ilvl w:val="0"/>
          <w:numId w:val="2"/>
        </w:numPr>
        <w:spacing w:before="360"/>
        <w:ind w:left="1418" w:hanging="644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hAnsi="Arial" w:cs="Arial"/>
          <w:b/>
          <w:sz w:val="24"/>
          <w:szCs w:val="24"/>
        </w:rPr>
        <w:lastRenderedPageBreak/>
        <w:t>Wymiarowanie systemu informatycznego</w:t>
      </w:r>
    </w:p>
    <w:p w14:paraId="5A56BD73" w14:textId="4CAEC669" w:rsidR="00FC6C1E" w:rsidRDefault="00FC6C1E" w:rsidP="00FC6C1E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67FE779E" w14:textId="6E6A6001" w:rsidR="00FC6C1E" w:rsidRPr="00FC6C1E" w:rsidRDefault="00FC6C1E" w:rsidP="00FC6C1E">
      <w:pPr>
        <w:spacing w:after="0" w:line="240" w:lineRule="auto"/>
        <w:ind w:firstLine="993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  <w:t>Nie dotyczy</w:t>
      </w:r>
    </w:p>
    <w:p w14:paraId="7A4448CF" w14:textId="50A2475D" w:rsidR="00A63DFF" w:rsidRPr="00A44A5B" w:rsidRDefault="00A63DFF" w:rsidP="00A63DFF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8AA320D" w14:textId="77777777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4BCB4038" w:rsidR="00A63DFF" w:rsidRPr="00CF77C4" w:rsidRDefault="00D52FF9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>
        <w:rPr>
          <w:rStyle w:val="Nagwek2Znak"/>
          <w:rFonts w:ascii="Arial" w:hAnsi="Arial" w:cs="Arial"/>
          <w:color w:val="000000" w:themeColor="text1"/>
          <w:sz w:val="20"/>
          <w:szCs w:val="20"/>
        </w:rPr>
        <w:t>Centrum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3DFF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7EE0C2D5" w14:textId="77777777" w:rsidR="00A63DFF" w:rsidRPr="00C01ED6" w:rsidRDefault="00497300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sz w:val="20"/>
          <w:szCs w:val="20"/>
        </w:rPr>
      </w:pPr>
      <w:hyperlink r:id="rId8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</w:p>
    <w:p w14:paraId="0F9F6D14" w14:textId="14F8678D" w:rsidR="00A63DFF" w:rsidRPr="00C01ED6" w:rsidRDefault="00A63DF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  <w:sz w:val="20"/>
          <w:szCs w:val="20"/>
        </w:rPr>
      </w:pPr>
      <w:r w:rsidRPr="00C01ED6">
        <w:rPr>
          <w:rFonts w:ascii="Arial" w:hAnsi="Arial" w:cs="Arial"/>
          <w:sz w:val="20"/>
          <w:szCs w:val="20"/>
        </w:rPr>
        <w:t>22 56 94</w:t>
      </w:r>
      <w:r>
        <w:rPr>
          <w:rFonts w:ascii="Arial" w:hAnsi="Arial" w:cs="Arial"/>
          <w:sz w:val="20"/>
          <w:szCs w:val="20"/>
        </w:rPr>
        <w:t> </w:t>
      </w:r>
      <w:r w:rsidRPr="00C01ED6">
        <w:rPr>
          <w:rFonts w:ascii="Arial" w:hAnsi="Arial" w:cs="Arial"/>
          <w:sz w:val="20"/>
          <w:szCs w:val="20"/>
        </w:rPr>
        <w:t>117</w:t>
      </w:r>
    </w:p>
    <w:p w14:paraId="41EFCA5A" w14:textId="77777777" w:rsidR="00BC03AD" w:rsidRDefault="00BC03AD"/>
    <w:sectPr w:rsidR="00BC03AD" w:rsidSect="00BC03AD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5799B" w14:textId="77777777" w:rsidR="009D4AEF" w:rsidRDefault="009D4AEF" w:rsidP="00A63DFF">
      <w:pPr>
        <w:spacing w:after="0" w:line="240" w:lineRule="auto"/>
      </w:pPr>
      <w:r>
        <w:separator/>
      </w:r>
    </w:p>
  </w:endnote>
  <w:endnote w:type="continuationSeparator" w:id="0">
    <w:p w14:paraId="570F8F59" w14:textId="77777777" w:rsidR="009D4AEF" w:rsidRDefault="009D4AEF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5278D5" w14:textId="77777777" w:rsidR="009D4AEF" w:rsidRDefault="009D4AE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730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730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9D4AEF" w:rsidRDefault="009D4A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CC458" w14:textId="77777777" w:rsidR="009D4AEF" w:rsidRDefault="009D4AEF" w:rsidP="00A63DFF">
      <w:pPr>
        <w:spacing w:after="0" w:line="240" w:lineRule="auto"/>
      </w:pPr>
      <w:r>
        <w:separator/>
      </w:r>
    </w:p>
  </w:footnote>
  <w:footnote w:type="continuationSeparator" w:id="0">
    <w:p w14:paraId="2CF61DE0" w14:textId="77777777" w:rsidR="009D4AEF" w:rsidRDefault="009D4AEF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9D4AEF" w:rsidRDefault="009D4AEF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DB5043"/>
    <w:multiLevelType w:val="hybridMultilevel"/>
    <w:tmpl w:val="6AC6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425DD2"/>
    <w:multiLevelType w:val="hybridMultilevel"/>
    <w:tmpl w:val="FED6F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A39BA"/>
    <w:multiLevelType w:val="hybridMultilevel"/>
    <w:tmpl w:val="7DBE8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932B8"/>
    <w:multiLevelType w:val="hybridMultilevel"/>
    <w:tmpl w:val="EDC2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575D"/>
    <w:multiLevelType w:val="hybridMultilevel"/>
    <w:tmpl w:val="A44EC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346B7C"/>
    <w:multiLevelType w:val="hybridMultilevel"/>
    <w:tmpl w:val="6B480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13"/>
  </w:num>
  <w:num w:numId="6">
    <w:abstractNumId w:val="12"/>
  </w:num>
  <w:num w:numId="7">
    <w:abstractNumId w:val="0"/>
  </w:num>
  <w:num w:numId="8">
    <w:abstractNumId w:val="10"/>
  </w:num>
  <w:num w:numId="9">
    <w:abstractNumId w:val="16"/>
  </w:num>
  <w:num w:numId="10">
    <w:abstractNumId w:val="11"/>
  </w:num>
  <w:num w:numId="11">
    <w:abstractNumId w:val="20"/>
  </w:num>
  <w:num w:numId="12">
    <w:abstractNumId w:val="3"/>
  </w:num>
  <w:num w:numId="13">
    <w:abstractNumId w:val="9"/>
  </w:num>
  <w:num w:numId="14">
    <w:abstractNumId w:val="2"/>
  </w:num>
  <w:num w:numId="15">
    <w:abstractNumId w:val="4"/>
  </w:num>
  <w:num w:numId="16">
    <w:abstractNumId w:val="5"/>
  </w:num>
  <w:num w:numId="17">
    <w:abstractNumId w:val="1"/>
  </w:num>
  <w:num w:numId="18">
    <w:abstractNumId w:val="21"/>
  </w:num>
  <w:num w:numId="19">
    <w:abstractNumId w:val="15"/>
  </w:num>
  <w:num w:numId="20">
    <w:abstractNumId w:val="7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FD"/>
    <w:rsid w:val="00003818"/>
    <w:rsid w:val="00014B65"/>
    <w:rsid w:val="00023293"/>
    <w:rsid w:val="00033657"/>
    <w:rsid w:val="00033A93"/>
    <w:rsid w:val="00034951"/>
    <w:rsid w:val="0004587F"/>
    <w:rsid w:val="00062B0A"/>
    <w:rsid w:val="00065E73"/>
    <w:rsid w:val="000B093C"/>
    <w:rsid w:val="000D009B"/>
    <w:rsid w:val="000E0A55"/>
    <w:rsid w:val="000F4B2D"/>
    <w:rsid w:val="00102DE7"/>
    <w:rsid w:val="00136E5E"/>
    <w:rsid w:val="0014218D"/>
    <w:rsid w:val="001547A2"/>
    <w:rsid w:val="001648AE"/>
    <w:rsid w:val="0016658C"/>
    <w:rsid w:val="001738BF"/>
    <w:rsid w:val="00175782"/>
    <w:rsid w:val="001902D6"/>
    <w:rsid w:val="001A5733"/>
    <w:rsid w:val="001D639F"/>
    <w:rsid w:val="001E134A"/>
    <w:rsid w:val="00212306"/>
    <w:rsid w:val="00214966"/>
    <w:rsid w:val="00220F86"/>
    <w:rsid w:val="00227C49"/>
    <w:rsid w:val="002411EC"/>
    <w:rsid w:val="00250E6D"/>
    <w:rsid w:val="00252B9C"/>
    <w:rsid w:val="00254ADE"/>
    <w:rsid w:val="00263C21"/>
    <w:rsid w:val="00271D48"/>
    <w:rsid w:val="002774D3"/>
    <w:rsid w:val="00284038"/>
    <w:rsid w:val="00290F54"/>
    <w:rsid w:val="002D7C74"/>
    <w:rsid w:val="002E4919"/>
    <w:rsid w:val="002F4973"/>
    <w:rsid w:val="00303489"/>
    <w:rsid w:val="00310314"/>
    <w:rsid w:val="00325EFD"/>
    <w:rsid w:val="0033328F"/>
    <w:rsid w:val="00374D2A"/>
    <w:rsid w:val="00392D31"/>
    <w:rsid w:val="003E3D5A"/>
    <w:rsid w:val="003F7ABF"/>
    <w:rsid w:val="00401B97"/>
    <w:rsid w:val="00405816"/>
    <w:rsid w:val="00421EE4"/>
    <w:rsid w:val="00431C31"/>
    <w:rsid w:val="004357D9"/>
    <w:rsid w:val="004715F1"/>
    <w:rsid w:val="00490920"/>
    <w:rsid w:val="00497300"/>
    <w:rsid w:val="00497D7A"/>
    <w:rsid w:val="004B5495"/>
    <w:rsid w:val="005213C3"/>
    <w:rsid w:val="005256E3"/>
    <w:rsid w:val="0053702E"/>
    <w:rsid w:val="00542DF5"/>
    <w:rsid w:val="005521BD"/>
    <w:rsid w:val="00581E88"/>
    <w:rsid w:val="00584624"/>
    <w:rsid w:val="005A3C2C"/>
    <w:rsid w:val="005B0EFC"/>
    <w:rsid w:val="005C78D6"/>
    <w:rsid w:val="005D00E5"/>
    <w:rsid w:val="005D2F74"/>
    <w:rsid w:val="005F0D45"/>
    <w:rsid w:val="005F1ADD"/>
    <w:rsid w:val="005F28B3"/>
    <w:rsid w:val="005F69FC"/>
    <w:rsid w:val="0060421F"/>
    <w:rsid w:val="00614143"/>
    <w:rsid w:val="0061627A"/>
    <w:rsid w:val="00620701"/>
    <w:rsid w:val="006226EC"/>
    <w:rsid w:val="0062299A"/>
    <w:rsid w:val="006600F7"/>
    <w:rsid w:val="00663ECA"/>
    <w:rsid w:val="00692053"/>
    <w:rsid w:val="00696B6A"/>
    <w:rsid w:val="0069734F"/>
    <w:rsid w:val="006A3DAF"/>
    <w:rsid w:val="006A5885"/>
    <w:rsid w:val="006C5701"/>
    <w:rsid w:val="006D6761"/>
    <w:rsid w:val="007031D0"/>
    <w:rsid w:val="00703728"/>
    <w:rsid w:val="007106BC"/>
    <w:rsid w:val="0071090B"/>
    <w:rsid w:val="0073052E"/>
    <w:rsid w:val="0074017D"/>
    <w:rsid w:val="00751992"/>
    <w:rsid w:val="00763FA9"/>
    <w:rsid w:val="007645EB"/>
    <w:rsid w:val="0078025A"/>
    <w:rsid w:val="00785D54"/>
    <w:rsid w:val="007A3520"/>
    <w:rsid w:val="007B7F32"/>
    <w:rsid w:val="007C101F"/>
    <w:rsid w:val="007E038A"/>
    <w:rsid w:val="007F6248"/>
    <w:rsid w:val="00803A58"/>
    <w:rsid w:val="00806033"/>
    <w:rsid w:val="008201DB"/>
    <w:rsid w:val="00822512"/>
    <w:rsid w:val="00825537"/>
    <w:rsid w:val="00831259"/>
    <w:rsid w:val="00875CF4"/>
    <w:rsid w:val="00880B01"/>
    <w:rsid w:val="008A2DF1"/>
    <w:rsid w:val="008A5D8F"/>
    <w:rsid w:val="008B0249"/>
    <w:rsid w:val="008B47F3"/>
    <w:rsid w:val="008C1091"/>
    <w:rsid w:val="008F4964"/>
    <w:rsid w:val="008F74B6"/>
    <w:rsid w:val="00906D93"/>
    <w:rsid w:val="0090720B"/>
    <w:rsid w:val="00950CA5"/>
    <w:rsid w:val="00980511"/>
    <w:rsid w:val="009B2527"/>
    <w:rsid w:val="009D4AEF"/>
    <w:rsid w:val="00A63DFF"/>
    <w:rsid w:val="00B028EE"/>
    <w:rsid w:val="00B33FF7"/>
    <w:rsid w:val="00B368B2"/>
    <w:rsid w:val="00B40C72"/>
    <w:rsid w:val="00B41054"/>
    <w:rsid w:val="00B54B3B"/>
    <w:rsid w:val="00B702E9"/>
    <w:rsid w:val="00B70BB7"/>
    <w:rsid w:val="00B7690F"/>
    <w:rsid w:val="00B77646"/>
    <w:rsid w:val="00B90E2D"/>
    <w:rsid w:val="00BC03AD"/>
    <w:rsid w:val="00BC03ED"/>
    <w:rsid w:val="00BC207C"/>
    <w:rsid w:val="00BC5BFD"/>
    <w:rsid w:val="00BD369B"/>
    <w:rsid w:val="00BD38D2"/>
    <w:rsid w:val="00BF0D6D"/>
    <w:rsid w:val="00C30558"/>
    <w:rsid w:val="00C42668"/>
    <w:rsid w:val="00C457F0"/>
    <w:rsid w:val="00C76F52"/>
    <w:rsid w:val="00C8723C"/>
    <w:rsid w:val="00C96758"/>
    <w:rsid w:val="00CB765F"/>
    <w:rsid w:val="00CC1F97"/>
    <w:rsid w:val="00CD35E4"/>
    <w:rsid w:val="00CD4984"/>
    <w:rsid w:val="00CF77C4"/>
    <w:rsid w:val="00D27613"/>
    <w:rsid w:val="00D341F6"/>
    <w:rsid w:val="00D361DB"/>
    <w:rsid w:val="00D422AC"/>
    <w:rsid w:val="00D52FF9"/>
    <w:rsid w:val="00D9002C"/>
    <w:rsid w:val="00D940F4"/>
    <w:rsid w:val="00D9760D"/>
    <w:rsid w:val="00DD1B4E"/>
    <w:rsid w:val="00DD2F1E"/>
    <w:rsid w:val="00DF550D"/>
    <w:rsid w:val="00E57DE8"/>
    <w:rsid w:val="00E760FF"/>
    <w:rsid w:val="00E76595"/>
    <w:rsid w:val="00E90ADF"/>
    <w:rsid w:val="00F15930"/>
    <w:rsid w:val="00F27FBF"/>
    <w:rsid w:val="00F339BD"/>
    <w:rsid w:val="00F46300"/>
    <w:rsid w:val="00F47886"/>
    <w:rsid w:val="00F62CEB"/>
    <w:rsid w:val="00F90B50"/>
    <w:rsid w:val="00F916FD"/>
    <w:rsid w:val="00F959B9"/>
    <w:rsid w:val="00F96AAE"/>
    <w:rsid w:val="00FB20B6"/>
    <w:rsid w:val="00FC6C1E"/>
    <w:rsid w:val="00FC6C62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7E038A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D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harasiewicz@img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A0E20-BC24-4C14-AA66-538E23265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2146</Words>
  <Characters>12876</Characters>
  <Application>Microsoft Office Word</Application>
  <DocSecurity>4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Marczak-Redecka Joanna</cp:lastModifiedBy>
  <cp:revision>2</cp:revision>
  <cp:lastPrinted>2019-10-21T10:13:00Z</cp:lastPrinted>
  <dcterms:created xsi:type="dcterms:W3CDTF">2020-09-02T06:17:00Z</dcterms:created>
  <dcterms:modified xsi:type="dcterms:W3CDTF">2020-09-02T06:17:00Z</dcterms:modified>
</cp:coreProperties>
</file>