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A6C6" w14:textId="29362A96" w:rsidR="00E739BF" w:rsidRPr="005D76E7" w:rsidRDefault="00E739BF" w:rsidP="00E739BF">
      <w:pPr>
        <w:jc w:val="both"/>
        <w:rPr>
          <w:rFonts w:ascii="Arial" w:hAnsi="Arial" w:cs="Arial"/>
          <w:sz w:val="20"/>
          <w:szCs w:val="20"/>
        </w:rPr>
      </w:pPr>
      <w:r w:rsidRPr="005D76E7">
        <w:rPr>
          <w:rFonts w:ascii="Arial" w:hAnsi="Arial" w:cs="Arial"/>
          <w:sz w:val="20"/>
          <w:szCs w:val="20"/>
        </w:rPr>
        <w:t>Akty prawne:</w:t>
      </w:r>
    </w:p>
    <w:p w14:paraId="1214B13B" w14:textId="2548A05E" w:rsidR="00E739BF" w:rsidRPr="005D76E7" w:rsidRDefault="00E739BF" w:rsidP="00E739B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D76E7">
        <w:rPr>
          <w:rFonts w:ascii="Arial" w:hAnsi="Arial" w:cs="Arial"/>
          <w:sz w:val="20"/>
          <w:szCs w:val="20"/>
        </w:rPr>
        <w:t>Dyrektywa Rady z dnia 12 czerwca 1989 r. w sprawie wprowadzenia środków w celu poprawy bezpieczeństwa i zdrowia pracowników w miejscu pracy</w:t>
      </w:r>
      <w:r w:rsidR="0082273F" w:rsidRPr="0082273F">
        <w:t xml:space="preserve"> </w:t>
      </w:r>
      <w:r w:rsidR="0082273F" w:rsidRPr="0082273F">
        <w:rPr>
          <w:rFonts w:ascii="Arial" w:hAnsi="Arial" w:cs="Arial"/>
          <w:sz w:val="20"/>
          <w:szCs w:val="20"/>
        </w:rPr>
        <w:t>89/391/EWG</w:t>
      </w:r>
      <w:r w:rsidR="0082273F">
        <w:rPr>
          <w:rFonts w:ascii="Arial" w:hAnsi="Arial" w:cs="Arial"/>
          <w:sz w:val="20"/>
          <w:szCs w:val="20"/>
        </w:rPr>
        <w:t xml:space="preserve"> </w:t>
      </w:r>
      <w:r w:rsidR="0082273F" w:rsidRPr="0082273F">
        <w:rPr>
          <w:rFonts w:ascii="Arial" w:hAnsi="Arial" w:cs="Arial"/>
          <w:sz w:val="20"/>
          <w:szCs w:val="20"/>
        </w:rPr>
        <w:t>(Dz.</w:t>
      </w:r>
      <w:r w:rsidR="0082273F">
        <w:rPr>
          <w:rFonts w:ascii="Arial" w:hAnsi="Arial" w:cs="Arial"/>
          <w:sz w:val="20"/>
          <w:szCs w:val="20"/>
        </w:rPr>
        <w:t xml:space="preserve"> </w:t>
      </w:r>
      <w:r w:rsidR="0082273F" w:rsidRPr="0082273F">
        <w:rPr>
          <w:rFonts w:ascii="Arial" w:hAnsi="Arial" w:cs="Arial"/>
          <w:sz w:val="20"/>
          <w:szCs w:val="20"/>
        </w:rPr>
        <w:t>U.</w:t>
      </w:r>
      <w:r w:rsidR="0082273F">
        <w:rPr>
          <w:rFonts w:ascii="Arial" w:hAnsi="Arial" w:cs="Arial"/>
          <w:sz w:val="20"/>
          <w:szCs w:val="20"/>
        </w:rPr>
        <w:t xml:space="preserve"> </w:t>
      </w:r>
      <w:r w:rsidR="0082273F" w:rsidRPr="0082273F">
        <w:rPr>
          <w:rFonts w:ascii="Arial" w:hAnsi="Arial" w:cs="Arial"/>
          <w:sz w:val="20"/>
          <w:szCs w:val="20"/>
        </w:rPr>
        <w:t>UE L z dnia 29 czerwca 1989 r.)</w:t>
      </w:r>
      <w:r w:rsidRPr="005D76E7">
        <w:rPr>
          <w:rFonts w:ascii="Arial" w:hAnsi="Arial" w:cs="Arial"/>
          <w:sz w:val="20"/>
          <w:szCs w:val="20"/>
        </w:rPr>
        <w:t>.</w:t>
      </w:r>
    </w:p>
    <w:p w14:paraId="3EDFE55C" w14:textId="37D3742D" w:rsidR="00E739BF" w:rsidRPr="005D76E7" w:rsidRDefault="00E739BF" w:rsidP="00E739B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D76E7">
        <w:rPr>
          <w:rFonts w:ascii="Arial" w:hAnsi="Arial" w:cs="Arial"/>
          <w:sz w:val="20"/>
          <w:szCs w:val="20"/>
        </w:rPr>
        <w:t xml:space="preserve">Ustawa z dnia 26 czerwca 1974 r. Kodeks pracy (Dz. U. </w:t>
      </w:r>
      <w:r w:rsidR="0082273F">
        <w:rPr>
          <w:rFonts w:ascii="Arial" w:hAnsi="Arial" w:cs="Arial"/>
          <w:sz w:val="20"/>
          <w:szCs w:val="20"/>
        </w:rPr>
        <w:t xml:space="preserve">z 2020 r. poz. 1320, z </w:t>
      </w:r>
      <w:proofErr w:type="spellStart"/>
      <w:r w:rsidR="0082273F">
        <w:rPr>
          <w:rFonts w:ascii="Arial" w:hAnsi="Arial" w:cs="Arial"/>
          <w:sz w:val="20"/>
          <w:szCs w:val="20"/>
        </w:rPr>
        <w:t>późn</w:t>
      </w:r>
      <w:proofErr w:type="spellEnd"/>
      <w:r w:rsidR="0082273F">
        <w:rPr>
          <w:rFonts w:ascii="Arial" w:hAnsi="Arial" w:cs="Arial"/>
          <w:sz w:val="20"/>
          <w:szCs w:val="20"/>
        </w:rPr>
        <w:t>. zm.</w:t>
      </w:r>
      <w:r w:rsidRPr="005D76E7">
        <w:rPr>
          <w:rFonts w:ascii="Arial" w:hAnsi="Arial" w:cs="Arial"/>
          <w:sz w:val="20"/>
          <w:szCs w:val="20"/>
        </w:rPr>
        <w:t>).</w:t>
      </w:r>
    </w:p>
    <w:p w14:paraId="2E6ED01B" w14:textId="461CA7E2" w:rsidR="00E739BF" w:rsidRPr="005D76E7" w:rsidRDefault="00E739BF" w:rsidP="00E739B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D76E7">
        <w:rPr>
          <w:rFonts w:ascii="Arial" w:hAnsi="Arial" w:cs="Arial"/>
          <w:sz w:val="20"/>
          <w:szCs w:val="20"/>
        </w:rPr>
        <w:t>Rozporządzenie Ministra Zdrowia z dnia 22 kwietnia 2005 r. w sprawie szkodliwych czynników biologicznych dla zdrowia w środowisku pracy oraz ochrony zdrowia pracowników zawodowo narażonych na te czynniki (Dz.</w:t>
      </w:r>
      <w:r w:rsidR="0082273F">
        <w:rPr>
          <w:rFonts w:ascii="Arial" w:hAnsi="Arial" w:cs="Arial"/>
          <w:sz w:val="20"/>
          <w:szCs w:val="20"/>
        </w:rPr>
        <w:t xml:space="preserve"> U. poz. 716, z </w:t>
      </w:r>
      <w:proofErr w:type="spellStart"/>
      <w:r w:rsidR="0082273F">
        <w:rPr>
          <w:rFonts w:ascii="Arial" w:hAnsi="Arial" w:cs="Arial"/>
          <w:sz w:val="20"/>
          <w:szCs w:val="20"/>
        </w:rPr>
        <w:t>późn</w:t>
      </w:r>
      <w:proofErr w:type="spellEnd"/>
      <w:r w:rsidR="0082273F">
        <w:rPr>
          <w:rFonts w:ascii="Arial" w:hAnsi="Arial" w:cs="Arial"/>
          <w:sz w:val="20"/>
          <w:szCs w:val="20"/>
        </w:rPr>
        <w:t>. zm.)</w:t>
      </w:r>
    </w:p>
    <w:p w14:paraId="6C325726" w14:textId="753A5BFA" w:rsidR="00E739BF" w:rsidRPr="005D76E7" w:rsidRDefault="00E739BF" w:rsidP="00E739B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D76E7">
        <w:rPr>
          <w:rFonts w:ascii="Arial" w:hAnsi="Arial" w:cs="Arial"/>
          <w:sz w:val="20"/>
          <w:szCs w:val="20"/>
        </w:rPr>
        <w:t>Dyrektywa 2000/54/WE parlamentu europejskiego i rady z dnia 18 września 2000 r. w sprawie ochrony pracowników przed ryzykiem związanym z narażeniem na działanie czynników biologicznych w miejscu pracy (siódma dyrektywa szczegółowa w rozumieniu art. 16 ust. 1 dyrektywy 89/391/EWG).</w:t>
      </w:r>
    </w:p>
    <w:p w14:paraId="6246479C" w14:textId="32D5ABA1" w:rsidR="00E739BF" w:rsidRPr="005D76E7" w:rsidRDefault="00E739BF" w:rsidP="00E739B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D76E7">
        <w:rPr>
          <w:rFonts w:ascii="Arial" w:hAnsi="Arial" w:cs="Arial"/>
          <w:sz w:val="20"/>
          <w:szCs w:val="20"/>
        </w:rPr>
        <w:t>Rozporządzenie Parlamentu Europejskiego i Rady (UE) 2016/425 z dnia 9 marca 2016 r. w sprawie środków ochrony indywidualnej oraz uchylenia dyrektywy Rady 89/686/EWG.</w:t>
      </w:r>
    </w:p>
    <w:p w14:paraId="3D3620C9" w14:textId="25918A9A" w:rsidR="00E739BF" w:rsidRPr="005D76E7" w:rsidRDefault="00E739BF" w:rsidP="00E739B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D76E7">
        <w:rPr>
          <w:rFonts w:ascii="Arial" w:hAnsi="Arial" w:cs="Arial"/>
          <w:sz w:val="20"/>
          <w:szCs w:val="20"/>
        </w:rPr>
        <w:t>Dyrektywa Komisji (UE) 2020/739 z dnia 3 czerwca 2020 r. zmieniająca załącznik III do dyrektywy 2000/54/WE Parlamentu Europejskiego i Rady w odniesieniu do włączenia SARS-CoV-2 do wykazu czynników biologicznych o znanej zakaźności dla ludzi oraz zmieniająca dyrektywę Komisji (UE) 2019/1833.</w:t>
      </w:r>
    </w:p>
    <w:p w14:paraId="3F2C27EE" w14:textId="7FD3E901" w:rsidR="00E739BF" w:rsidRPr="005D76E7" w:rsidRDefault="00E739BF" w:rsidP="00E739B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D76E7">
        <w:rPr>
          <w:rFonts w:ascii="Arial" w:hAnsi="Arial" w:cs="Arial"/>
          <w:sz w:val="20"/>
          <w:szCs w:val="20"/>
        </w:rPr>
        <w:t>Rozporządzenie Parlamentu Europejskiego i Rady (UE) 2017/745 z dnia 5 kwietnia 2017 r. w sprawie wyrobów medycznych, zmiany dyrektywy 2001/83/WE, rozporządzenia (WE) nr 178/2002 i rozporządzenia (WE) nr 1223/2009 oraz uchylenia dyrektyw Rady 90/385/EWG i 93/42/EWG.</w:t>
      </w:r>
    </w:p>
    <w:p w14:paraId="1C04B8F8" w14:textId="0BBD56F0" w:rsidR="00E739BF" w:rsidRPr="005D76E7" w:rsidRDefault="00E739BF" w:rsidP="00E739BF">
      <w:pPr>
        <w:jc w:val="both"/>
        <w:rPr>
          <w:rFonts w:ascii="Arial" w:hAnsi="Arial" w:cs="Arial"/>
          <w:sz w:val="20"/>
          <w:szCs w:val="20"/>
        </w:rPr>
      </w:pPr>
      <w:r w:rsidRPr="005D76E7">
        <w:rPr>
          <w:rFonts w:ascii="Arial" w:hAnsi="Arial" w:cs="Arial"/>
          <w:sz w:val="20"/>
          <w:szCs w:val="20"/>
        </w:rPr>
        <w:t>Dokumenty normatywne:</w:t>
      </w:r>
    </w:p>
    <w:p w14:paraId="7C38BDF5" w14:textId="1C2B1049" w:rsidR="00E739BF" w:rsidRPr="005D76E7" w:rsidRDefault="00E739BF" w:rsidP="00E739B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D76E7">
        <w:rPr>
          <w:rFonts w:ascii="Arial" w:hAnsi="Arial" w:cs="Arial"/>
          <w:sz w:val="20"/>
          <w:szCs w:val="20"/>
        </w:rPr>
        <w:t>PN-EN 149+A1:2010 - Sprzęt ochrony układu oddechowego -- Półmaski filtrujące do ochrony przed cząstkami -- Wymagania, badanie, znakowanie.</w:t>
      </w:r>
    </w:p>
    <w:p w14:paraId="27DC653A" w14:textId="3555A953" w:rsidR="00E739BF" w:rsidRPr="005D76E7" w:rsidRDefault="00E739BF" w:rsidP="00E739B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D76E7">
        <w:rPr>
          <w:rFonts w:ascii="Arial" w:hAnsi="Arial" w:cs="Arial"/>
          <w:sz w:val="20"/>
          <w:szCs w:val="20"/>
        </w:rPr>
        <w:t>PN-EN 14683:2019+AC:2019-09 - Maski medyczne -Wymagania i metody badań.</w:t>
      </w:r>
    </w:p>
    <w:p w14:paraId="4D243A69" w14:textId="31EE41AD" w:rsidR="00E739BF" w:rsidRPr="005D76E7" w:rsidRDefault="00E739BF" w:rsidP="00E739B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D76E7">
        <w:rPr>
          <w:rFonts w:ascii="Arial" w:hAnsi="Arial" w:cs="Arial"/>
          <w:sz w:val="20"/>
          <w:szCs w:val="20"/>
        </w:rPr>
        <w:t>PN-EN 14126:2005 - Odzież ochronna -- Wymagania i metody badań dla odzieży chroniącej przed czynnikami infekcyjnymi.</w:t>
      </w:r>
    </w:p>
    <w:p w14:paraId="01E1ADE8" w14:textId="58844911" w:rsidR="00E739BF" w:rsidRPr="005D76E7" w:rsidRDefault="00E739BF" w:rsidP="00E739B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D76E7">
        <w:rPr>
          <w:rFonts w:ascii="Arial" w:hAnsi="Arial" w:cs="Arial"/>
          <w:sz w:val="20"/>
          <w:szCs w:val="20"/>
        </w:rPr>
        <w:t xml:space="preserve">ISO 16604:2004 - </w:t>
      </w:r>
      <w:proofErr w:type="spellStart"/>
      <w:r w:rsidRPr="005D76E7">
        <w:rPr>
          <w:rFonts w:ascii="Arial" w:hAnsi="Arial" w:cs="Arial"/>
          <w:sz w:val="20"/>
          <w:szCs w:val="20"/>
        </w:rPr>
        <w:t>Clothing</w:t>
      </w:r>
      <w:proofErr w:type="spellEnd"/>
      <w:r w:rsidRPr="005D76E7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5D76E7">
        <w:rPr>
          <w:rFonts w:ascii="Arial" w:hAnsi="Arial" w:cs="Arial"/>
          <w:sz w:val="20"/>
          <w:szCs w:val="20"/>
        </w:rPr>
        <w:t>protection</w:t>
      </w:r>
      <w:proofErr w:type="spellEnd"/>
      <w:r w:rsidRPr="005D76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6E7">
        <w:rPr>
          <w:rFonts w:ascii="Arial" w:hAnsi="Arial" w:cs="Arial"/>
          <w:sz w:val="20"/>
          <w:szCs w:val="20"/>
        </w:rPr>
        <w:t>against</w:t>
      </w:r>
      <w:proofErr w:type="spellEnd"/>
      <w:r w:rsidRPr="005D76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6E7">
        <w:rPr>
          <w:rFonts w:ascii="Arial" w:hAnsi="Arial" w:cs="Arial"/>
          <w:sz w:val="20"/>
          <w:szCs w:val="20"/>
        </w:rPr>
        <w:t>contact</w:t>
      </w:r>
      <w:proofErr w:type="spellEnd"/>
      <w:r w:rsidRPr="005D76E7">
        <w:rPr>
          <w:rFonts w:ascii="Arial" w:hAnsi="Arial" w:cs="Arial"/>
          <w:sz w:val="20"/>
          <w:szCs w:val="20"/>
        </w:rPr>
        <w:t xml:space="preserve"> with </w:t>
      </w:r>
      <w:proofErr w:type="spellStart"/>
      <w:r w:rsidRPr="005D76E7">
        <w:rPr>
          <w:rFonts w:ascii="Arial" w:hAnsi="Arial" w:cs="Arial"/>
          <w:sz w:val="20"/>
          <w:szCs w:val="20"/>
        </w:rPr>
        <w:t>blood</w:t>
      </w:r>
      <w:proofErr w:type="spellEnd"/>
      <w:r w:rsidRPr="005D76E7">
        <w:rPr>
          <w:rFonts w:ascii="Arial" w:hAnsi="Arial" w:cs="Arial"/>
          <w:sz w:val="20"/>
          <w:szCs w:val="20"/>
        </w:rPr>
        <w:t xml:space="preserve"> and body </w:t>
      </w:r>
      <w:proofErr w:type="spellStart"/>
      <w:r w:rsidRPr="005D76E7">
        <w:rPr>
          <w:rFonts w:ascii="Arial" w:hAnsi="Arial" w:cs="Arial"/>
          <w:sz w:val="20"/>
          <w:szCs w:val="20"/>
        </w:rPr>
        <w:t>fluids</w:t>
      </w:r>
      <w:proofErr w:type="spellEnd"/>
      <w:r w:rsidRPr="005D76E7">
        <w:rPr>
          <w:rFonts w:ascii="Arial" w:hAnsi="Arial" w:cs="Arial"/>
          <w:sz w:val="20"/>
          <w:szCs w:val="20"/>
        </w:rPr>
        <w:t xml:space="preserve"> — </w:t>
      </w:r>
      <w:proofErr w:type="spellStart"/>
      <w:r w:rsidRPr="005D76E7">
        <w:rPr>
          <w:rFonts w:ascii="Arial" w:hAnsi="Arial" w:cs="Arial"/>
          <w:sz w:val="20"/>
          <w:szCs w:val="20"/>
        </w:rPr>
        <w:t>Determination</w:t>
      </w:r>
      <w:proofErr w:type="spellEnd"/>
      <w:r w:rsidRPr="005D76E7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5D76E7">
        <w:rPr>
          <w:rFonts w:ascii="Arial" w:hAnsi="Arial" w:cs="Arial"/>
          <w:sz w:val="20"/>
          <w:szCs w:val="20"/>
        </w:rPr>
        <w:t>resistance</w:t>
      </w:r>
      <w:proofErr w:type="spellEnd"/>
      <w:r w:rsidRPr="005D76E7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5D76E7">
        <w:rPr>
          <w:rFonts w:ascii="Arial" w:hAnsi="Arial" w:cs="Arial"/>
          <w:sz w:val="20"/>
          <w:szCs w:val="20"/>
        </w:rPr>
        <w:t>protective</w:t>
      </w:r>
      <w:proofErr w:type="spellEnd"/>
      <w:r w:rsidRPr="005D76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6E7">
        <w:rPr>
          <w:rFonts w:ascii="Arial" w:hAnsi="Arial" w:cs="Arial"/>
          <w:sz w:val="20"/>
          <w:szCs w:val="20"/>
        </w:rPr>
        <w:t>clothing</w:t>
      </w:r>
      <w:proofErr w:type="spellEnd"/>
      <w:r w:rsidRPr="005D76E7">
        <w:rPr>
          <w:rFonts w:ascii="Arial" w:hAnsi="Arial" w:cs="Arial"/>
          <w:sz w:val="20"/>
          <w:szCs w:val="20"/>
        </w:rPr>
        <w:t xml:space="preserve"> materials to </w:t>
      </w:r>
      <w:proofErr w:type="spellStart"/>
      <w:r w:rsidRPr="005D76E7">
        <w:rPr>
          <w:rFonts w:ascii="Arial" w:hAnsi="Arial" w:cs="Arial"/>
          <w:sz w:val="20"/>
          <w:szCs w:val="20"/>
        </w:rPr>
        <w:t>penetration</w:t>
      </w:r>
      <w:proofErr w:type="spellEnd"/>
      <w:r w:rsidRPr="005D76E7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5D76E7">
        <w:rPr>
          <w:rFonts w:ascii="Arial" w:hAnsi="Arial" w:cs="Arial"/>
          <w:sz w:val="20"/>
          <w:szCs w:val="20"/>
        </w:rPr>
        <w:t>blood</w:t>
      </w:r>
      <w:proofErr w:type="spellEnd"/>
      <w:r w:rsidRPr="005D76E7">
        <w:rPr>
          <w:rFonts w:ascii="Arial" w:hAnsi="Arial" w:cs="Arial"/>
          <w:sz w:val="20"/>
          <w:szCs w:val="20"/>
        </w:rPr>
        <w:t xml:space="preserve">-borne </w:t>
      </w:r>
      <w:proofErr w:type="spellStart"/>
      <w:r w:rsidRPr="005D76E7">
        <w:rPr>
          <w:rFonts w:ascii="Arial" w:hAnsi="Arial" w:cs="Arial"/>
          <w:sz w:val="20"/>
          <w:szCs w:val="20"/>
        </w:rPr>
        <w:t>pathogens</w:t>
      </w:r>
      <w:proofErr w:type="spellEnd"/>
      <w:r w:rsidRPr="005D76E7">
        <w:rPr>
          <w:rFonts w:ascii="Arial" w:hAnsi="Arial" w:cs="Arial"/>
          <w:sz w:val="20"/>
          <w:szCs w:val="20"/>
        </w:rPr>
        <w:t xml:space="preserve"> — Test </w:t>
      </w:r>
      <w:proofErr w:type="spellStart"/>
      <w:r w:rsidRPr="005D76E7">
        <w:rPr>
          <w:rFonts w:ascii="Arial" w:hAnsi="Arial" w:cs="Arial"/>
          <w:sz w:val="20"/>
          <w:szCs w:val="20"/>
        </w:rPr>
        <w:t>method</w:t>
      </w:r>
      <w:proofErr w:type="spellEnd"/>
      <w:r w:rsidRPr="005D76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76E7">
        <w:rPr>
          <w:rFonts w:ascii="Arial" w:hAnsi="Arial" w:cs="Arial"/>
          <w:sz w:val="20"/>
          <w:szCs w:val="20"/>
        </w:rPr>
        <w:t>using</w:t>
      </w:r>
      <w:proofErr w:type="spellEnd"/>
      <w:r w:rsidRPr="005D76E7">
        <w:rPr>
          <w:rFonts w:ascii="Arial" w:hAnsi="Arial" w:cs="Arial"/>
          <w:sz w:val="20"/>
          <w:szCs w:val="20"/>
        </w:rPr>
        <w:t xml:space="preserve"> Phi-X 174 </w:t>
      </w:r>
      <w:proofErr w:type="spellStart"/>
      <w:r w:rsidRPr="005D76E7">
        <w:rPr>
          <w:rFonts w:ascii="Arial" w:hAnsi="Arial" w:cs="Arial"/>
          <w:sz w:val="20"/>
          <w:szCs w:val="20"/>
        </w:rPr>
        <w:t>bacteriophage</w:t>
      </w:r>
      <w:proofErr w:type="spellEnd"/>
      <w:r w:rsidRPr="005D76E7">
        <w:rPr>
          <w:rFonts w:ascii="Arial" w:hAnsi="Arial" w:cs="Arial"/>
          <w:sz w:val="20"/>
          <w:szCs w:val="20"/>
        </w:rPr>
        <w:t>.</w:t>
      </w:r>
    </w:p>
    <w:p w14:paraId="49D95600" w14:textId="2C90430E" w:rsidR="00E739BF" w:rsidRPr="005D76E7" w:rsidRDefault="00E739BF" w:rsidP="00E739B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D76E7">
        <w:rPr>
          <w:rFonts w:ascii="Arial" w:hAnsi="Arial" w:cs="Arial"/>
          <w:sz w:val="20"/>
          <w:szCs w:val="20"/>
        </w:rPr>
        <w:t>PN-EN ISO 17491-4:2008, PN-EN ISO 17491-4:2008/A1:2016-06 - Odzież ochronna -- Metody badania odzieży chroniącej przed chemikaliami -- Część 4: Wyznaczanie odporności na przesiąkanie rozpylonej cieczy (test rozpylonej cieczy).</w:t>
      </w:r>
    </w:p>
    <w:p w14:paraId="31C52B19" w14:textId="0600D745" w:rsidR="00E739BF" w:rsidRPr="005D76E7" w:rsidRDefault="00E739BF" w:rsidP="00E739B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D76E7">
        <w:rPr>
          <w:rFonts w:ascii="Arial" w:hAnsi="Arial" w:cs="Arial"/>
          <w:sz w:val="20"/>
          <w:szCs w:val="20"/>
        </w:rPr>
        <w:t>PN-EN ISO 11092:2014-11 - Tekstylia -- Właściwości fizjologiczne -- Pomiar oporu cieplnego i oporu pary wodnej w warunkach stanu ustalonego (metoda pocącej się zaizolowanej cieplnie płyty).</w:t>
      </w:r>
    </w:p>
    <w:p w14:paraId="74133A8A" w14:textId="427080D7" w:rsidR="00E739BF" w:rsidRPr="005D76E7" w:rsidRDefault="00E739BF" w:rsidP="00E739B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D76E7">
        <w:rPr>
          <w:rFonts w:ascii="Arial" w:hAnsi="Arial" w:cs="Arial"/>
          <w:sz w:val="20"/>
          <w:szCs w:val="20"/>
        </w:rPr>
        <w:t>PN-EN 455-1:2020-11 – Rękawice medyczne do jednorazowego użytku - Część 1: Wymagania i badania na nieobecność dziur.</w:t>
      </w:r>
    </w:p>
    <w:p w14:paraId="20B9C5E2" w14:textId="42B64735" w:rsidR="00E739BF" w:rsidRPr="005D76E7" w:rsidRDefault="00E739BF" w:rsidP="00E739B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D76E7">
        <w:rPr>
          <w:rFonts w:ascii="Arial" w:hAnsi="Arial" w:cs="Arial"/>
          <w:sz w:val="20"/>
          <w:szCs w:val="20"/>
        </w:rPr>
        <w:t>PN-EN 455-2:2015-07 – Rękawice medyczne jednorazowego użytku - Część 2: Wymagania i badania dotyczące właściwości fizycznych.</w:t>
      </w:r>
    </w:p>
    <w:p w14:paraId="11E92B6C" w14:textId="4608B3D3" w:rsidR="00E739BF" w:rsidRPr="005D76E7" w:rsidRDefault="00E739BF" w:rsidP="00E739B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D76E7">
        <w:rPr>
          <w:rFonts w:ascii="Arial" w:hAnsi="Arial" w:cs="Arial"/>
          <w:sz w:val="20"/>
          <w:szCs w:val="20"/>
        </w:rPr>
        <w:t>PN-EN 455-3:2015-07 - Rękawice medyczne jednorazowego użytku -- Część 3: Wymagania i badania w ocenie biologicznej.</w:t>
      </w:r>
    </w:p>
    <w:p w14:paraId="39338A2E" w14:textId="72607AF5" w:rsidR="00E739BF" w:rsidRPr="005D76E7" w:rsidRDefault="00E739BF" w:rsidP="00E739B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D76E7">
        <w:rPr>
          <w:rFonts w:ascii="Arial" w:hAnsi="Arial" w:cs="Arial"/>
          <w:sz w:val="20"/>
          <w:szCs w:val="20"/>
        </w:rPr>
        <w:t>PN-EN 455-4:2010 – Rękawice medyczne do jednorazowego użytku - Część 4: Wymagania i badania dotyczące wyznaczania okresu trwałości.</w:t>
      </w:r>
    </w:p>
    <w:p w14:paraId="0948C62E" w14:textId="4916AA12" w:rsidR="00E739BF" w:rsidRPr="005D76E7" w:rsidRDefault="00E739BF" w:rsidP="00E739B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D76E7">
        <w:rPr>
          <w:rFonts w:ascii="Arial" w:hAnsi="Arial" w:cs="Arial"/>
          <w:sz w:val="20"/>
          <w:szCs w:val="20"/>
        </w:rPr>
        <w:t>PN-EN ISO 374-5:2017-02 - Rękawice chroniące przed niebezpiecznymi substancjami chemicznymi i mikroorganizmami - Część 5: Terminologia i wymagania dotyczące ryzyka przenikania mikroorganizmów.</w:t>
      </w:r>
    </w:p>
    <w:p w14:paraId="1F469673" w14:textId="47E7806B" w:rsidR="00A31204" w:rsidRPr="005D76E7" w:rsidRDefault="00E739BF" w:rsidP="00E739B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D76E7">
        <w:rPr>
          <w:rFonts w:ascii="Arial" w:hAnsi="Arial" w:cs="Arial"/>
          <w:sz w:val="20"/>
          <w:szCs w:val="20"/>
        </w:rPr>
        <w:t>PN-EN 166:2005 - Ochrona indywidualna oczu – Wymagania.</w:t>
      </w:r>
    </w:p>
    <w:sectPr w:rsidR="00A31204" w:rsidRPr="005D7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D3531"/>
    <w:multiLevelType w:val="hybridMultilevel"/>
    <w:tmpl w:val="CC880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D2950"/>
    <w:multiLevelType w:val="hybridMultilevel"/>
    <w:tmpl w:val="59FED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BF"/>
    <w:rsid w:val="005D76E7"/>
    <w:rsid w:val="0082273F"/>
    <w:rsid w:val="00853A26"/>
    <w:rsid w:val="00A31204"/>
    <w:rsid w:val="00E7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2C7A"/>
  <w15:chartTrackingRefBased/>
  <w15:docId w15:val="{70E95420-5958-4BCE-9B01-22B0D1C7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Skomorowska Monika</dc:creator>
  <cp:keywords/>
  <dc:description/>
  <cp:lastModifiedBy>Otolińska Anna</cp:lastModifiedBy>
  <cp:revision>4</cp:revision>
  <dcterms:created xsi:type="dcterms:W3CDTF">2021-12-03T06:02:00Z</dcterms:created>
  <dcterms:modified xsi:type="dcterms:W3CDTF">2021-12-03T07:55:00Z</dcterms:modified>
</cp:coreProperties>
</file>