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93" w:rsidRPr="00393393" w:rsidRDefault="00393393" w:rsidP="00393393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393393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Dokumenty potwierdzające zachowanie prawa pobytu</w:t>
      </w:r>
    </w:p>
    <w:p w:rsidR="00393393" w:rsidRPr="00393393" w:rsidRDefault="00393393" w:rsidP="0039339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Zgodnie z art. 17 ustawy z dnia 10 grudnia 2020 r. o zmianie ustawy o wjeździe na terytorium Rzeczypospolitej Polskiej, pobycie oraz wyjeździe z tego terytorium obywateli państw członkowskich Unii Europejskiej i członków ich rodzin obywatel UE, który przestał być pracownikiem lub osobą pracującą na własny rachunek, zachowuje prawo pobytu przysługujące pracownikowi lub osobie pracującej na własny rachunek w następujących przyp</w:t>
      </w:r>
      <w:bookmarkStart w:id="0" w:name="_GoBack"/>
      <w:bookmarkEnd w:id="0"/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adkach:</w:t>
      </w:r>
    </w:p>
    <w:p w:rsidR="00393393" w:rsidRPr="00393393" w:rsidRDefault="00393393" w:rsidP="003933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93393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1.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​​​​​​  Nieświadczenia pracy lub niewykonywania innej działalności zarobkowej we własnym imieniu i na własny rachunek wskutek okresowej niezdolności do pracy z powodu choroby lub wypadku lub w związku z ciążą i połogiem, albo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93393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2. 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 Niezamierzonego bezrobocia wynikającego z rejestru bezrobotnych prowadzonego przez powiatowy urząd pracy;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93393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3. 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 Podjęcia kształcenia lub szkolenia zawodowego.     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393393" w:rsidRPr="00393393" w:rsidRDefault="00393393" w:rsidP="0039339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Zgodnie z art. 19 ust. 1 wyżej cytowanej ustawy członek rodziny będący obywatelem UE zachowuje prawo pobytu w przypadku rozwodu, unieważnienia małżeństwa, śmierci lub wyjazdu z terytorium Rzeczypospolitej Polskiej obywatela UE, o którym mowa w art. 16 lub 17 lub obywatela Rzeczypospolitej Polskiej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Zgodnie z art. 19 ust. 2 członek rodziny niebędący obywatelem UE zachowuje prawo pobytu w przypadku:</w:t>
      </w:r>
    </w:p>
    <w:p w:rsidR="00393393" w:rsidRPr="00393393" w:rsidRDefault="00393393" w:rsidP="003933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93393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1.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 Śmierci obywatela UE, o którym mowa w art. 16 lub art. 17 lub obywatela Rzeczypospolitej Polskiej, jeżeli przebywał z nim na terytorium Rzeczypospolitej polskiej przez okres nie krótszy niż rok przed dniem jego śmierci;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93393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2.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 Rozwodu lub unieważnienia małżeństwa z zamieszkującym na terytorium Rzeczypospolitej Polskiej obywatelem UE, o którym mowa w art. 16 lub art. 17 lub obywatelem Rzeczypospolitej Polskiej, jeżeli:</w:t>
      </w:r>
    </w:p>
    <w:p w:rsidR="00393393" w:rsidRPr="00393393" w:rsidRDefault="00393393" w:rsidP="00393393">
      <w:p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93393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a.  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 Małżeństwo trwało co najmniej 3 lata przed wszczęciem postępowania w sprawie o rozwód lub o unieważnienie małżeństwa, w tym co najmniej rok w czasie pobytu obywatela UE lub obywatela Rzeczypospolitej Polskiej lub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93393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b. 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  Jako były małżonek obywatela UE lub obywatela Rzeczypospolitej Polskiej sprawuję opiekę nad jego dziećmi, na podstawie porozumienia między byłymi małżonkami lub na podstawie orzeczenia sądu lub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93393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c. 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  Przemawiają za tym szczególnie istotne okoliczności, w tym związane ze stosowaniem przemocy w rodzinie w trakcie trwania małżeństwa lub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93393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d. 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  Jako były małżonek obywatela UE lub obywatela Rzeczypospolitej Polskiej ma prawo do odwiedzin małoletniego dziecka, na podstawie porozumienia między małżonkami lub na podstawie orzeczenia sądu, gdy z porozumienia lub orzeczenia wynika, że odwiedziny odbywają się na terytorium Rzeczypospolitej Polskiej.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393393" w:rsidRPr="00393393" w:rsidRDefault="00393393" w:rsidP="0039339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Zgodnie z art. 19 ust. 3 W przypadku śmierci lub wyjazdu obywatela UE, o którym mowa w art. 16 lub art. 17 lub obywatela Rzeczypospolitej Polskiej z terytorium Rzeczypospolitej Polskiej dziecko obywatela UE lub obywatela Rzeczypospolitej Polskiej przebywające i uczące się lub studiujące na tym terytorium oraz rodzic 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lastRenderedPageBreak/>
        <w:t>sprawujący nad nim opiekę, bez względu na posiadane obywatelstwo, zachowują prawo pobytu do czasu zakończenia przez dziecko nauki lub studiów.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Zgodnie z art. 19a ust. 1 dziecku obywatela UE, który był pracownikiem na terytorium Rzeczypospolitej Polskiej, ale nie zachował prawa pobytu na podstawie art. 17, które przebywa i uczy się lub studiuje na tym terytorium, przysługuje prawo pobytu do czasu zakończenia nauki lub studiów.</w:t>
      </w: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393393" w:rsidRPr="00393393" w:rsidRDefault="00393393" w:rsidP="0039339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9339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Zgodnie z art. 19a ust. 2 rodzicowi sprawującemu opiekę nad dzieckiem obywatela UE, który był pracownikiem na terytorium Rzeczypospolitej Polskiej, ale nie zachował prawa pobytu na podstawie art. 17, które przebywa i uczy się lub studiuje na tym terytorium, przysługuje prawo pobytu do czasu osiągnięcia przez dziecko pełnoletności: prawo to przysługuje także po osiągnięciu przez dziecko pełnoletności, jeżeli nadal wymaga ono obecności i opieki tego rodzica, aby móc kontynuować i ukończyć naukę.    </w:t>
      </w:r>
    </w:p>
    <w:p w:rsidR="00C36F45" w:rsidRDefault="00C36F45"/>
    <w:sectPr w:rsidR="00C3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B4"/>
    <w:rsid w:val="00393393"/>
    <w:rsid w:val="00C36F45"/>
    <w:rsid w:val="00D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3289</Characters>
  <Application>Microsoft Office Word</Application>
  <DocSecurity>0</DocSecurity>
  <Lines>27</Lines>
  <Paragraphs>7</Paragraphs>
  <ScaleCrop>false</ScaleCrop>
  <Company>OUW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2</cp:revision>
  <dcterms:created xsi:type="dcterms:W3CDTF">2021-01-12T08:34:00Z</dcterms:created>
  <dcterms:modified xsi:type="dcterms:W3CDTF">2021-01-12T08:35:00Z</dcterms:modified>
</cp:coreProperties>
</file>