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w ramach podmiotów ubiegających się o dofinansowanie zapis Instytucje z sektora finansów publicznych, takie jak jednostki podległe Ministerstwu Spraw Wewnętrznych oraz Ministerstwu Finansów (w tym Policja, Straż Graniczna, Służba Celna) oznacza, że beneficjentem mogą być tylko Instytucje podległe MSW oraz MF, czy mogą to być również inni beneficjenci np. wojewoda, administracja zespolona?</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Wskazanie w ogłoszeniu instytucji podległych MSW stanowi jedynie przykład potencjalnej grupy wnioskodawców. Nie zawęża to w żaden sposób grupy wnioskodawców uprawnionych do wzięcia udziału w konkursie.</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 xml:space="preserve">Czy w ramach ogłoszonego konkursu na wsparcie obszaru </w:t>
      </w:r>
      <w:proofErr w:type="spellStart"/>
      <w:r w:rsidRPr="003D0879">
        <w:rPr>
          <w:rFonts w:ascii="Arial" w:eastAsia="Times New Roman" w:hAnsi="Arial" w:cs="Arial"/>
          <w:b/>
          <w:bCs/>
          <w:color w:val="000000" w:themeColor="text1"/>
          <w:sz w:val="18"/>
          <w:szCs w:val="18"/>
          <w:lang w:eastAsia="pl-PL"/>
        </w:rPr>
        <w:t>Schengen</w:t>
      </w:r>
      <w:proofErr w:type="spellEnd"/>
      <w:r w:rsidRPr="003D0879">
        <w:rPr>
          <w:rFonts w:ascii="Arial" w:eastAsia="Times New Roman" w:hAnsi="Arial" w:cs="Arial"/>
          <w:b/>
          <w:bCs/>
          <w:color w:val="000000" w:themeColor="text1"/>
          <w:sz w:val="18"/>
          <w:szCs w:val="18"/>
          <w:lang w:eastAsia="pl-PL"/>
        </w:rPr>
        <w:t>, Wnioskodawcą może być jednostka samorządu terytorialnego?</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Jednostki samorządu terytorialnego jako instytucje sektora finansów publicznych są uprawnione do wzięcia udziału w konkursie.</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Ile wniosków może złożyć jeden wnioskodawca?</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Operator programu nie ograniczył liczby wniosków, które może złożyć jeden wnioskodawca.</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możliwe jest finansowanie inwestycji związanych z zakupem środków trwałych?</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Z zasady projekty mające na celu zakup środków trwałych nie stanowią celu konkursu. Kwalifikowalność takich wydatków dotyczy jedynie wysokości ich amortyzacji w okresie realizacji projektu.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Dopuszcza się natomiast zakup sprzętu niezbędnego do realizacji projektów, których cele są zbieżne z celami konkursu i programu PL15.</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W związku z tym, że Wojewoda odpowiada za finansowanie i utrzymanie przejść granicznych, czy możliwe jest sfinansowanie kursów i szkoleń dla pracowników urzędu wojewódzkiego wykonujących te zadania, np. kursów językowych oraz specjalistycznych, m.in. z zakresu zamówień publicznych, prawa budowlanego, rozliczania inwestycji?</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Działania realizowane w ramach projektu powinny być nakierowane na osiąganie celów wskazanych w ogłoszeniu o naborze wniosków.</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kosztem kwalifikowanym w projekcie jest zakup nowego sprzętu (mobilne stanowisko dowodzenia), który będzie stanowił niezbędny element do osiągnięcia celów projektu?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Zgodnie z zaleceniami Norweskiego MSZ i informacjami wskazanymi w ogłoszeniu o naborze wniosków w trakcie oceny priorytetowo traktowane będą projekty nie nastawione na zakup sprzętu oraz inwestycje infrastrukturalne. Zgodnie z Rozdziałem 7 </w:t>
      </w:r>
      <w:r w:rsidRPr="003D0879">
        <w:rPr>
          <w:rFonts w:ascii="Arial" w:eastAsia="Times New Roman" w:hAnsi="Arial" w:cs="Arial"/>
          <w:i/>
          <w:iCs/>
          <w:color w:val="000000" w:themeColor="text1"/>
          <w:sz w:val="18"/>
          <w:szCs w:val="18"/>
          <w:lang w:eastAsia="pl-PL"/>
        </w:rPr>
        <w:t>Regulacji w sprawie Wdrażania Norweskiego Mechanizmu Finansowego 2009–2014</w:t>
      </w:r>
      <w:r w:rsidRPr="003D0879">
        <w:rPr>
          <w:rFonts w:ascii="Arial" w:eastAsia="Times New Roman" w:hAnsi="Arial" w:cs="Arial"/>
          <w:color w:val="000000" w:themeColor="text1"/>
          <w:sz w:val="18"/>
          <w:szCs w:val="18"/>
          <w:lang w:eastAsia="pl-PL"/>
        </w:rPr>
        <w:t> za kwalifikowalny uznaje się koszt nowego lub używanego sprzętu pod warunkiem, że jest on amortyzowany zgodnie z ogólnie przyjętymi zasadami rachunkowości obowiązującymi beneficjenta i zasadami ogólnie przyjętymi dla przedmiotów tego samego rodzaju. Tylko ta część amortyzacji, która odpowiada okresowi trwania projektu oraz rzeczywistemu zużyciu do celów projektu może być brana pod uwagę jako kwalifikująca się do dofinansowania.</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 przypadku Programu PL15 w ramach wyjątku całkowite koszty zakupu nowego sprzętu mogą zostać uznane za kwalifikowalne w ramach projektów, w przypadku których sprzęt stanowi integralny i konieczny komponent, kluczowy dla osiągnięcia rezultatu projektu.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Ocena stopnia kwalifikowalności sprzętu w ramach projektu będzie możliwa do przeprowadzenia jedynie w oparciu o kompletną dokumentację złożonego wniosku aplikacyjnego.</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podwykonawstwo jest kwalifikowane w projekcie, jeżeli tak to czy istnieje limit kosztów na podwykonawstwo?</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Operator Programu umożliwia realizację działań projektowych w ramach podwykonawstwa. Nie określono limitu kosztów ponoszonych w ramach podwykonawstwa</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lastRenderedPageBreak/>
        <w:t>Czy zarządzanie projektem można zlecić podmiotowi zewnętrznemu (podwykonawcy), czy są ustalone limity kosztów poniesionych na zarządzanie projektem?</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Zarządzanie projektem może zostać zlecone podmiotowi zewnętrznemu. Operator Programu nie ograniczył wartości kosztów ponoszonych na zarządzanie projektem, niemniej jednak koszty te powinny być adekwatne do zakresu działań przewidzianego w projekcie.</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w związku z ogłoszonym naborem wniosków w ramach Norweskiego Mechanizmu Finansowego, Operator Programu przewiduje przeprowadzenie szkolenia dla podmiotów, które mogą ubiegać się o dofinansowanie?</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 związku z ogłoszonym naborem wniosków Operator Programu planuje przeprowadzenie szkolenia dla Wnioskodawców w dniu 18 listopada br. w siedzibie MSW przy ul. Batorego 5 w Warszawie.</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Ogłoszenie o szkoleniu, formularz rejestracyjny oraz agenda szkolenia znajdują się na stronie Departamentu Współpracy Międzynarodowej i Funduszy Europejskich MSW </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w ramach projektów wyłonionych do dofinansowania w przedmiotowym naborze wniosków wymagane będzie podpisywanie umów lojalnościowych z bezpośrednimi odbiorcami szkoleń?</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Operator Programu nie nakłada na Beneficjentów wymogu podpisywania umów lojalnościowych w odniesieniu do grup docelowych realizowanych projektów. Niemniej jednak Beneficjenci zobowiązani są do stosowania wewnętrznych regulacji i dobrych praktyk w przedmiotowej kwestii.</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istnieje obowiązek oznakowania zakupionego w ramach realizacji projektu sprzętu? Jeśli tak, to czy przedmioty które trudno oznaczyć mogą pozostać bez oznakowania? Czy należy o tym wcześniej wspomnieć we wniosku?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Zakupiony w ramach projektu sprzęt powinien zostać odpowiednio oznakowany, wykorzystując naklejki i/lub logo Norweskiego Mechanizmu Finansowego, zgodnie z </w:t>
      </w:r>
      <w:r w:rsidRPr="003D0879">
        <w:rPr>
          <w:rFonts w:ascii="Arial" w:eastAsia="Times New Roman" w:hAnsi="Arial" w:cs="Arial"/>
          <w:i/>
          <w:iCs/>
          <w:color w:val="000000" w:themeColor="text1"/>
          <w:sz w:val="18"/>
          <w:szCs w:val="18"/>
          <w:lang w:eastAsia="pl-PL"/>
        </w:rPr>
        <w:t>Podręcznikiem Komunikacji i Identyfikacji Wizualnej</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Przedmioty niewielkich rozmiarów, trudne do opatrzenia logo/naklejką mogą pozostać bez oznakowania, niemniej jednak informacja w tym zakresie powinna znaleźć się we wniosku aplikacyjnym, w części Informacja i Promocja Projektu i Funduszu.</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W jakim terminie można spodziewać się z Państwa strony przystąpienia podpisywania umów finansowych na realizację projektu?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Planowany czas trwania oceny merytorycznej wniosków aplikacyjnych złożonych w ramach trwającego naboru to 3 miesiące. Operator Programu zastrzega sobie prawo do wydłużenia czasu trwania oceny w przypadku wpłynięcia znacznej ilości wniosków aplikacyjnych. Stąd zakładany orientacyjny termin podpisywania umów z Beneficjentami to koniec II kwartału 2014 r.</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koszty personelu partnera norweskiego mogą stanowić koszt kwalifikowalny i stanowić część wymaganego 15 procentowego wkładu własnego?</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Koszt personelu partnera norweskiego może stanowić koszt kwalifikowalny i stanowić część wymaganego 15 procentowego wkładu własnego.</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jest możliwość przedłożenia innych dokumentów niż zaświadczenia i listy obecności (np. oświadczenie kierownika projektu w ośrodku szkolenia), które będą stanowiły potwierdzenie uczestnictwa osób w szkoleniu?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Beneficjent realizując szkolenia/warsztaty powinien gromadzić odpowiednią dokumentację, w tym zaświadczenia i listy obecności, stanowiące dowód zrealizowanych działań i poniesionych wydatków.</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Dokumenty te będą wykorzystywane w celach rozliczenia projektu oraz na potrzeby kontroli instytucji uprawnionych.</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lastRenderedPageBreak/>
        <w:t>Czy w ramach NMF 2009–2014 kwalifikowalne są wydatki związane z realizacją projektu szkoleniowego powiązanego z budową infrastruktury niezbędnej do realizacji projektu? W ramach projektu planuje się:</w:t>
      </w:r>
    </w:p>
    <w:p w:rsidR="003D0879" w:rsidRPr="003D0879" w:rsidRDefault="003D0879" w:rsidP="003D0879">
      <w:pPr>
        <w:numPr>
          <w:ilvl w:val="1"/>
          <w:numId w:val="1"/>
        </w:numPr>
        <w:shd w:val="clear" w:color="auto" w:fill="FFFFFF"/>
        <w:spacing w:after="0" w:line="240" w:lineRule="auto"/>
        <w:ind w:left="480" w:right="48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wybudowanie ośrodka szkoleniowego;</w:t>
      </w:r>
    </w:p>
    <w:p w:rsidR="003D0879" w:rsidRPr="003D0879" w:rsidRDefault="003D0879" w:rsidP="003D0879">
      <w:pPr>
        <w:numPr>
          <w:ilvl w:val="1"/>
          <w:numId w:val="1"/>
        </w:numPr>
        <w:shd w:val="clear" w:color="auto" w:fill="FFFFFF"/>
        <w:spacing w:after="0" w:line="240" w:lineRule="auto"/>
        <w:ind w:left="480" w:right="48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realizację szkoleń.</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Wydatki dot. szkoleń są kwalifikowane w ramach NMF 2009–2014.</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Wydatki dot. budowy/ remontu, zgodnie z Art. 7.5 </w:t>
      </w:r>
      <w:r w:rsidRPr="003D0879">
        <w:rPr>
          <w:rFonts w:ascii="Arial" w:eastAsia="Times New Roman" w:hAnsi="Arial" w:cs="Arial"/>
          <w:i/>
          <w:iCs/>
          <w:color w:val="000000" w:themeColor="text1"/>
          <w:sz w:val="18"/>
          <w:szCs w:val="18"/>
          <w:lang w:eastAsia="pl-PL"/>
        </w:rPr>
        <w:t>Regulacji</w:t>
      </w:r>
      <w:r w:rsidRPr="003D0879">
        <w:rPr>
          <w:rFonts w:ascii="Arial" w:eastAsia="Times New Roman" w:hAnsi="Arial" w:cs="Arial"/>
          <w:color w:val="000000" w:themeColor="text1"/>
          <w:sz w:val="18"/>
          <w:szCs w:val="18"/>
          <w:lang w:eastAsia="pl-PL"/>
        </w:rPr>
        <w:t>,  są również  w 100% kwalifikowane.</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Jednak należy pamiętać, że wydatki te muszą wpisywać się w cele </w:t>
      </w:r>
      <w:r w:rsidRPr="003D0879">
        <w:rPr>
          <w:rFonts w:ascii="Arial" w:eastAsia="Times New Roman" w:hAnsi="Arial" w:cs="Arial"/>
          <w:i/>
          <w:iCs/>
          <w:color w:val="000000" w:themeColor="text1"/>
          <w:sz w:val="18"/>
          <w:szCs w:val="18"/>
          <w:lang w:eastAsia="pl-PL"/>
        </w:rPr>
        <w:t>Programu</w:t>
      </w:r>
      <w:r w:rsidRPr="003D0879">
        <w:rPr>
          <w:rFonts w:ascii="Arial" w:eastAsia="Times New Roman" w:hAnsi="Arial" w:cs="Arial"/>
          <w:color w:val="000000" w:themeColor="text1"/>
          <w:sz w:val="18"/>
          <w:szCs w:val="18"/>
          <w:lang w:eastAsia="pl-PL"/>
        </w:rPr>
        <w:t> i realizować jego rezultaty. Wszelkie koszty powinny być racjonalne, niezbędne i uzasadnione z punktu widzenia założonego celu projektu.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Należy ponadto przypomnieć, że w ramach Programu PL15 priorytetowo traktowane będą projekty miękkie, tj. nie nastawione na zakup sprzętu oraz inwestycje infrastrukturalne.</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proofErr w:type="spellStart"/>
      <w:r w:rsidRPr="003D0879">
        <w:rPr>
          <w:rFonts w:ascii="Arial" w:eastAsia="Times New Roman" w:hAnsi="Arial" w:cs="Arial"/>
          <w:color w:val="000000" w:themeColor="text1"/>
          <w:sz w:val="18"/>
          <w:szCs w:val="18"/>
          <w:lang w:eastAsia="pl-PL"/>
        </w:rPr>
        <w:t>Kwalifkowalnoość</w:t>
      </w:r>
      <w:proofErr w:type="spellEnd"/>
      <w:r w:rsidRPr="003D0879">
        <w:rPr>
          <w:rFonts w:ascii="Arial" w:eastAsia="Times New Roman" w:hAnsi="Arial" w:cs="Arial"/>
          <w:color w:val="000000" w:themeColor="text1"/>
          <w:sz w:val="18"/>
          <w:szCs w:val="18"/>
          <w:lang w:eastAsia="pl-PL"/>
        </w:rPr>
        <w:t xml:space="preserve"> wydatków będzie rozważana indywidualnie, przy ocenie każdego projektu, z uwzględnieniem poziomu wykorzystania utworzonej infrastruktury oraz zakupionego w ramach projektu sprzętu do realizacji celów projektu.</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Informacje dotyczące wypełniania budżetu–harmonogramu we wniosku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 związku z wątpliwościami dotyczącymi wypełniania budżetu–harmonogramu we wniosku, prosimy o zapoznanie się z niniejszą informacją.</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Kwoty jedności podawane w harmonogramie dotyczą tysięcy, tzn. wpisanie w komórce harmonogramu cyfry 5, oznacza 5 tysięcy, a ściślej zakres od 4501 do 5499 zł. W przypadku jeżeli wydatek jest mniejszy niż 499 złotych (oczywiście w okresie czteromiesięcznym), należy wpisać zero. W tym przypadku możliwe jest także założenie zaokrąglenia w górę, do pełnego tysiąca. </w:t>
      </w:r>
      <w:r w:rsidRPr="003D0879">
        <w:rPr>
          <w:rFonts w:ascii="Arial" w:eastAsia="Times New Roman" w:hAnsi="Arial" w:cs="Arial"/>
          <w:b/>
          <w:bCs/>
          <w:color w:val="000000" w:themeColor="text1"/>
          <w:sz w:val="18"/>
          <w:szCs w:val="18"/>
          <w:lang w:eastAsia="pl-PL"/>
        </w:rPr>
        <w:t>Budżet–harmonogram ma charakter orientacyjny i nie jest ostatecznie wiążący.</w:t>
      </w:r>
      <w:r w:rsidRPr="003D0879">
        <w:rPr>
          <w:rFonts w:ascii="Arial" w:eastAsia="Times New Roman" w:hAnsi="Arial" w:cs="Arial"/>
          <w:color w:val="000000" w:themeColor="text1"/>
          <w:sz w:val="18"/>
          <w:szCs w:val="18"/>
          <w:lang w:eastAsia="pl-PL"/>
        </w:rPr>
        <w:t> Wiążące charakter mają kwoty podane na początku wniosku, w wierszach 6–11.</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Jeżeli budżet–harmonogram zostanie wypełniony w jednościach oznaczających tysiące, to o ile mieści się w granicach 85–115% wartości kwalifikowalnej projektu z komórki O7, to pod budżetem–harmonogramem nie zostanie wyświetlona informacja o znacznych różnicach. Wyświetlenie takiej informacji nie dyskwalifikuje wniosku; informacja ma charakter ostrzegawczy dla wnioskodawcy.</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Biorąc pod uwagę powstające wątpliwości, wnioski wypełnione inaczej niż w jednościach oznaczających tysiące, będą akceptowane.</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Poniższy przykład może być pomocny przy wypełnianiu budżetu–harmonogramu: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noProof/>
          <w:color w:val="000000" w:themeColor="text1"/>
          <w:sz w:val="18"/>
          <w:szCs w:val="18"/>
          <w:lang w:eastAsia="pl-PL"/>
        </w:rPr>
        <w:drawing>
          <wp:inline distT="0" distB="0" distL="0" distR="0">
            <wp:extent cx="5029200" cy="628650"/>
            <wp:effectExtent l="0" t="0" r="0" b="0"/>
            <wp:docPr id="1" name="Obraz 1" descr="fragment formularza wniosku o dofinansowanie projektu w ramach Norweskiego Mechanizmu Finansowego 2009-2014, prezentujący przykład uzupełnienia części dotyczącej budżetu-harmonogramu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gment formularza wniosku o dofinansowanie projektu w ramach Norweskiego Mechanizmu Finansowego 2009-2014, prezentujący przykład uzupełnienia części dotyczącej budżetu-harmonogramu projekt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995" cy="653999"/>
                    </a:xfrm>
                    <a:prstGeom prst="rect">
                      <a:avLst/>
                    </a:prstGeom>
                    <a:noFill/>
                    <a:ln>
                      <a:noFill/>
                    </a:ln>
                  </pic:spPr>
                </pic:pic>
              </a:graphicData>
            </a:graphic>
          </wp:inline>
        </w:drawing>
      </w:r>
      <w:bookmarkStart w:id="0" w:name="_GoBack"/>
      <w:bookmarkEnd w:id="0"/>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Wnioskodawca zaplanował szkolenie R, w związku z którym planuje ponosić koszty wynagrodzenia koordynatora między marcem a wrześniem 2014 roku. Na ten okres zostanie zawarta umowa zlecenia.</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Szacowany miesięczny koszt wynagrodzenia wyniesie 1800 zł.</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Na okres od stycznia do kwietnia 2014 r. przypadną dwie wypłaty miesięcznego wynagrodzenia, a więc 3600 zł, czyli po zaokrągleniu do pełnych tysięcy – 4 tysiące.</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Na okres od maja do sierpnia ’14 przypadną cztery wypłaty, w kwocie 7200 zł (4 x 1800), czyli po zaokrągleniu 7 tysięcy (a nie osiem obliczane jako 4 x 2000).</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lastRenderedPageBreak/>
        <w:t>W okresie od września do grudnia’14 przypadnie jedna wypłata w wysokości 1800 zł, czyli po zaokrągleniu 2 tysiące.</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jest możliwe wykorzystanie jedynie kwoty stanowiącej narzędzie zacieśniania współpracy partnerstwa z Funduszu Współpracy Dwustronnej, czy też jest ona nierozerwalnie związana z kwotą przeznaczoną na dofinansowanie projektów?</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Operator Programu przewidział realizację działań w ramach Funduszu Współpracy Dwustronnej jedynie w połączeniu z działaniami projektowymi. Stąd Wnioskodawcy nie mogą ubiegać się jedynie o środki Funduszu Współpracy Dwustronnej.</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Jeżeli FWD musi być powiązany z NMF to czy można się wcześniej ubiegać (w terminie do 8 stycznia 2014 r.) o środki z FWD, a przewidziany jest inny termin, w którym moglibyśmy ubiegać się ośrodki z NMF?</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 wszystkie środki należy ubiegać się w ramach ogłoszonego naboru wniosków. Operator Programu nie przewidział osobnych terminów naborów wniosków dla FWD.</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skorzystanie z WFD i NMF podraża koszty projektu o koszty z FWD, czy też FWD jest wtedy zawarty w kwocie NMF (gdybyśmy chcieli skorzystać z minimum przewidzianego w projekcie w ramach NMF)?</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Wskazana w ogłoszeniu o naborze wniosków minimalna wartość dofinansowania (170 tys. EUR) uwzględnia także środki FWD.</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 xml:space="preserve">FWD wymaga partnera norweskiego; czy w ramach NMF jesteśmy zobowiązani do szukania partnerów w Norwegii czy też mogą to być dowolne kraje z Grupy </w:t>
      </w:r>
      <w:proofErr w:type="spellStart"/>
      <w:r w:rsidRPr="003D0879">
        <w:rPr>
          <w:rFonts w:ascii="Arial" w:eastAsia="Times New Roman" w:hAnsi="Arial" w:cs="Arial"/>
          <w:b/>
          <w:bCs/>
          <w:color w:val="000000" w:themeColor="text1"/>
          <w:sz w:val="18"/>
          <w:szCs w:val="18"/>
          <w:lang w:eastAsia="pl-PL"/>
        </w:rPr>
        <w:t>Schengen</w:t>
      </w:r>
      <w:proofErr w:type="spellEnd"/>
      <w:r w:rsidRPr="003D0879">
        <w:rPr>
          <w:rFonts w:ascii="Arial" w:eastAsia="Times New Roman" w:hAnsi="Arial" w:cs="Arial"/>
          <w:b/>
          <w:bCs/>
          <w:color w:val="000000" w:themeColor="text1"/>
          <w:sz w:val="18"/>
          <w:szCs w:val="18"/>
          <w:lang w:eastAsia="pl-PL"/>
        </w:rPr>
        <w:t>.</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W przypadku wykorzystania Funduszu Współpracy Dwustronnej konieczna jest realizacja działań skierowanych na wzmacnianie współpracy pomiędzy Wnioskodawcą a podmiotami w Norwegii. W przypadku pozostałych działań projektowych Operator Programu nie ogranicza terytorialnie Wnioskodawców w kwestii poszukiwania Partnerów.</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jeden projekt może dotyczyć różnych obszarów tematycznych oraz łączyć zarówno szkolenia jak i konferencję?</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Tak. Operator Programu dopuszcza realizację projektów odnoszących się do różnych obszarów tematycznych i łączących różne rodzaje kwalifikowalnych działań.</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projekt może zakładać jedynie po jednym wskaźniku produktu oraz rezultatu?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Jeden wskaźnik produktu i rezultatu jest minimalną wymaganą przez Operatora Programu wartością</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jest dostępna </w:t>
      </w:r>
      <w:r w:rsidRPr="003D0879">
        <w:rPr>
          <w:rFonts w:ascii="Arial" w:eastAsia="Times New Roman" w:hAnsi="Arial" w:cs="Arial"/>
          <w:b/>
          <w:bCs/>
          <w:i/>
          <w:iCs/>
          <w:color w:val="000000" w:themeColor="text1"/>
          <w:sz w:val="18"/>
          <w:szCs w:val="18"/>
          <w:lang w:eastAsia="pl-PL"/>
        </w:rPr>
        <w:t xml:space="preserve">Umowa w sprawie finansowania Programu Współpraca w obszarze </w:t>
      </w:r>
      <w:proofErr w:type="spellStart"/>
      <w:r w:rsidRPr="003D0879">
        <w:rPr>
          <w:rFonts w:ascii="Arial" w:eastAsia="Times New Roman" w:hAnsi="Arial" w:cs="Arial"/>
          <w:b/>
          <w:bCs/>
          <w:i/>
          <w:iCs/>
          <w:color w:val="000000" w:themeColor="text1"/>
          <w:sz w:val="18"/>
          <w:szCs w:val="18"/>
          <w:lang w:eastAsia="pl-PL"/>
        </w:rPr>
        <w:t>Schengen</w:t>
      </w:r>
      <w:proofErr w:type="spellEnd"/>
      <w:r w:rsidRPr="003D0879">
        <w:rPr>
          <w:rFonts w:ascii="Arial" w:eastAsia="Times New Roman" w:hAnsi="Arial" w:cs="Arial"/>
          <w:b/>
          <w:bCs/>
          <w:i/>
          <w:iCs/>
          <w:color w:val="000000" w:themeColor="text1"/>
          <w:sz w:val="18"/>
          <w:szCs w:val="18"/>
          <w:lang w:eastAsia="pl-PL"/>
        </w:rPr>
        <w:t xml:space="preserve"> oraz walka z przestępczością transgraniczną i zorganizowaną, w tym przeciwdziałanie handlowi ludźmi oraz migracjom grup przestępczych,</w:t>
      </w:r>
      <w:r w:rsidRPr="003D0879">
        <w:rPr>
          <w:rFonts w:ascii="Arial" w:eastAsia="Times New Roman" w:hAnsi="Arial" w:cs="Arial"/>
          <w:b/>
          <w:bCs/>
          <w:color w:val="000000" w:themeColor="text1"/>
          <w:sz w:val="18"/>
          <w:szCs w:val="18"/>
          <w:lang w:eastAsia="pl-PL"/>
        </w:rPr>
        <w:t> zawarta w dniu 15 kwietnia 2013 r. w polskiej wersji językowej.</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Tak – polska wersja umowy została umieszczona wśród dokumentów do pobrania w związku z ogłoszonym naborem wniosków.</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W jakim stopniu szczegółowości należy podać ilość osób biorących udział w szkoleniach. Czy mogą to być przedziały np. od do czy tylko konkretna wartość.</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Ilość wyszkolonych osób powinna odzwierciedlać wartość wskaźnika, który musi być mierzalny. Stąd sugeruje się precyzyjne określenie ilości osób biorących udział w szkoleniach.</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posiadanie partnera jest obowiązkowe?</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Nie – posiadanie partnera w projekcie nie jest obligatoryjne.</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lastRenderedPageBreak/>
        <w:t>Czy w przypadku posiadania partnera (ów) w projekcie konieczne jest podpisywanie wniosku aplikacyjnego również przez niego (nich)?</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Operator Programu wymaga podpisania wniosku aplikacyjnego jedynie przez Wnioskodawcę. Nie ma konieczności podpisywania wniosku aplikacyjnego przez Partnera(ów) w projekcie.</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w ramach projektów wdrażanych ze środków programu PL15 Beneficjenci zobowiązani są do przeprowadzenia audytu projektu?</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Operator Programu nie wymaga przeprowadzenia audytu projektu przez Beneficjenta.</w:t>
      </w:r>
    </w:p>
    <w:p w:rsidR="003D0879" w:rsidRPr="003D0879" w:rsidRDefault="003D0879" w:rsidP="003D0879">
      <w:pPr>
        <w:numPr>
          <w:ilvl w:val="0"/>
          <w:numId w:val="1"/>
        </w:numPr>
        <w:shd w:val="clear" w:color="auto" w:fill="FFFFFF"/>
        <w:spacing w:after="0"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b/>
          <w:bCs/>
          <w:color w:val="000000" w:themeColor="text1"/>
          <w:sz w:val="18"/>
          <w:szCs w:val="18"/>
          <w:lang w:eastAsia="pl-PL"/>
        </w:rPr>
        <w:t>Czy obligatoryjne jest, aby dodatkowo załączyć plan informacji i promocji (jako oddzielny załącznik)?</w:t>
      </w:r>
    </w:p>
    <w:p w:rsidR="003D0879" w:rsidRPr="003D0879" w:rsidRDefault="003D0879" w:rsidP="003D0879">
      <w:pPr>
        <w:shd w:val="clear" w:color="auto" w:fill="FFFFFF"/>
        <w:spacing w:before="100" w:beforeAutospacing="1" w:after="100" w:afterAutospacing="1" w:line="240" w:lineRule="auto"/>
        <w:ind w:left="240" w:right="240"/>
        <w:rPr>
          <w:rFonts w:ascii="Arial" w:eastAsia="Times New Roman" w:hAnsi="Arial" w:cs="Arial"/>
          <w:color w:val="000000" w:themeColor="text1"/>
          <w:sz w:val="18"/>
          <w:szCs w:val="18"/>
          <w:lang w:eastAsia="pl-PL"/>
        </w:rPr>
      </w:pPr>
      <w:r w:rsidRPr="003D0879">
        <w:rPr>
          <w:rFonts w:ascii="Arial" w:eastAsia="Times New Roman" w:hAnsi="Arial" w:cs="Arial"/>
          <w:color w:val="000000" w:themeColor="text1"/>
          <w:sz w:val="18"/>
          <w:szCs w:val="18"/>
          <w:lang w:eastAsia="pl-PL"/>
        </w:rPr>
        <w:t>Operator Programu nie wymaga tworzenia odrębnego dokumentu w postaci </w:t>
      </w:r>
      <w:r w:rsidRPr="003D0879">
        <w:rPr>
          <w:rFonts w:ascii="Arial" w:eastAsia="Times New Roman" w:hAnsi="Arial" w:cs="Arial"/>
          <w:i/>
          <w:iCs/>
          <w:color w:val="000000" w:themeColor="text1"/>
          <w:sz w:val="18"/>
          <w:szCs w:val="18"/>
          <w:lang w:eastAsia="pl-PL"/>
        </w:rPr>
        <w:t>Planu informacji i promocji</w:t>
      </w:r>
      <w:r w:rsidRPr="003D0879">
        <w:rPr>
          <w:rFonts w:ascii="Arial" w:eastAsia="Times New Roman" w:hAnsi="Arial" w:cs="Arial"/>
          <w:color w:val="000000" w:themeColor="text1"/>
          <w:sz w:val="18"/>
          <w:szCs w:val="18"/>
          <w:lang w:eastAsia="pl-PL"/>
        </w:rPr>
        <w:t>. Niemniej jednak dopuszczalne jest załączenie go w postaci dodatkowego załącznika do wniosku aplikacyjnego.</w:t>
      </w:r>
    </w:p>
    <w:p w:rsidR="00345725" w:rsidRPr="003D0879" w:rsidRDefault="00345725">
      <w:pPr>
        <w:rPr>
          <w:color w:val="000000" w:themeColor="text1"/>
        </w:rPr>
      </w:pPr>
    </w:p>
    <w:sectPr w:rsidR="00345725" w:rsidRPr="003D0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33201"/>
    <w:multiLevelType w:val="multilevel"/>
    <w:tmpl w:val="F4D8A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79"/>
    <w:rsid w:val="00345725"/>
    <w:rsid w:val="003D0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918DE-3717-4B64-917F-C59D5C6A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D0879"/>
    <w:rPr>
      <w:b/>
      <w:bCs/>
    </w:rPr>
  </w:style>
  <w:style w:type="paragraph" w:styleId="NormalnyWeb">
    <w:name w:val="Normal (Web)"/>
    <w:basedOn w:val="Normalny"/>
    <w:uiPriority w:val="99"/>
    <w:semiHidden/>
    <w:unhideWhenUsed/>
    <w:rsid w:val="003D08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TML-cytat">
    <w:name w:val="HTML Cite"/>
    <w:basedOn w:val="Domylnaczcionkaakapitu"/>
    <w:uiPriority w:val="99"/>
    <w:semiHidden/>
    <w:unhideWhenUsed/>
    <w:rsid w:val="003D0879"/>
    <w:rPr>
      <w:i/>
      <w:iCs/>
    </w:rPr>
  </w:style>
  <w:style w:type="character" w:styleId="Hipercze">
    <w:name w:val="Hyperlink"/>
    <w:basedOn w:val="Domylnaczcionkaakapitu"/>
    <w:uiPriority w:val="99"/>
    <w:semiHidden/>
    <w:unhideWhenUsed/>
    <w:rsid w:val="003D0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1919</Words>
  <Characters>11515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Ćmiel Joanna</dc:creator>
  <cp:keywords/>
  <dc:description/>
  <cp:lastModifiedBy>Ćmiel Joanna</cp:lastModifiedBy>
  <cp:revision>1</cp:revision>
  <dcterms:created xsi:type="dcterms:W3CDTF">2022-04-08T10:23:00Z</dcterms:created>
  <dcterms:modified xsi:type="dcterms:W3CDTF">2022-04-08T10:27:00Z</dcterms:modified>
</cp:coreProperties>
</file>