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12" w:rsidRPr="00677AFE" w:rsidRDefault="00DE005B" w:rsidP="00967660">
      <w:pPr>
        <w:tabs>
          <w:tab w:val="left" w:pos="5529"/>
        </w:tabs>
        <w:autoSpaceDE w:val="0"/>
        <w:autoSpaceDN w:val="0"/>
        <w:adjustRightInd w:val="0"/>
        <w:spacing w:after="0" w:line="240" w:lineRule="auto"/>
        <w:rPr>
          <w:rFonts w:ascii="Calibri" w:eastAsia="Times New Roman" w:hAnsi="Calibri" w:cs="Calibri"/>
          <w:b/>
          <w:bCs/>
          <w:color w:val="000000"/>
          <w:sz w:val="24"/>
          <w:szCs w:val="24"/>
          <w:lang w:eastAsia="pl-PL"/>
        </w:rPr>
      </w:pPr>
      <w:r w:rsidRPr="00677AFE">
        <w:rPr>
          <w:rFonts w:ascii="Calibri" w:eastAsia="Times New Roman" w:hAnsi="Calibri" w:cs="Calibri"/>
          <w:b/>
          <w:bCs/>
          <w:color w:val="000000"/>
          <w:sz w:val="24"/>
          <w:szCs w:val="24"/>
          <w:lang w:eastAsia="pl-PL"/>
        </w:rPr>
        <w:t xml:space="preserve">      </w:t>
      </w:r>
      <w:r>
        <w:rPr>
          <w:rFonts w:ascii="Calibri" w:eastAsia="Times New Roman" w:hAnsi="Calibri" w:cs="Calibri"/>
          <w:b/>
          <w:bCs/>
          <w:color w:val="000000"/>
          <w:sz w:val="24"/>
          <w:szCs w:val="24"/>
          <w:lang w:eastAsia="pl-PL"/>
        </w:rPr>
        <w:t xml:space="preserve"> </w:t>
      </w:r>
      <w:r w:rsidRPr="00677AFE">
        <w:rPr>
          <w:rFonts w:ascii="Calibri" w:eastAsia="Times New Roman" w:hAnsi="Calibri" w:cs="Calibri"/>
          <w:b/>
          <w:bCs/>
          <w:color w:val="000000"/>
          <w:sz w:val="24"/>
          <w:szCs w:val="24"/>
          <w:lang w:eastAsia="pl-PL"/>
        </w:rPr>
        <w:t xml:space="preserve">         </w:t>
      </w:r>
      <w:r w:rsidRPr="00677AFE">
        <w:rPr>
          <w:rFonts w:ascii="Calibri" w:eastAsia="Times New Roman" w:hAnsi="Calibri" w:cs="Calibri"/>
          <w:noProof/>
          <w:sz w:val="24"/>
          <w:szCs w:val="24"/>
          <w:lang w:eastAsia="pl-PL"/>
        </w:rPr>
        <w:drawing>
          <wp:inline distT="0" distB="0" distL="0" distR="0">
            <wp:extent cx="51435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514350" cy="542925"/>
                    </a:xfrm>
                    <a:prstGeom prst="rect">
                      <a:avLst/>
                    </a:prstGeom>
                    <a:noFill/>
                    <a:ln>
                      <a:noFill/>
                    </a:ln>
                  </pic:spPr>
                </pic:pic>
              </a:graphicData>
            </a:graphic>
          </wp:inline>
        </w:drawing>
      </w:r>
      <w:r w:rsidRPr="00677AFE">
        <w:rPr>
          <w:rFonts w:ascii="Calibri" w:eastAsia="Times New Roman" w:hAnsi="Calibri" w:cs="Calibri"/>
          <w:b/>
          <w:bCs/>
          <w:color w:val="000000"/>
          <w:sz w:val="24"/>
          <w:szCs w:val="24"/>
          <w:lang w:eastAsia="pl-PL"/>
        </w:rPr>
        <w:t xml:space="preserve"> </w:t>
      </w:r>
      <w:r>
        <w:rPr>
          <w:rFonts w:ascii="Calibri" w:eastAsia="Times New Roman" w:hAnsi="Calibri" w:cs="Calibri"/>
          <w:b/>
          <w:bCs/>
          <w:color w:val="000000"/>
          <w:sz w:val="24"/>
          <w:szCs w:val="24"/>
          <w:lang w:eastAsia="pl-PL"/>
        </w:rPr>
        <w:tab/>
      </w:r>
      <w:r w:rsidRPr="00677AFE">
        <w:rPr>
          <w:rFonts w:eastAsia="Times New Roman" w:cstheme="minorHAnsi"/>
          <w:sz w:val="24"/>
          <w:szCs w:val="24"/>
          <w:lang w:eastAsia="pl-PL"/>
        </w:rPr>
        <w:t xml:space="preserve">Warszawa, </w:t>
      </w:r>
      <w:bookmarkStart w:id="0" w:name="ezdDataPodpisu"/>
      <w:r w:rsidRPr="00677AFE">
        <w:rPr>
          <w:rFonts w:ascii="Calibri" w:eastAsia="Times New Roman" w:hAnsi="Calibri" w:cs="Calibri"/>
          <w:b/>
          <w:bCs/>
          <w:color w:val="000000"/>
          <w:sz w:val="24"/>
          <w:szCs w:val="24"/>
          <w:lang w:eastAsia="pl-PL"/>
        </w:rPr>
        <w:t>15 sty</w:t>
      </w:r>
      <w:bookmarkStart w:id="1" w:name="_GoBack"/>
      <w:bookmarkEnd w:id="1"/>
      <w:r w:rsidRPr="00677AFE">
        <w:rPr>
          <w:rFonts w:ascii="Calibri" w:eastAsia="Times New Roman" w:hAnsi="Calibri" w:cs="Calibri"/>
          <w:b/>
          <w:bCs/>
          <w:color w:val="000000"/>
          <w:sz w:val="24"/>
          <w:szCs w:val="24"/>
          <w:lang w:eastAsia="pl-PL"/>
        </w:rPr>
        <w:t>cznia 2021 r.</w:t>
      </w:r>
      <w:bookmarkEnd w:id="0"/>
    </w:p>
    <w:p w:rsidR="00BD4B7C" w:rsidRPr="00677AFE" w:rsidRDefault="00DE005B" w:rsidP="00BD4B7C">
      <w:pPr>
        <w:autoSpaceDE w:val="0"/>
        <w:autoSpaceDN w:val="0"/>
        <w:adjustRightInd w:val="0"/>
        <w:spacing w:after="0" w:line="240" w:lineRule="auto"/>
        <w:rPr>
          <w:rFonts w:ascii="Calibri" w:eastAsia="Times New Roman" w:hAnsi="Calibri" w:cs="Calibri"/>
          <w:b/>
          <w:bCs/>
          <w:sz w:val="24"/>
          <w:szCs w:val="24"/>
          <w:lang w:eastAsia="pl-PL"/>
        </w:rPr>
      </w:pPr>
      <w:r>
        <w:rPr>
          <w:rFonts w:ascii="Calibri" w:eastAsia="Times New Roman" w:hAnsi="Calibri" w:cs="Calibri"/>
          <w:b/>
          <w:bCs/>
          <w:color w:val="000000"/>
          <w:sz w:val="24"/>
          <w:szCs w:val="24"/>
          <w:lang w:eastAsia="pl-PL"/>
        </w:rPr>
        <w:t xml:space="preserve"> </w:t>
      </w:r>
      <w:r w:rsidRPr="00677AFE">
        <w:rPr>
          <w:rFonts w:ascii="Calibri" w:eastAsia="Times New Roman" w:hAnsi="Calibri" w:cs="Calibri"/>
          <w:b/>
          <w:bCs/>
          <w:sz w:val="24"/>
          <w:szCs w:val="24"/>
          <w:lang w:eastAsia="pl-PL"/>
        </w:rPr>
        <w:t>WOJEWODA MAZOWIECKI</w:t>
      </w:r>
    </w:p>
    <w:p w:rsidR="00BD4B7C" w:rsidRPr="00677AFE" w:rsidRDefault="00967660" w:rsidP="00BD4B7C">
      <w:pPr>
        <w:spacing w:after="0" w:line="240" w:lineRule="auto"/>
        <w:ind w:left="5664" w:firstLine="708"/>
        <w:rPr>
          <w:rFonts w:eastAsia="Times New Roman" w:cstheme="minorHAnsi"/>
          <w:sz w:val="24"/>
          <w:szCs w:val="24"/>
          <w:lang w:eastAsia="pl-PL"/>
        </w:rPr>
      </w:pPr>
    </w:p>
    <w:p w:rsidR="00BD4B7C" w:rsidRPr="00677AFE" w:rsidRDefault="00DE005B" w:rsidP="00BD4B7C">
      <w:pPr>
        <w:spacing w:after="0" w:line="240" w:lineRule="auto"/>
        <w:rPr>
          <w:rFonts w:eastAsia="Times New Roman" w:cstheme="minorHAnsi"/>
          <w:sz w:val="24"/>
          <w:szCs w:val="24"/>
          <w:lang w:eastAsia="pl-PL"/>
        </w:rPr>
      </w:pPr>
      <w:r w:rsidRPr="00677AFE">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3379F7">
        <w:rPr>
          <w:rFonts w:eastAsia="Times New Roman" w:cstheme="minorHAnsi"/>
          <w:sz w:val="24"/>
          <w:szCs w:val="24"/>
          <w:lang w:eastAsia="pl-PL"/>
        </w:rPr>
        <w:t>WNP-I.4131.257.2020.KS</w:t>
      </w:r>
    </w:p>
    <w:p w:rsidR="00CB5160" w:rsidRPr="00F8714A" w:rsidRDefault="00967660" w:rsidP="00BD4B7C">
      <w:pPr>
        <w:tabs>
          <w:tab w:val="left" w:pos="426"/>
          <w:tab w:val="left" w:pos="1276"/>
        </w:tabs>
        <w:spacing w:after="0" w:line="276" w:lineRule="auto"/>
        <w:ind w:firstLine="4536"/>
        <w:rPr>
          <w:rFonts w:ascii="Calibri" w:eastAsia="Times New Roman" w:hAnsi="Calibri" w:cs="Calibri"/>
          <w:b/>
          <w:sz w:val="24"/>
          <w:szCs w:val="24"/>
          <w:lang w:eastAsia="pl-PL"/>
        </w:rPr>
      </w:pPr>
    </w:p>
    <w:p w:rsidR="00DB4832" w:rsidRPr="00F8714A" w:rsidRDefault="00DE005B" w:rsidP="00F8714A">
      <w:pPr>
        <w:tabs>
          <w:tab w:val="left" w:pos="426"/>
          <w:tab w:val="left" w:pos="1276"/>
        </w:tabs>
        <w:spacing w:after="0" w:line="276" w:lineRule="auto"/>
        <w:ind w:left="5664"/>
        <w:rPr>
          <w:rFonts w:ascii="Calibri" w:eastAsia="Times New Roman" w:hAnsi="Calibri" w:cs="Calibri"/>
          <w:b/>
          <w:sz w:val="24"/>
          <w:szCs w:val="24"/>
          <w:lang w:eastAsia="pl-PL"/>
        </w:rPr>
      </w:pPr>
      <w:r w:rsidRPr="00F8714A">
        <w:rPr>
          <w:rFonts w:ascii="Calibri" w:eastAsia="Times New Roman" w:hAnsi="Calibri" w:cs="Calibri"/>
          <w:b/>
          <w:sz w:val="24"/>
          <w:szCs w:val="24"/>
          <w:lang w:eastAsia="pl-PL"/>
        </w:rPr>
        <w:t xml:space="preserve">Rada Miejska </w:t>
      </w:r>
    </w:p>
    <w:p w:rsidR="00BD4B7C" w:rsidRPr="00F8714A" w:rsidRDefault="00DE005B" w:rsidP="00F8714A">
      <w:pPr>
        <w:tabs>
          <w:tab w:val="left" w:pos="426"/>
          <w:tab w:val="left" w:pos="1276"/>
        </w:tabs>
        <w:spacing w:after="0" w:line="276" w:lineRule="auto"/>
        <w:ind w:left="5664"/>
        <w:rPr>
          <w:rFonts w:ascii="Calibri" w:eastAsia="Times New Roman" w:hAnsi="Calibri" w:cs="Calibri"/>
          <w:b/>
          <w:sz w:val="24"/>
          <w:szCs w:val="24"/>
          <w:lang w:eastAsia="pl-PL"/>
        </w:rPr>
      </w:pPr>
      <w:r w:rsidRPr="00F8714A">
        <w:rPr>
          <w:rFonts w:ascii="Calibri" w:eastAsia="Times New Roman" w:hAnsi="Calibri" w:cs="Calibri"/>
          <w:b/>
          <w:sz w:val="24"/>
          <w:szCs w:val="24"/>
          <w:lang w:eastAsia="pl-PL"/>
        </w:rPr>
        <w:t>w Radzyminie</w:t>
      </w:r>
    </w:p>
    <w:p w:rsidR="00BD4B7C" w:rsidRPr="00F8714A" w:rsidRDefault="00DE005B" w:rsidP="00F8714A">
      <w:pPr>
        <w:tabs>
          <w:tab w:val="left" w:pos="426"/>
          <w:tab w:val="left" w:pos="1276"/>
        </w:tabs>
        <w:spacing w:after="0" w:line="276" w:lineRule="auto"/>
        <w:ind w:left="5664"/>
        <w:rPr>
          <w:rFonts w:ascii="Calibri" w:eastAsia="Times New Roman" w:hAnsi="Calibri" w:cs="Calibri"/>
          <w:b/>
          <w:sz w:val="24"/>
          <w:szCs w:val="24"/>
          <w:lang w:eastAsia="pl-PL"/>
        </w:rPr>
      </w:pPr>
      <w:r w:rsidRPr="00F8714A">
        <w:rPr>
          <w:rFonts w:ascii="Calibri" w:eastAsia="Times New Roman" w:hAnsi="Calibri" w:cs="Calibri"/>
          <w:b/>
          <w:sz w:val="24"/>
          <w:szCs w:val="24"/>
          <w:lang w:eastAsia="pl-PL"/>
        </w:rPr>
        <w:t>pl. T. Kościuszki 2</w:t>
      </w:r>
    </w:p>
    <w:p w:rsidR="00BD4B7C" w:rsidRPr="00F8714A" w:rsidRDefault="00DE005B" w:rsidP="00F8714A">
      <w:pPr>
        <w:tabs>
          <w:tab w:val="left" w:pos="426"/>
          <w:tab w:val="left" w:pos="1276"/>
        </w:tabs>
        <w:spacing w:after="0" w:line="276" w:lineRule="auto"/>
        <w:ind w:left="5664"/>
        <w:rPr>
          <w:rFonts w:ascii="Calibri" w:eastAsia="Times New Roman" w:hAnsi="Calibri" w:cs="Calibri"/>
          <w:b/>
          <w:sz w:val="24"/>
          <w:szCs w:val="24"/>
          <w:lang w:eastAsia="pl-PL"/>
        </w:rPr>
      </w:pPr>
      <w:r w:rsidRPr="00F8714A">
        <w:rPr>
          <w:rFonts w:ascii="Calibri" w:eastAsia="Times New Roman" w:hAnsi="Calibri" w:cs="Calibri"/>
          <w:b/>
          <w:sz w:val="24"/>
          <w:szCs w:val="24"/>
          <w:lang w:eastAsia="pl-PL"/>
        </w:rPr>
        <w:t>05-250 Radzymin</w:t>
      </w:r>
    </w:p>
    <w:p w:rsidR="00BD4B7C" w:rsidRPr="00677AFE" w:rsidRDefault="00967660" w:rsidP="00BD4B7C">
      <w:pPr>
        <w:spacing w:after="0" w:line="240" w:lineRule="auto"/>
        <w:rPr>
          <w:rFonts w:eastAsia="Times New Roman" w:cstheme="minorHAnsi"/>
          <w:sz w:val="24"/>
          <w:szCs w:val="24"/>
          <w:lang w:eastAsia="ar-SA"/>
        </w:rPr>
      </w:pPr>
    </w:p>
    <w:p w:rsidR="00CB5160" w:rsidRDefault="00967660" w:rsidP="00BD4B7C">
      <w:pPr>
        <w:spacing w:after="0" w:line="360" w:lineRule="auto"/>
        <w:jc w:val="center"/>
        <w:rPr>
          <w:rFonts w:eastAsia="Times New Roman" w:cstheme="minorHAnsi"/>
          <w:b/>
          <w:bCs/>
          <w:sz w:val="24"/>
          <w:szCs w:val="24"/>
          <w:lang w:eastAsia="pl-PL"/>
        </w:rPr>
      </w:pPr>
    </w:p>
    <w:p w:rsidR="00BD4B7C" w:rsidRPr="00677AFE" w:rsidRDefault="00DE005B" w:rsidP="00BD4B7C">
      <w:pPr>
        <w:spacing w:after="0" w:line="360" w:lineRule="auto"/>
        <w:jc w:val="center"/>
        <w:rPr>
          <w:rFonts w:eastAsia="Times New Roman" w:cstheme="minorHAnsi"/>
          <w:b/>
          <w:bCs/>
          <w:sz w:val="24"/>
          <w:szCs w:val="24"/>
          <w:lang w:eastAsia="pl-PL"/>
        </w:rPr>
      </w:pPr>
      <w:r w:rsidRPr="00677AFE">
        <w:rPr>
          <w:rFonts w:eastAsia="Times New Roman" w:cstheme="minorHAnsi"/>
          <w:b/>
          <w:bCs/>
          <w:sz w:val="24"/>
          <w:szCs w:val="24"/>
          <w:lang w:eastAsia="pl-PL"/>
        </w:rPr>
        <w:t>Rozstrzygnięcie  nadzorcze</w:t>
      </w:r>
    </w:p>
    <w:p w:rsidR="00BD4B7C" w:rsidRPr="00677AFE" w:rsidRDefault="00DE005B" w:rsidP="00BD4B7C">
      <w:pPr>
        <w:suppressAutoHyphens/>
        <w:spacing w:after="0" w:line="360" w:lineRule="auto"/>
        <w:ind w:right="-1" w:firstLine="708"/>
        <w:jc w:val="both"/>
        <w:rPr>
          <w:rFonts w:eastAsia="Times New Roman" w:cstheme="minorHAnsi"/>
          <w:sz w:val="24"/>
          <w:szCs w:val="24"/>
          <w:lang w:eastAsia="ar-SA"/>
        </w:rPr>
      </w:pPr>
      <w:r w:rsidRPr="00677AFE">
        <w:rPr>
          <w:rFonts w:eastAsia="Times New Roman" w:cstheme="minorHAnsi"/>
          <w:sz w:val="24"/>
          <w:szCs w:val="24"/>
          <w:lang w:eastAsia="ar-SA"/>
        </w:rPr>
        <w:t>Na podstawie art. 91 ust. 1 ustawy z dnia 8 marca 1990 r. o samorządzie gminnym</w:t>
      </w:r>
      <w:r>
        <w:rPr>
          <w:rFonts w:eastAsia="Times New Roman" w:cstheme="minorHAnsi"/>
          <w:sz w:val="24"/>
          <w:szCs w:val="24"/>
          <w:lang w:eastAsia="ar-SA"/>
        </w:rPr>
        <w:t xml:space="preserve"> </w:t>
      </w:r>
      <w:r>
        <w:rPr>
          <w:rFonts w:eastAsia="Times New Roman" w:cstheme="minorHAnsi"/>
          <w:sz w:val="24"/>
          <w:szCs w:val="24"/>
          <w:lang w:eastAsia="ar-SA"/>
        </w:rPr>
        <w:br/>
      </w:r>
      <w:r w:rsidRPr="00677AFE">
        <w:rPr>
          <w:rFonts w:eastAsia="Times New Roman" w:cstheme="minorHAnsi"/>
          <w:sz w:val="24"/>
          <w:szCs w:val="24"/>
          <w:lang w:eastAsia="ar-SA"/>
        </w:rPr>
        <w:t xml:space="preserve">(Dz. U. z 2020 r. poz. 713, z </w:t>
      </w:r>
      <w:proofErr w:type="spellStart"/>
      <w:r w:rsidRPr="00677AFE">
        <w:rPr>
          <w:rFonts w:eastAsia="Times New Roman" w:cstheme="minorHAnsi"/>
          <w:sz w:val="24"/>
          <w:szCs w:val="24"/>
          <w:lang w:eastAsia="ar-SA"/>
        </w:rPr>
        <w:t>późn</w:t>
      </w:r>
      <w:proofErr w:type="spellEnd"/>
      <w:r w:rsidRPr="00677AFE">
        <w:rPr>
          <w:rFonts w:eastAsia="Times New Roman" w:cstheme="minorHAnsi"/>
          <w:sz w:val="24"/>
          <w:szCs w:val="24"/>
          <w:lang w:eastAsia="ar-SA"/>
        </w:rPr>
        <w:t>. zm.)</w:t>
      </w:r>
    </w:p>
    <w:p w:rsidR="00BD4B7C" w:rsidRPr="00677AFE" w:rsidRDefault="00DE005B" w:rsidP="00BD4B7C">
      <w:pPr>
        <w:suppressAutoHyphens/>
        <w:spacing w:after="0" w:line="360" w:lineRule="auto"/>
        <w:jc w:val="center"/>
        <w:rPr>
          <w:rFonts w:eastAsia="Times New Roman" w:cstheme="minorHAnsi"/>
          <w:b/>
          <w:bCs/>
          <w:sz w:val="24"/>
          <w:szCs w:val="24"/>
          <w:lang w:eastAsia="ar-SA"/>
        </w:rPr>
      </w:pPr>
      <w:r w:rsidRPr="00677AFE">
        <w:rPr>
          <w:rFonts w:eastAsia="Times New Roman" w:cstheme="minorHAnsi"/>
          <w:b/>
          <w:bCs/>
          <w:sz w:val="24"/>
          <w:szCs w:val="24"/>
          <w:lang w:eastAsia="ar-SA"/>
        </w:rPr>
        <w:t>stwierdzam nieważność</w:t>
      </w:r>
    </w:p>
    <w:p w:rsidR="00BD4B7C" w:rsidRPr="00677AFE" w:rsidRDefault="00DE005B" w:rsidP="00BD4B7C">
      <w:pPr>
        <w:spacing w:after="0" w:line="36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uchwały Nr 390/XXVII/2020 Rady Miejskiej w Radzyminie z dnia 14 grudnia</w:t>
      </w:r>
      <w:r w:rsidRPr="00677AFE">
        <w:rPr>
          <w:rFonts w:ascii="Calibri" w:eastAsia="Times New Roman" w:hAnsi="Calibri" w:cs="Calibri"/>
          <w:sz w:val="24"/>
          <w:szCs w:val="24"/>
          <w:lang w:eastAsia="pl-PL"/>
        </w:rPr>
        <w:t xml:space="preserve"> 2020 r. </w:t>
      </w:r>
      <w:r>
        <w:rPr>
          <w:rFonts w:ascii="Calibri" w:eastAsia="Calibri" w:hAnsi="Calibri" w:cs="Calibri"/>
          <w:i/>
          <w:sz w:val="24"/>
          <w:szCs w:val="24"/>
          <w:lang w:eastAsia="pl-PL"/>
        </w:rPr>
        <w:t xml:space="preserve">zmieniającej uchwałę w sprawie ustalenia diet dla Przewodniczącego Rady Miejskiej </w:t>
      </w:r>
      <w:r>
        <w:rPr>
          <w:rFonts w:ascii="Calibri" w:eastAsia="Calibri" w:hAnsi="Calibri" w:cs="Calibri"/>
          <w:i/>
          <w:sz w:val="24"/>
          <w:szCs w:val="24"/>
          <w:lang w:eastAsia="pl-PL"/>
        </w:rPr>
        <w:br/>
        <w:t>w Radzyminie, jego zastępców, dla radnych oraz dla sołtysów.</w:t>
      </w:r>
    </w:p>
    <w:p w:rsidR="00BD4B7C" w:rsidRPr="00677AFE" w:rsidRDefault="00967660" w:rsidP="00BD4B7C">
      <w:pPr>
        <w:spacing w:after="0" w:line="240" w:lineRule="auto"/>
        <w:jc w:val="center"/>
        <w:rPr>
          <w:rFonts w:eastAsia="Times New Roman" w:cstheme="minorHAnsi"/>
          <w:b/>
          <w:sz w:val="24"/>
          <w:szCs w:val="24"/>
          <w:lang w:eastAsia="pl-PL"/>
        </w:rPr>
      </w:pPr>
    </w:p>
    <w:p w:rsidR="00BD4B7C" w:rsidRPr="00677AFE" w:rsidRDefault="00DE005B" w:rsidP="00BD4B7C">
      <w:pPr>
        <w:spacing w:after="0" w:line="240" w:lineRule="auto"/>
        <w:jc w:val="center"/>
        <w:rPr>
          <w:rFonts w:eastAsia="Times New Roman" w:cstheme="minorHAnsi"/>
          <w:b/>
          <w:sz w:val="24"/>
          <w:szCs w:val="24"/>
          <w:lang w:eastAsia="pl-PL"/>
        </w:rPr>
      </w:pPr>
      <w:r w:rsidRPr="00677AFE">
        <w:rPr>
          <w:rFonts w:eastAsia="Times New Roman" w:cstheme="minorHAnsi"/>
          <w:b/>
          <w:sz w:val="24"/>
          <w:szCs w:val="24"/>
          <w:lang w:eastAsia="pl-PL"/>
        </w:rPr>
        <w:t>UZASADNIENIE</w:t>
      </w:r>
    </w:p>
    <w:p w:rsidR="00996C78" w:rsidRDefault="00DE005B" w:rsidP="00996C78">
      <w:pPr>
        <w:spacing w:after="0" w:line="360" w:lineRule="auto"/>
        <w:ind w:firstLine="708"/>
        <w:jc w:val="both"/>
        <w:rPr>
          <w:rFonts w:ascii="Calibri" w:eastAsia="Calibri" w:hAnsi="Calibri" w:cs="Calibri"/>
          <w:i/>
          <w:sz w:val="24"/>
          <w:szCs w:val="24"/>
          <w:lang w:eastAsia="pl-PL"/>
        </w:rPr>
      </w:pPr>
      <w:r>
        <w:rPr>
          <w:rFonts w:eastAsia="Times New Roman" w:cstheme="minorHAnsi"/>
          <w:sz w:val="24"/>
          <w:szCs w:val="24"/>
          <w:lang w:eastAsia="pl-PL"/>
        </w:rPr>
        <w:t>W dniu 14 grudnia</w:t>
      </w:r>
      <w:r w:rsidRPr="00677AFE">
        <w:rPr>
          <w:rFonts w:eastAsia="Times New Roman" w:cstheme="minorHAnsi"/>
          <w:sz w:val="24"/>
          <w:szCs w:val="24"/>
          <w:lang w:eastAsia="pl-PL"/>
        </w:rPr>
        <w:t xml:space="preserve"> 2020 r. Rada </w:t>
      </w:r>
      <w:r>
        <w:rPr>
          <w:rFonts w:eastAsia="Times New Roman" w:cstheme="minorHAnsi"/>
          <w:sz w:val="24"/>
          <w:szCs w:val="24"/>
          <w:lang w:eastAsia="pl-PL"/>
        </w:rPr>
        <w:t>Miejska w Radzyminie</w:t>
      </w:r>
      <w:r w:rsidRPr="00677AFE">
        <w:rPr>
          <w:rFonts w:eastAsia="Times New Roman" w:cstheme="minorHAnsi"/>
          <w:sz w:val="24"/>
          <w:szCs w:val="24"/>
          <w:lang w:eastAsia="pl-PL"/>
        </w:rPr>
        <w:t xml:space="preserve"> podjęła uchwałę </w:t>
      </w:r>
      <w:r>
        <w:rPr>
          <w:rFonts w:eastAsia="Times New Roman" w:cstheme="minorHAnsi"/>
          <w:sz w:val="24"/>
          <w:szCs w:val="24"/>
          <w:lang w:eastAsia="pl-PL"/>
        </w:rPr>
        <w:br/>
      </w:r>
      <w:r>
        <w:rPr>
          <w:rFonts w:ascii="Calibri" w:eastAsia="Times New Roman" w:hAnsi="Calibri" w:cs="Calibri"/>
          <w:sz w:val="24"/>
          <w:szCs w:val="24"/>
          <w:lang w:eastAsia="pl-PL"/>
        </w:rPr>
        <w:t xml:space="preserve">Nr 390/XXVII/2020 </w:t>
      </w:r>
      <w:r>
        <w:rPr>
          <w:rFonts w:ascii="Calibri" w:eastAsia="Calibri" w:hAnsi="Calibri" w:cs="Calibri"/>
          <w:i/>
          <w:sz w:val="24"/>
          <w:szCs w:val="24"/>
          <w:lang w:eastAsia="pl-PL"/>
        </w:rPr>
        <w:t>zmieniającą uchwałę w sprawie ustalenia diet dla Przewodniczącego Rady Miejskiej w Radzyminie, jego zastępców, dla radnych oraz dla sołtysów.</w:t>
      </w:r>
    </w:p>
    <w:p w:rsidR="00996C78" w:rsidRDefault="00DE005B" w:rsidP="00996C78">
      <w:pPr>
        <w:spacing w:after="0" w:line="360" w:lineRule="auto"/>
        <w:ind w:firstLine="708"/>
        <w:jc w:val="both"/>
        <w:rPr>
          <w:rFonts w:ascii="Calibri" w:eastAsia="Calibri" w:hAnsi="Calibri" w:cs="Calibri"/>
          <w:i/>
          <w:sz w:val="24"/>
          <w:szCs w:val="24"/>
          <w:lang w:eastAsia="pl-PL"/>
        </w:rPr>
      </w:pPr>
      <w:r w:rsidRPr="00BD4B7C">
        <w:rPr>
          <w:rFonts w:ascii="Calibri" w:eastAsia="Calibri" w:hAnsi="Calibri" w:cs="Calibri"/>
          <w:sz w:val="24"/>
          <w:szCs w:val="24"/>
          <w:lang w:eastAsia="pl-PL"/>
        </w:rPr>
        <w:t xml:space="preserve">Uchwała wpłynęła do Mazowieckiego Urzędu Wojewódzkiego, jako organu nadzoru, </w:t>
      </w:r>
      <w:r>
        <w:rPr>
          <w:rFonts w:ascii="Calibri" w:eastAsia="Calibri" w:hAnsi="Calibri" w:cs="Calibri"/>
          <w:sz w:val="24"/>
          <w:szCs w:val="24"/>
          <w:lang w:eastAsia="pl-PL"/>
        </w:rPr>
        <w:br/>
      </w:r>
      <w:r w:rsidRPr="00BD4B7C">
        <w:rPr>
          <w:rFonts w:ascii="Calibri" w:eastAsia="Calibri" w:hAnsi="Calibri" w:cs="Calibri"/>
          <w:sz w:val="24"/>
          <w:szCs w:val="24"/>
          <w:lang w:eastAsia="pl-PL"/>
        </w:rPr>
        <w:t>w dniu 23 grudnia 20</w:t>
      </w:r>
      <w:r>
        <w:rPr>
          <w:rFonts w:ascii="Calibri" w:eastAsia="Calibri" w:hAnsi="Calibri" w:cs="Calibri"/>
          <w:sz w:val="24"/>
          <w:szCs w:val="24"/>
          <w:lang w:eastAsia="pl-PL"/>
        </w:rPr>
        <w:t>20</w:t>
      </w:r>
      <w:r w:rsidRPr="00BD4B7C">
        <w:rPr>
          <w:rFonts w:ascii="Calibri" w:eastAsia="Calibri" w:hAnsi="Calibri" w:cs="Calibri"/>
          <w:sz w:val="24"/>
          <w:szCs w:val="24"/>
          <w:lang w:eastAsia="pl-PL"/>
        </w:rPr>
        <w:t xml:space="preserve"> r. </w:t>
      </w:r>
    </w:p>
    <w:p w:rsidR="00BF628A" w:rsidRPr="00996C78" w:rsidRDefault="00DE005B" w:rsidP="00996C78">
      <w:pPr>
        <w:spacing w:after="0" w:line="360" w:lineRule="auto"/>
        <w:ind w:firstLine="708"/>
        <w:jc w:val="both"/>
        <w:rPr>
          <w:rFonts w:ascii="Calibri" w:eastAsia="Calibri" w:hAnsi="Calibri" w:cs="Calibri"/>
          <w:i/>
          <w:sz w:val="24"/>
          <w:szCs w:val="24"/>
          <w:lang w:eastAsia="pl-PL"/>
        </w:rPr>
      </w:pPr>
      <w:r w:rsidRPr="00677AFE">
        <w:rPr>
          <w:rFonts w:eastAsia="Times New Roman" w:cstheme="minorHAnsi"/>
          <w:sz w:val="24"/>
          <w:szCs w:val="24"/>
          <w:lang w:eastAsia="pl-PL"/>
        </w:rPr>
        <w:t xml:space="preserve">W uchwale wskazano, że podstawę prawną do jej podjęcia stanowi przepis art. </w:t>
      </w:r>
      <w:r>
        <w:rPr>
          <w:rFonts w:eastAsia="Times New Roman" w:cstheme="minorHAnsi"/>
          <w:sz w:val="24"/>
          <w:szCs w:val="24"/>
          <w:lang w:eastAsia="pl-PL"/>
        </w:rPr>
        <w:t xml:space="preserve">25 </w:t>
      </w:r>
      <w:r>
        <w:rPr>
          <w:rFonts w:eastAsia="Times New Roman" w:cstheme="minorHAnsi"/>
          <w:sz w:val="24"/>
          <w:szCs w:val="24"/>
          <w:lang w:eastAsia="pl-PL"/>
        </w:rPr>
        <w:br/>
        <w:t xml:space="preserve">ust. 4, art. 37a oraz art. 37b ust. 1 </w:t>
      </w:r>
      <w:r w:rsidRPr="00677AFE">
        <w:rPr>
          <w:rFonts w:eastAsia="Times New Roman" w:cstheme="minorHAnsi"/>
          <w:sz w:val="24"/>
          <w:szCs w:val="24"/>
          <w:lang w:eastAsia="pl-PL"/>
        </w:rPr>
        <w:t>ustawy o samorządzie gminnym</w:t>
      </w:r>
      <w:r>
        <w:rPr>
          <w:rFonts w:eastAsia="Times New Roman" w:cstheme="minorHAnsi"/>
          <w:sz w:val="24"/>
          <w:szCs w:val="24"/>
          <w:lang w:eastAsia="pl-PL"/>
        </w:rPr>
        <w:t>, zwanej dalej ,,</w:t>
      </w:r>
      <w:proofErr w:type="spellStart"/>
      <w:r>
        <w:rPr>
          <w:rFonts w:eastAsia="Times New Roman" w:cstheme="minorHAnsi"/>
          <w:sz w:val="24"/>
          <w:szCs w:val="24"/>
          <w:lang w:eastAsia="pl-PL"/>
        </w:rPr>
        <w:t>u.s.g</w:t>
      </w:r>
      <w:proofErr w:type="spellEnd"/>
      <w:r>
        <w:rPr>
          <w:rFonts w:eastAsia="Times New Roman" w:cstheme="minorHAnsi"/>
          <w:sz w:val="24"/>
          <w:szCs w:val="24"/>
          <w:lang w:eastAsia="pl-PL"/>
        </w:rPr>
        <w:t>.”</w:t>
      </w:r>
    </w:p>
    <w:p w:rsidR="00BF628A" w:rsidRPr="00BF628A" w:rsidRDefault="00DE005B" w:rsidP="00BD4B7C">
      <w:pPr>
        <w:tabs>
          <w:tab w:val="left" w:pos="708"/>
          <w:tab w:val="left" w:pos="1416"/>
          <w:tab w:val="left" w:pos="2124"/>
          <w:tab w:val="left" w:pos="2832"/>
          <w:tab w:val="left" w:pos="3540"/>
          <w:tab w:val="left" w:pos="4248"/>
          <w:tab w:val="left" w:pos="4956"/>
          <w:tab w:val="left" w:pos="5400"/>
        </w:tabs>
        <w:spacing w:after="0" w:line="360" w:lineRule="auto"/>
        <w:jc w:val="both"/>
        <w:rPr>
          <w:sz w:val="24"/>
          <w:szCs w:val="24"/>
        </w:rPr>
      </w:pPr>
      <w:r>
        <w:rPr>
          <w:sz w:val="24"/>
          <w:szCs w:val="24"/>
        </w:rPr>
        <w:tab/>
      </w:r>
      <w:r w:rsidRPr="00BF628A">
        <w:rPr>
          <w:sz w:val="24"/>
          <w:szCs w:val="24"/>
        </w:rPr>
        <w:t>W kwestionowanej uchwa</w:t>
      </w:r>
      <w:r>
        <w:rPr>
          <w:sz w:val="24"/>
          <w:szCs w:val="24"/>
        </w:rPr>
        <w:t>le</w:t>
      </w:r>
      <w:r w:rsidRPr="00BF628A">
        <w:rPr>
          <w:sz w:val="24"/>
          <w:szCs w:val="24"/>
        </w:rPr>
        <w:t xml:space="preserve"> Rada Miejskie w Radzyminie postanowiła:</w:t>
      </w:r>
    </w:p>
    <w:p w:rsidR="00996C78" w:rsidRPr="00C47737" w:rsidRDefault="00DE005B" w:rsidP="001A33EA">
      <w:pPr>
        <w:tabs>
          <w:tab w:val="left" w:pos="708"/>
          <w:tab w:val="left" w:pos="1416"/>
          <w:tab w:val="left" w:pos="2124"/>
          <w:tab w:val="left" w:pos="2832"/>
          <w:tab w:val="left" w:pos="3540"/>
          <w:tab w:val="left" w:pos="4248"/>
          <w:tab w:val="left" w:pos="4956"/>
          <w:tab w:val="left" w:pos="5400"/>
        </w:tabs>
        <w:spacing w:after="0" w:line="360" w:lineRule="auto"/>
        <w:jc w:val="both"/>
        <w:rPr>
          <w:i/>
          <w:sz w:val="24"/>
          <w:szCs w:val="24"/>
        </w:rPr>
      </w:pPr>
      <w:r w:rsidRPr="00C47737">
        <w:rPr>
          <w:i/>
          <w:sz w:val="24"/>
          <w:szCs w:val="24"/>
        </w:rPr>
        <w:t xml:space="preserve">,,1. W uchwale Nr 63/VI/2015 Rady Miejskiej w Radzyminie z dnia 27 marca 2015 roku </w:t>
      </w:r>
      <w:r w:rsidRPr="00C47737">
        <w:rPr>
          <w:i/>
          <w:sz w:val="24"/>
          <w:szCs w:val="24"/>
        </w:rPr>
        <w:br/>
        <w:t xml:space="preserve">w sprawie ustalenia diet dla Przewodniczącego Rady Miejskiej w Radzyminie, jego zastępców, </w:t>
      </w:r>
      <w:r w:rsidRPr="00C47737">
        <w:rPr>
          <w:i/>
          <w:sz w:val="24"/>
          <w:szCs w:val="24"/>
        </w:rPr>
        <w:br/>
        <w:t xml:space="preserve">dla radnych oraz dla sołtysów w § 2 ust. 1 otrzymuje brzmienie: </w:t>
      </w:r>
    </w:p>
    <w:p w:rsidR="00996C78" w:rsidRPr="00C47737" w:rsidRDefault="00DE005B" w:rsidP="001A33EA">
      <w:pPr>
        <w:tabs>
          <w:tab w:val="left" w:pos="708"/>
          <w:tab w:val="left" w:pos="1416"/>
          <w:tab w:val="left" w:pos="2124"/>
          <w:tab w:val="left" w:pos="2832"/>
          <w:tab w:val="left" w:pos="3540"/>
          <w:tab w:val="left" w:pos="4248"/>
          <w:tab w:val="left" w:pos="4956"/>
          <w:tab w:val="left" w:pos="5400"/>
        </w:tabs>
        <w:spacing w:after="0" w:line="360" w:lineRule="auto"/>
        <w:jc w:val="both"/>
        <w:rPr>
          <w:i/>
          <w:sz w:val="24"/>
          <w:szCs w:val="24"/>
        </w:rPr>
      </w:pPr>
      <w:r w:rsidRPr="00C47737">
        <w:rPr>
          <w:i/>
          <w:sz w:val="24"/>
          <w:szCs w:val="24"/>
        </w:rPr>
        <w:t xml:space="preserve">,,1. Podstawą do wypłaty diety, o której mowa w § 1 ust. 1 jest udział w sesjach rady </w:t>
      </w:r>
      <w:r w:rsidRPr="00C47737">
        <w:rPr>
          <w:i/>
          <w:sz w:val="24"/>
          <w:szCs w:val="24"/>
        </w:rPr>
        <w:br/>
        <w:t xml:space="preserve">i posiedzeniach komisji, potwierdzony złożeniem podpisu na liście obecności. Jeżeli sesja </w:t>
      </w:r>
      <w:r w:rsidRPr="00C47737">
        <w:rPr>
          <w:i/>
          <w:sz w:val="24"/>
          <w:szCs w:val="24"/>
        </w:rPr>
        <w:br/>
        <w:t xml:space="preserve">lub posiedzenie komisji odbywa się w trybie zdalnym, udział radnego w posiedzeniu potwierdza </w:t>
      </w:r>
      <w:r w:rsidRPr="00C47737">
        <w:rPr>
          <w:i/>
          <w:sz w:val="24"/>
          <w:szCs w:val="24"/>
        </w:rPr>
        <w:lastRenderedPageBreak/>
        <w:t xml:space="preserve">na liście obecności, w przypadku sesji - Przewodniczący Rady, w przypadku komisji – Przewodniczący Komisji, w przypadku jego nieobecności Wiceprzewodniczący Komisji.” </w:t>
      </w:r>
    </w:p>
    <w:p w:rsidR="00996C78" w:rsidRPr="00C47737" w:rsidRDefault="00DE005B" w:rsidP="001A33EA">
      <w:pPr>
        <w:tabs>
          <w:tab w:val="left" w:pos="708"/>
          <w:tab w:val="left" w:pos="1416"/>
          <w:tab w:val="left" w:pos="2124"/>
          <w:tab w:val="left" w:pos="2832"/>
          <w:tab w:val="left" w:pos="3540"/>
          <w:tab w:val="left" w:pos="4248"/>
          <w:tab w:val="left" w:pos="4956"/>
          <w:tab w:val="left" w:pos="5400"/>
        </w:tabs>
        <w:spacing w:after="0" w:line="360" w:lineRule="auto"/>
        <w:jc w:val="both"/>
        <w:rPr>
          <w:i/>
          <w:sz w:val="24"/>
          <w:szCs w:val="24"/>
        </w:rPr>
      </w:pPr>
      <w:r w:rsidRPr="00C47737">
        <w:rPr>
          <w:i/>
          <w:sz w:val="24"/>
          <w:szCs w:val="24"/>
        </w:rPr>
        <w:t xml:space="preserve">§ 2. Wykonanie uchwały powierza się Burmistrzowi Radzymina. </w:t>
      </w:r>
    </w:p>
    <w:p w:rsidR="00BF628A" w:rsidRPr="00BF628A" w:rsidRDefault="00DE005B" w:rsidP="001A33EA">
      <w:pPr>
        <w:tabs>
          <w:tab w:val="left" w:pos="708"/>
          <w:tab w:val="left" w:pos="1416"/>
          <w:tab w:val="left" w:pos="2124"/>
          <w:tab w:val="left" w:pos="2832"/>
          <w:tab w:val="left" w:pos="3540"/>
          <w:tab w:val="left" w:pos="4248"/>
          <w:tab w:val="left" w:pos="4956"/>
          <w:tab w:val="left" w:pos="5400"/>
        </w:tabs>
        <w:spacing w:after="0" w:line="360" w:lineRule="auto"/>
        <w:jc w:val="both"/>
        <w:rPr>
          <w:rFonts w:eastAsia="Times New Roman" w:cstheme="minorHAnsi"/>
          <w:sz w:val="24"/>
          <w:szCs w:val="24"/>
          <w:lang w:eastAsia="pl-PL"/>
        </w:rPr>
      </w:pPr>
      <w:r w:rsidRPr="00C47737">
        <w:rPr>
          <w:i/>
          <w:sz w:val="24"/>
          <w:szCs w:val="24"/>
        </w:rPr>
        <w:t>§ 3. Uchwała wchodzi w życie z dniem podjęcia”.</w:t>
      </w:r>
    </w:p>
    <w:p w:rsidR="001A33EA" w:rsidRDefault="00DE005B" w:rsidP="001A33EA">
      <w:pPr>
        <w:pStyle w:val="NormalnyWeb"/>
        <w:shd w:val="clear" w:color="auto" w:fill="FFFFFF"/>
        <w:spacing w:before="0" w:beforeAutospacing="0" w:after="0" w:afterAutospacing="0" w:line="360" w:lineRule="auto"/>
        <w:jc w:val="both"/>
        <w:rPr>
          <w:rFonts w:asciiTheme="minorHAnsi" w:eastAsia="Times New Roman" w:hAnsiTheme="minorHAnsi" w:cstheme="minorHAnsi"/>
        </w:rPr>
      </w:pPr>
      <w:r>
        <w:rPr>
          <w:rFonts w:eastAsia="Times New Roman" w:cstheme="minorHAnsi"/>
        </w:rPr>
        <w:tab/>
      </w:r>
      <w:r w:rsidRPr="001B645F">
        <w:rPr>
          <w:rFonts w:asciiTheme="minorHAnsi" w:hAnsiTheme="minorHAnsi" w:cstheme="minorHAnsi"/>
          <w:shd w:val="clear" w:color="auto" w:fill="FFFFFF"/>
        </w:rPr>
        <w:t xml:space="preserve">Art. 25 ust. 4 </w:t>
      </w:r>
      <w:proofErr w:type="spellStart"/>
      <w:r w:rsidRPr="001B645F">
        <w:rPr>
          <w:rFonts w:asciiTheme="minorHAnsi" w:hAnsiTheme="minorHAnsi" w:cstheme="minorHAnsi"/>
          <w:shd w:val="clear" w:color="auto" w:fill="FFFFFF"/>
        </w:rPr>
        <w:t>u.s.g</w:t>
      </w:r>
      <w:proofErr w:type="spellEnd"/>
      <w:r w:rsidRPr="001B645F">
        <w:rPr>
          <w:rFonts w:asciiTheme="minorHAnsi" w:hAnsiTheme="minorHAnsi" w:cstheme="minorHAnsi"/>
          <w:shd w:val="clear" w:color="auto" w:fill="FFFFFF"/>
        </w:rPr>
        <w:t xml:space="preserve">. legitymizuje radę gminy do ustalenia zasad, na jakich radnemu będzie przysługiwała dieta. </w:t>
      </w:r>
      <w:r w:rsidRPr="001B645F">
        <w:rPr>
          <w:rFonts w:asciiTheme="minorHAnsi" w:eastAsia="Times New Roman" w:hAnsiTheme="minorHAnsi" w:cstheme="minorHAnsi"/>
        </w:rPr>
        <w:t>Zasady przyznawania radnym diet oraz zwrot kosztów podróży służbowych ustala rada gminy w granicach określonych przepisami </w:t>
      </w:r>
      <w:hyperlink r:id="rId5" w:anchor="/document/16793509?unitId=art(25)ust(6)&amp;cm=DOCUMENT" w:history="1">
        <w:r w:rsidRPr="001B645F">
          <w:rPr>
            <w:rFonts w:asciiTheme="minorHAnsi" w:eastAsia="Times New Roman" w:hAnsiTheme="minorHAnsi" w:cstheme="minorHAnsi"/>
          </w:rPr>
          <w:t>art. 25 ust. 6</w:t>
        </w:r>
      </w:hyperlink>
      <w:r w:rsidRPr="001B645F">
        <w:rPr>
          <w:rFonts w:asciiTheme="minorHAnsi" w:eastAsia="Times New Roman" w:hAnsiTheme="minorHAnsi" w:cstheme="minorHAnsi"/>
        </w:rPr>
        <w:t> i </w:t>
      </w:r>
      <w:hyperlink r:id="rId6" w:anchor="/document/16793509?unitId=art(25)ust(8)&amp;cm=DOCUMENT" w:history="1">
        <w:r w:rsidRPr="001B645F">
          <w:rPr>
            <w:rFonts w:asciiTheme="minorHAnsi" w:eastAsia="Times New Roman" w:hAnsiTheme="minorHAnsi" w:cstheme="minorHAnsi"/>
          </w:rPr>
          <w:t>8</w:t>
        </w:r>
      </w:hyperlink>
      <w:r w:rsidRPr="001B645F">
        <w:rPr>
          <w:rFonts w:asciiTheme="minorHAnsi" w:eastAsia="Times New Roman" w:hAnsiTheme="minorHAnsi" w:cstheme="minorHAnsi"/>
        </w:rPr>
        <w:t> </w:t>
      </w:r>
      <w:proofErr w:type="spellStart"/>
      <w:r w:rsidRPr="001B645F">
        <w:rPr>
          <w:rFonts w:asciiTheme="minorHAnsi" w:eastAsia="Times New Roman" w:hAnsiTheme="minorHAnsi" w:cstheme="minorHAnsi"/>
        </w:rPr>
        <w:t>u.s.g</w:t>
      </w:r>
      <w:proofErr w:type="spellEnd"/>
      <w:r w:rsidRPr="001B645F">
        <w:rPr>
          <w:rFonts w:asciiTheme="minorHAnsi" w:eastAsia="Times New Roman" w:hAnsiTheme="minorHAnsi" w:cstheme="minorHAnsi"/>
        </w:rPr>
        <w:t xml:space="preserve">. </w:t>
      </w:r>
      <w:r w:rsidRPr="001B645F">
        <w:rPr>
          <w:rFonts w:asciiTheme="minorHAnsi" w:eastAsia="Times New Roman" w:hAnsiTheme="minorHAnsi" w:cstheme="minorHAnsi"/>
        </w:rPr>
        <w:br/>
        <w:t>oraz przepisami wykonawczymi, tj. </w:t>
      </w:r>
      <w:hyperlink r:id="rId7" w:anchor="/document/16881986?cm=DOCUMENT" w:history="1">
        <w:r w:rsidRPr="001B645F">
          <w:rPr>
            <w:rFonts w:asciiTheme="minorHAnsi" w:eastAsia="Times New Roman" w:hAnsiTheme="minorHAnsi" w:cstheme="minorHAnsi"/>
          </w:rPr>
          <w:t>rozporządzenia</w:t>
        </w:r>
      </w:hyperlink>
      <w:r w:rsidRPr="001B645F">
        <w:rPr>
          <w:rFonts w:asciiTheme="minorHAnsi" w:eastAsia="Times New Roman" w:hAnsiTheme="minorHAnsi" w:cstheme="minorHAnsi"/>
        </w:rPr>
        <w:t xml:space="preserve"> Rady Ministrów z dnia 26 lipca 2000 r. </w:t>
      </w:r>
      <w:r w:rsidRPr="001B645F">
        <w:rPr>
          <w:rFonts w:asciiTheme="minorHAnsi" w:eastAsia="Times New Roman" w:hAnsiTheme="minorHAnsi" w:cstheme="minorHAnsi"/>
        </w:rPr>
        <w:br/>
        <w:t xml:space="preserve">w sprawie maksymalnej wysokości diet przysługujących radnemu gminy (Dz. U. z 2000 r. </w:t>
      </w:r>
      <w:r w:rsidRPr="001B645F">
        <w:rPr>
          <w:rFonts w:asciiTheme="minorHAnsi" w:eastAsia="Times New Roman" w:hAnsiTheme="minorHAnsi" w:cstheme="minorHAnsi"/>
        </w:rPr>
        <w:br/>
        <w:t>Nr 61, poz. 710) oraz </w:t>
      </w:r>
      <w:hyperlink r:id="rId8" w:anchor="/document/16882683?cm=DOCUMENT" w:history="1">
        <w:r w:rsidRPr="001B645F">
          <w:rPr>
            <w:rFonts w:asciiTheme="minorHAnsi" w:eastAsia="Times New Roman" w:hAnsiTheme="minorHAnsi" w:cstheme="minorHAnsi"/>
          </w:rPr>
          <w:t>rozporządzenia</w:t>
        </w:r>
      </w:hyperlink>
      <w:r w:rsidRPr="001B645F">
        <w:rPr>
          <w:rFonts w:asciiTheme="minorHAnsi" w:eastAsia="Times New Roman" w:hAnsiTheme="minorHAnsi" w:cstheme="minorHAnsi"/>
        </w:rPr>
        <w:t xml:space="preserve"> Ministra Spraw Wewnętrznych i Administracji z dnia </w:t>
      </w:r>
      <w:r w:rsidRPr="001B645F">
        <w:rPr>
          <w:rFonts w:asciiTheme="minorHAnsi" w:eastAsia="Times New Roman" w:hAnsiTheme="minorHAnsi" w:cstheme="minorHAnsi"/>
        </w:rPr>
        <w:br/>
        <w:t xml:space="preserve">31 lipca 2000 r. w sprawie sposobu ustalania należności z tytułu zwrotu kosztów podróży służbowych radnych gminy (Dz. U. z 2000 r. Nr 66, poz. 800). </w:t>
      </w:r>
      <w:r w:rsidRPr="00EB452A">
        <w:rPr>
          <w:rFonts w:asciiTheme="minorHAnsi" w:eastAsia="Times New Roman" w:hAnsiTheme="minorHAnsi" w:cstheme="minorHAnsi"/>
        </w:rPr>
        <w:t>W świetle </w:t>
      </w:r>
      <w:r w:rsidRPr="001B645F">
        <w:rPr>
          <w:rFonts w:asciiTheme="minorHAnsi" w:eastAsia="Times New Roman" w:hAnsiTheme="minorHAnsi" w:cstheme="minorHAnsi"/>
        </w:rPr>
        <w:t xml:space="preserve">zaś </w:t>
      </w:r>
      <w:hyperlink r:id="rId9" w:anchor="/document/16793509?unitId=art(25)ust(8)&amp;cm=DOCUMENT" w:history="1">
        <w:r w:rsidRPr="00EB452A">
          <w:rPr>
            <w:rFonts w:asciiTheme="minorHAnsi" w:eastAsia="Times New Roman" w:hAnsiTheme="minorHAnsi" w:cstheme="minorHAnsi"/>
          </w:rPr>
          <w:t>art. 25 ust. 8</w:t>
        </w:r>
      </w:hyperlink>
      <w:r w:rsidRPr="00EB452A">
        <w:rPr>
          <w:rFonts w:asciiTheme="minorHAnsi" w:eastAsia="Times New Roman" w:hAnsiTheme="minorHAnsi" w:cstheme="minorHAnsi"/>
        </w:rPr>
        <w:t> </w:t>
      </w:r>
      <w:proofErr w:type="spellStart"/>
      <w:r w:rsidRPr="00EB452A">
        <w:rPr>
          <w:rFonts w:asciiTheme="minorHAnsi" w:eastAsia="Times New Roman" w:hAnsiTheme="minorHAnsi" w:cstheme="minorHAnsi"/>
        </w:rPr>
        <w:t>u.s.g</w:t>
      </w:r>
      <w:proofErr w:type="spellEnd"/>
      <w:r w:rsidRPr="00EB452A">
        <w:rPr>
          <w:rFonts w:asciiTheme="minorHAnsi" w:eastAsia="Times New Roman" w:hAnsiTheme="minorHAnsi" w:cstheme="minorHAnsi"/>
        </w:rPr>
        <w:t>. rada gminy przy ustalaniu wysokości diet radnych bierze pod uwagę funkcje pełnione przez radnego.</w:t>
      </w:r>
      <w:r w:rsidRPr="001B645F">
        <w:rPr>
          <w:rFonts w:asciiTheme="minorHAnsi" w:eastAsia="Times New Roman" w:hAnsiTheme="minorHAnsi" w:cstheme="minorHAnsi"/>
        </w:rPr>
        <w:t xml:space="preserve"> </w:t>
      </w:r>
    </w:p>
    <w:p w:rsidR="00EB452A" w:rsidRPr="001B645F" w:rsidRDefault="00DE005B" w:rsidP="001A33EA">
      <w:pPr>
        <w:pStyle w:val="NormalnyWeb"/>
        <w:shd w:val="clear" w:color="auto" w:fill="FFFFFF"/>
        <w:spacing w:before="0" w:beforeAutospacing="0" w:after="0" w:afterAutospacing="0" w:line="360" w:lineRule="auto"/>
        <w:ind w:firstLine="708"/>
        <w:jc w:val="both"/>
        <w:rPr>
          <w:rFonts w:asciiTheme="minorHAnsi" w:eastAsia="Times New Roman" w:hAnsiTheme="minorHAnsi" w:cstheme="minorHAnsi"/>
        </w:rPr>
      </w:pPr>
      <w:r w:rsidRPr="001B645F">
        <w:rPr>
          <w:rFonts w:asciiTheme="minorHAnsi" w:hAnsiTheme="minorHAnsi" w:cstheme="minorHAnsi"/>
          <w:shd w:val="clear" w:color="auto" w:fill="FFFFFF"/>
        </w:rPr>
        <w:t xml:space="preserve">Z kolei zgodnie z art. 37b ust. 1 </w:t>
      </w:r>
      <w:proofErr w:type="spellStart"/>
      <w:r w:rsidRPr="001B645F">
        <w:rPr>
          <w:rFonts w:asciiTheme="minorHAnsi" w:hAnsiTheme="minorHAnsi" w:cstheme="minorHAnsi"/>
          <w:shd w:val="clear" w:color="auto" w:fill="FFFFFF"/>
        </w:rPr>
        <w:t>u.s.</w:t>
      </w:r>
      <w:proofErr w:type="spellEnd"/>
      <w:r w:rsidRPr="001B645F">
        <w:rPr>
          <w:rFonts w:asciiTheme="minorHAnsi" w:hAnsiTheme="minorHAnsi" w:cstheme="minorHAnsi"/>
          <w:shd w:val="clear" w:color="auto" w:fill="FFFFFF"/>
        </w:rPr>
        <w:t xml:space="preserve"> g. </w:t>
      </w:r>
      <w:r w:rsidRPr="001B645F">
        <w:rPr>
          <w:rFonts w:asciiTheme="minorHAnsi" w:eastAsia="Times New Roman" w:hAnsiTheme="minorHAnsi" w:cstheme="minorHAnsi"/>
        </w:rPr>
        <w:t xml:space="preserve">rada gminy może ustanowić zasady, na jakich przewodniczącemu organu wykonawczego jednostki pomocniczej będzie przysługiwała dieta oraz zwrot kosztów podróży służbowej. </w:t>
      </w:r>
    </w:p>
    <w:p w:rsidR="001A33EA" w:rsidRDefault="00DE005B" w:rsidP="001A33EA">
      <w:pPr>
        <w:shd w:val="clear" w:color="auto" w:fill="FFFFFF"/>
        <w:spacing w:after="0" w:line="360" w:lineRule="auto"/>
        <w:ind w:firstLine="708"/>
        <w:jc w:val="both"/>
        <w:rPr>
          <w:sz w:val="24"/>
          <w:szCs w:val="24"/>
        </w:rPr>
      </w:pPr>
      <w:r>
        <w:rPr>
          <w:rFonts w:ascii="Calibri" w:eastAsia="Calibri" w:hAnsi="Calibri" w:cs="Calibri"/>
          <w:sz w:val="24"/>
          <w:szCs w:val="24"/>
          <w:lang w:eastAsia="pl-PL"/>
        </w:rPr>
        <w:t>W</w:t>
      </w:r>
      <w:r w:rsidRPr="00BD4B7C">
        <w:rPr>
          <w:rFonts w:ascii="Calibri" w:eastAsia="Calibri" w:hAnsi="Calibri" w:cs="Calibri"/>
          <w:sz w:val="24"/>
          <w:szCs w:val="24"/>
          <w:lang w:eastAsia="pl-PL"/>
        </w:rPr>
        <w:t xml:space="preserve"> § </w:t>
      </w:r>
      <w:r>
        <w:rPr>
          <w:rFonts w:ascii="Calibri" w:eastAsia="Calibri" w:hAnsi="Calibri" w:cs="Calibri"/>
          <w:sz w:val="24"/>
          <w:szCs w:val="24"/>
          <w:lang w:eastAsia="pl-PL"/>
        </w:rPr>
        <w:t>3</w:t>
      </w:r>
      <w:r w:rsidRPr="00BD4B7C">
        <w:rPr>
          <w:rFonts w:ascii="Calibri" w:eastAsia="Calibri" w:hAnsi="Calibri" w:cs="Calibri"/>
          <w:sz w:val="24"/>
          <w:szCs w:val="24"/>
          <w:lang w:eastAsia="pl-PL"/>
        </w:rPr>
        <w:t xml:space="preserve"> kwestionowanej uchwały Rada Miejska </w:t>
      </w:r>
      <w:r>
        <w:rPr>
          <w:rFonts w:ascii="Calibri" w:eastAsia="Calibri" w:hAnsi="Calibri" w:cs="Calibri"/>
          <w:sz w:val="24"/>
          <w:szCs w:val="24"/>
          <w:lang w:eastAsia="pl-PL"/>
        </w:rPr>
        <w:t xml:space="preserve">w Radzyminie </w:t>
      </w:r>
      <w:r w:rsidRPr="00BD4B7C">
        <w:rPr>
          <w:rFonts w:ascii="Calibri" w:eastAsia="Calibri" w:hAnsi="Calibri" w:cs="Calibri"/>
          <w:sz w:val="24"/>
          <w:szCs w:val="24"/>
          <w:lang w:eastAsia="pl-PL"/>
        </w:rPr>
        <w:t xml:space="preserve">postanowiła, że </w:t>
      </w:r>
      <w:r w:rsidRPr="001A33EA">
        <w:rPr>
          <w:rFonts w:ascii="Calibri" w:eastAsia="Calibri" w:hAnsi="Calibri" w:cs="Calibri"/>
          <w:i/>
          <w:sz w:val="24"/>
          <w:szCs w:val="24"/>
          <w:lang w:eastAsia="pl-PL"/>
        </w:rPr>
        <w:t>,,Uchwała wchodzi w życie z dniem podjęcia”</w:t>
      </w:r>
      <w:r w:rsidRPr="00BD4B7C">
        <w:rPr>
          <w:rFonts w:ascii="Calibri" w:eastAsia="Calibri" w:hAnsi="Calibri" w:cs="Calibri"/>
          <w:sz w:val="24"/>
          <w:szCs w:val="24"/>
          <w:lang w:eastAsia="pl-PL"/>
        </w:rPr>
        <w:t xml:space="preserve">. </w:t>
      </w:r>
      <w:r w:rsidRPr="00BD4B7C">
        <w:rPr>
          <w:sz w:val="24"/>
          <w:szCs w:val="24"/>
        </w:rPr>
        <w:t xml:space="preserve">Tym samym, ze względu na brak uzależnienia wejścia </w:t>
      </w:r>
      <w:r>
        <w:rPr>
          <w:sz w:val="24"/>
          <w:szCs w:val="24"/>
        </w:rPr>
        <w:br/>
      </w:r>
      <w:r w:rsidRPr="00BD4B7C">
        <w:rPr>
          <w:sz w:val="24"/>
          <w:szCs w:val="24"/>
        </w:rPr>
        <w:t xml:space="preserve">w życie od publikacji wojewódzkim w dzienniku urzędowym, Rada uznała kwestionowaną uchwałę za akt o charakterze wewnętrznym, co stanowi istotne naruszenie prawa. Organ nadzoru nie podziela stanowiska Rady </w:t>
      </w:r>
      <w:r>
        <w:rPr>
          <w:sz w:val="24"/>
          <w:szCs w:val="24"/>
        </w:rPr>
        <w:t xml:space="preserve">Miejskiej </w:t>
      </w:r>
      <w:r w:rsidRPr="00BD4B7C">
        <w:rPr>
          <w:sz w:val="24"/>
          <w:szCs w:val="24"/>
        </w:rPr>
        <w:t xml:space="preserve">w kontekście niezaliczenia tego aktu </w:t>
      </w:r>
      <w:r>
        <w:rPr>
          <w:sz w:val="24"/>
          <w:szCs w:val="24"/>
        </w:rPr>
        <w:br/>
      </w:r>
      <w:r w:rsidRPr="00BD4B7C">
        <w:rPr>
          <w:sz w:val="24"/>
          <w:szCs w:val="24"/>
        </w:rPr>
        <w:t>do kategorii aktów prawa miejscowego</w:t>
      </w:r>
      <w:r>
        <w:rPr>
          <w:sz w:val="24"/>
          <w:szCs w:val="24"/>
        </w:rPr>
        <w:t>.</w:t>
      </w:r>
    </w:p>
    <w:p w:rsidR="001B645F" w:rsidRDefault="00DE005B" w:rsidP="001A33EA">
      <w:pPr>
        <w:shd w:val="clear" w:color="auto" w:fill="FFFFFF"/>
        <w:spacing w:after="0" w:line="360" w:lineRule="auto"/>
        <w:ind w:firstLine="708"/>
        <w:jc w:val="both"/>
        <w:rPr>
          <w:rFonts w:cstheme="minorHAnsi"/>
          <w:sz w:val="24"/>
          <w:szCs w:val="24"/>
          <w:shd w:val="clear" w:color="auto" w:fill="FFFFFF"/>
        </w:rPr>
      </w:pPr>
      <w:r>
        <w:rPr>
          <w:rFonts w:cstheme="minorHAnsi"/>
          <w:sz w:val="24"/>
          <w:szCs w:val="24"/>
          <w:shd w:val="clear" w:color="auto" w:fill="FFFFFF"/>
        </w:rPr>
        <w:t xml:space="preserve">Z </w:t>
      </w:r>
      <w:r w:rsidRPr="008528BA">
        <w:rPr>
          <w:rFonts w:cstheme="minorHAnsi"/>
          <w:sz w:val="24"/>
          <w:szCs w:val="24"/>
          <w:shd w:val="clear" w:color="auto" w:fill="FFFFFF"/>
        </w:rPr>
        <w:t>wyrok</w:t>
      </w:r>
      <w:r>
        <w:rPr>
          <w:rFonts w:cstheme="minorHAnsi"/>
          <w:sz w:val="24"/>
          <w:szCs w:val="24"/>
          <w:shd w:val="clear" w:color="auto" w:fill="FFFFFF"/>
        </w:rPr>
        <w:t>u</w:t>
      </w:r>
      <w:r w:rsidRPr="008528BA">
        <w:rPr>
          <w:rFonts w:cstheme="minorHAnsi"/>
          <w:sz w:val="24"/>
          <w:szCs w:val="24"/>
          <w:shd w:val="clear" w:color="auto" w:fill="FFFFFF"/>
        </w:rPr>
        <w:t xml:space="preserve"> Naczelnego Sądu Administracyjnego z dnia 11 września 2012 r. sygn. akt</w:t>
      </w:r>
      <w:r>
        <w:rPr>
          <w:rFonts w:cstheme="minorHAnsi"/>
          <w:sz w:val="24"/>
          <w:szCs w:val="24"/>
          <w:shd w:val="clear" w:color="auto" w:fill="FFFFFF"/>
        </w:rPr>
        <w:t xml:space="preserve"> </w:t>
      </w:r>
      <w:r>
        <w:rPr>
          <w:rFonts w:cstheme="minorHAnsi"/>
          <w:sz w:val="24"/>
          <w:szCs w:val="24"/>
          <w:shd w:val="clear" w:color="auto" w:fill="FFFFFF"/>
        </w:rPr>
        <w:br/>
      </w:r>
      <w:hyperlink r:id="rId10" w:anchor="/document/521444180?cm=DOCUMENT" w:history="1">
        <w:r w:rsidRPr="008528BA">
          <w:rPr>
            <w:rFonts w:cstheme="minorHAnsi"/>
            <w:sz w:val="24"/>
            <w:szCs w:val="24"/>
            <w:shd w:val="clear" w:color="auto" w:fill="FFFFFF"/>
          </w:rPr>
          <w:t>II OSK 1818/12</w:t>
        </w:r>
      </w:hyperlink>
      <w:r w:rsidRPr="008528BA">
        <w:rPr>
          <w:rFonts w:cstheme="minorHAnsi"/>
          <w:sz w:val="24"/>
          <w:szCs w:val="24"/>
          <w:shd w:val="clear" w:color="auto" w:fill="FFFFFF"/>
        </w:rPr>
        <w:t xml:space="preserve"> wynika, że</w:t>
      </w:r>
      <w:r>
        <w:rPr>
          <w:rFonts w:cstheme="minorHAnsi"/>
          <w:sz w:val="24"/>
          <w:szCs w:val="24"/>
          <w:shd w:val="clear" w:color="auto" w:fill="FFFFFF"/>
        </w:rPr>
        <w:t>: ,,</w:t>
      </w:r>
      <w:r w:rsidRPr="00D247F6">
        <w:rPr>
          <w:rFonts w:cstheme="minorHAnsi"/>
          <w:i/>
          <w:sz w:val="24"/>
          <w:szCs w:val="24"/>
          <w:shd w:val="clear" w:color="auto" w:fill="FFFFFF"/>
        </w:rPr>
        <w:t xml:space="preserve">o kwalifikacji danej uchwały jako aktu prawa miejscowego decydujące znaczenie ma - w świetle poglądów doktryny i orzecznictwa - charakter norm prawnych i ich oddziaływanie na sytuację prawną adresatów. Przyjmuje się zatem, że </w:t>
      </w:r>
      <w:r w:rsidRPr="00EA040E">
        <w:rPr>
          <w:rFonts w:cstheme="minorHAnsi"/>
          <w:b/>
          <w:i/>
          <w:sz w:val="24"/>
          <w:szCs w:val="24"/>
          <w:shd w:val="clear" w:color="auto" w:fill="FFFFFF"/>
        </w:rPr>
        <w:t xml:space="preserve">normy zawarte w akcie prawa miejscowego muszą posiadać </w:t>
      </w:r>
      <w:r w:rsidRPr="001A33EA">
        <w:rPr>
          <w:rFonts w:cstheme="minorHAnsi"/>
          <w:b/>
          <w:i/>
          <w:sz w:val="24"/>
          <w:szCs w:val="24"/>
          <w:shd w:val="clear" w:color="auto" w:fill="FFFFFF"/>
        </w:rPr>
        <w:t>charakter generalny i abstrakcyjny</w:t>
      </w:r>
      <w:r w:rsidRPr="00D247F6">
        <w:rPr>
          <w:rFonts w:cstheme="minorHAnsi"/>
          <w:i/>
          <w:sz w:val="24"/>
          <w:szCs w:val="24"/>
          <w:shd w:val="clear" w:color="auto" w:fill="FFFFFF"/>
        </w:rPr>
        <w:t xml:space="preserve">. Muszą być adresowane do nieokreślonego kręgu osób, obejmując swymi postanowieniami sytuacje powtarzalne i regulując we wskazanym zakresie prawa i obowiązki podmiotów, które spełnią hipotezę norm zawartych w uchwale. Jeżeli uchwała zawiera przynajmniej jedną normę o charakterze generalnym i abstrakcyjnym, to w sprawie możemy mieć do czynienia z aktem </w:t>
      </w:r>
      <w:r w:rsidRPr="00D247F6">
        <w:rPr>
          <w:rFonts w:cstheme="minorHAnsi"/>
          <w:i/>
          <w:sz w:val="24"/>
          <w:szCs w:val="24"/>
          <w:shd w:val="clear" w:color="auto" w:fill="FFFFFF"/>
        </w:rPr>
        <w:lastRenderedPageBreak/>
        <w:t>prawa miejscowego. Stwierdzono również w powyższym wyroku, że brak wykonania obowiązku prawidłowej publikacji aktu normatywnego jest równoznaczny z istotnym naruszeniem prawa, akt taki nie może bowiem wiązać adresatów utworzonymi w nim normami prawnymi i nie odnosi skutku prawnego</w:t>
      </w:r>
      <w:r>
        <w:rPr>
          <w:rFonts w:cstheme="minorHAnsi"/>
          <w:sz w:val="24"/>
          <w:szCs w:val="24"/>
          <w:shd w:val="clear" w:color="auto" w:fill="FFFFFF"/>
        </w:rPr>
        <w:t>”</w:t>
      </w:r>
      <w:r w:rsidRPr="008528BA">
        <w:rPr>
          <w:rFonts w:cstheme="minorHAnsi"/>
          <w:sz w:val="24"/>
          <w:szCs w:val="24"/>
          <w:shd w:val="clear" w:color="auto" w:fill="FFFFFF"/>
        </w:rPr>
        <w:t>.</w:t>
      </w:r>
      <w:r>
        <w:rPr>
          <w:rFonts w:cstheme="minorHAnsi"/>
          <w:sz w:val="24"/>
          <w:szCs w:val="24"/>
          <w:shd w:val="clear" w:color="auto" w:fill="FFFFFF"/>
        </w:rPr>
        <w:t xml:space="preserve"> </w:t>
      </w:r>
    </w:p>
    <w:p w:rsidR="001A33EA" w:rsidRDefault="00DE005B" w:rsidP="001A33EA">
      <w:pPr>
        <w:shd w:val="clear" w:color="auto" w:fill="FFFFFF"/>
        <w:spacing w:after="0" w:line="360" w:lineRule="auto"/>
        <w:ind w:firstLine="708"/>
        <w:jc w:val="both"/>
        <w:rPr>
          <w:rFonts w:cstheme="minorHAnsi"/>
          <w:i/>
          <w:sz w:val="24"/>
          <w:szCs w:val="24"/>
          <w:shd w:val="clear" w:color="auto" w:fill="FFFFFF"/>
        </w:rPr>
      </w:pPr>
      <w:r>
        <w:rPr>
          <w:rFonts w:cstheme="minorHAnsi"/>
          <w:sz w:val="24"/>
          <w:szCs w:val="24"/>
        </w:rPr>
        <w:t>W</w:t>
      </w:r>
      <w:r w:rsidRPr="00873AB9">
        <w:rPr>
          <w:rFonts w:cstheme="minorHAnsi"/>
          <w:sz w:val="24"/>
          <w:szCs w:val="24"/>
        </w:rPr>
        <w:t xml:space="preserve"> wyroku z dnia 14 listopada 2019 r. sygn. akt </w:t>
      </w:r>
      <w:r w:rsidRPr="00873AB9">
        <w:rPr>
          <w:rFonts w:cstheme="minorHAnsi"/>
          <w:bCs/>
          <w:sz w:val="24"/>
          <w:szCs w:val="24"/>
          <w:shd w:val="clear" w:color="auto" w:fill="FFFFFF"/>
        </w:rPr>
        <w:t>II SA/</w:t>
      </w:r>
      <w:proofErr w:type="spellStart"/>
      <w:r w:rsidRPr="00873AB9">
        <w:rPr>
          <w:rFonts w:cstheme="minorHAnsi"/>
          <w:bCs/>
          <w:sz w:val="24"/>
          <w:szCs w:val="24"/>
          <w:shd w:val="clear" w:color="auto" w:fill="FFFFFF"/>
        </w:rPr>
        <w:t>Wa</w:t>
      </w:r>
      <w:proofErr w:type="spellEnd"/>
      <w:r w:rsidRPr="00873AB9">
        <w:rPr>
          <w:rFonts w:cstheme="minorHAnsi"/>
          <w:bCs/>
          <w:sz w:val="24"/>
          <w:szCs w:val="24"/>
          <w:shd w:val="clear" w:color="auto" w:fill="FFFFFF"/>
        </w:rPr>
        <w:t xml:space="preserve"> 823/19</w:t>
      </w:r>
      <w:r w:rsidRPr="00873AB9">
        <w:rPr>
          <w:rFonts w:cstheme="minorHAnsi"/>
          <w:sz w:val="24"/>
          <w:szCs w:val="24"/>
          <w:shd w:val="clear" w:color="auto" w:fill="FFFFFF"/>
        </w:rPr>
        <w:t xml:space="preserve"> Wojewódzki Sąd Administracyjny w Warszawie postanowił</w:t>
      </w:r>
      <w:r>
        <w:rPr>
          <w:rFonts w:cstheme="minorHAnsi"/>
          <w:sz w:val="24"/>
          <w:szCs w:val="24"/>
          <w:shd w:val="clear" w:color="auto" w:fill="FFFFFF"/>
        </w:rPr>
        <w:t>, że</w:t>
      </w:r>
      <w:r w:rsidRPr="00873AB9">
        <w:rPr>
          <w:rFonts w:cstheme="minorHAnsi"/>
          <w:sz w:val="24"/>
          <w:szCs w:val="24"/>
          <w:shd w:val="clear" w:color="auto" w:fill="FFFFFF"/>
        </w:rPr>
        <w:t xml:space="preserve">: </w:t>
      </w:r>
      <w:r w:rsidRPr="00D247F6">
        <w:rPr>
          <w:rFonts w:cstheme="minorHAnsi"/>
          <w:i/>
          <w:sz w:val="24"/>
          <w:szCs w:val="24"/>
          <w:shd w:val="clear" w:color="auto" w:fill="FFFFFF"/>
        </w:rPr>
        <w:t xml:space="preserve">,,Uchwała rady gminy w sprawie zasad przyznawania diet oraz zwrotu kosztów podróży służbowych radnych gminy, </w:t>
      </w:r>
      <w:r w:rsidRPr="001A33EA">
        <w:rPr>
          <w:rFonts w:cstheme="minorHAnsi"/>
          <w:b/>
          <w:i/>
          <w:sz w:val="24"/>
          <w:szCs w:val="24"/>
          <w:shd w:val="clear" w:color="auto" w:fill="FFFFFF"/>
        </w:rPr>
        <w:t>zawierała normy o charakterze generalnym,</w:t>
      </w:r>
      <w:r w:rsidRPr="00D247F6">
        <w:rPr>
          <w:rFonts w:cstheme="minorHAnsi"/>
          <w:i/>
          <w:sz w:val="24"/>
          <w:szCs w:val="24"/>
          <w:shd w:val="clear" w:color="auto" w:fill="FFFFFF"/>
        </w:rPr>
        <w:t xml:space="preserve"> gdyż adresatem uchwały była pewna kategoria osób, tj. radni gminy i jej przewodniczący oraz wiceprzewodniczący, jak również przewodniczący </w:t>
      </w:r>
      <w:r>
        <w:rPr>
          <w:rFonts w:cstheme="minorHAnsi"/>
          <w:i/>
          <w:sz w:val="24"/>
          <w:szCs w:val="24"/>
          <w:shd w:val="clear" w:color="auto" w:fill="FFFFFF"/>
        </w:rPr>
        <w:br/>
      </w:r>
      <w:r w:rsidRPr="00D247F6">
        <w:rPr>
          <w:rFonts w:cstheme="minorHAnsi"/>
          <w:i/>
          <w:sz w:val="24"/>
          <w:szCs w:val="24"/>
          <w:shd w:val="clear" w:color="auto" w:fill="FFFFFF"/>
        </w:rPr>
        <w:t xml:space="preserve">i wiceprzewodniczący stałych komisji rady, a osób tych nie wskazano w sposób zindywidualizowany, przez podanie ich imion i nazwisk. Zatem uchwała nie miała charakteru epizodycznego. Wprawdzie krąg adresatów uchwały był ograniczony, gdyż uchwała dotyczyła wyżej wymienionych, ale ograniczenie to nie było trwałe, wobec zmienności osób pełniących </w:t>
      </w:r>
      <w:r>
        <w:rPr>
          <w:rFonts w:cstheme="minorHAnsi"/>
          <w:i/>
          <w:sz w:val="24"/>
          <w:szCs w:val="24"/>
          <w:shd w:val="clear" w:color="auto" w:fill="FFFFFF"/>
        </w:rPr>
        <w:t>wybieralne i kadencyjne funkcje</w:t>
      </w:r>
      <w:r w:rsidRPr="00D247F6">
        <w:rPr>
          <w:rFonts w:cstheme="minorHAnsi"/>
          <w:i/>
          <w:sz w:val="24"/>
          <w:szCs w:val="24"/>
          <w:shd w:val="clear" w:color="auto" w:fill="FFFFFF"/>
        </w:rPr>
        <w:t>”.</w:t>
      </w:r>
    </w:p>
    <w:p w:rsidR="006F7FBE" w:rsidRPr="00A561C2" w:rsidRDefault="00DE005B" w:rsidP="001A33EA">
      <w:pPr>
        <w:shd w:val="clear" w:color="auto" w:fill="FFFFFF"/>
        <w:spacing w:after="0" w:line="360" w:lineRule="auto"/>
        <w:ind w:firstLine="708"/>
        <w:jc w:val="both"/>
        <w:rPr>
          <w:rFonts w:cstheme="minorHAnsi"/>
          <w:i/>
          <w:sz w:val="24"/>
          <w:szCs w:val="24"/>
          <w:shd w:val="clear" w:color="auto" w:fill="FFFFFF"/>
        </w:rPr>
      </w:pPr>
      <w:r>
        <w:rPr>
          <w:rFonts w:cstheme="minorHAnsi"/>
          <w:sz w:val="24"/>
          <w:szCs w:val="24"/>
          <w:shd w:val="clear" w:color="auto" w:fill="FFFFFF"/>
        </w:rPr>
        <w:t>Z kolei</w:t>
      </w:r>
      <w:r w:rsidRPr="00A561C2">
        <w:rPr>
          <w:rFonts w:cstheme="minorHAnsi"/>
          <w:sz w:val="24"/>
          <w:szCs w:val="24"/>
          <w:shd w:val="clear" w:color="auto" w:fill="FFFFFF"/>
        </w:rPr>
        <w:t xml:space="preserve"> w wyroku z dnia 17 listopada 2020 r sygn. akt </w:t>
      </w:r>
      <w:r w:rsidRPr="00A561C2">
        <w:rPr>
          <w:rFonts w:cstheme="minorHAnsi"/>
          <w:bCs/>
          <w:sz w:val="24"/>
          <w:szCs w:val="24"/>
          <w:shd w:val="clear" w:color="auto" w:fill="FFFFFF"/>
        </w:rPr>
        <w:t>II SA/</w:t>
      </w:r>
      <w:proofErr w:type="spellStart"/>
      <w:r w:rsidRPr="00A561C2">
        <w:rPr>
          <w:rFonts w:cstheme="minorHAnsi"/>
          <w:bCs/>
          <w:sz w:val="24"/>
          <w:szCs w:val="24"/>
          <w:shd w:val="clear" w:color="auto" w:fill="FFFFFF"/>
        </w:rPr>
        <w:t>Op</w:t>
      </w:r>
      <w:proofErr w:type="spellEnd"/>
      <w:r w:rsidRPr="00A561C2">
        <w:rPr>
          <w:rFonts w:cstheme="minorHAnsi"/>
          <w:bCs/>
          <w:sz w:val="24"/>
          <w:szCs w:val="24"/>
          <w:shd w:val="clear" w:color="auto" w:fill="FFFFFF"/>
        </w:rPr>
        <w:t xml:space="preserve"> 217/20 </w:t>
      </w:r>
      <w:r w:rsidRPr="00A561C2">
        <w:rPr>
          <w:rFonts w:cstheme="minorHAnsi"/>
          <w:sz w:val="24"/>
          <w:szCs w:val="24"/>
          <w:shd w:val="clear" w:color="auto" w:fill="FFFFFF"/>
        </w:rPr>
        <w:t xml:space="preserve">Wojewódzki Sąd Administracyjny w Opolu wyraził </w:t>
      </w:r>
      <w:r>
        <w:rPr>
          <w:rFonts w:cstheme="minorHAnsi"/>
          <w:sz w:val="24"/>
          <w:szCs w:val="24"/>
          <w:shd w:val="clear" w:color="auto" w:fill="FFFFFF"/>
        </w:rPr>
        <w:t xml:space="preserve">swoje </w:t>
      </w:r>
      <w:r w:rsidRPr="00A561C2">
        <w:rPr>
          <w:rFonts w:cstheme="minorHAnsi"/>
          <w:sz w:val="24"/>
          <w:szCs w:val="24"/>
          <w:shd w:val="clear" w:color="auto" w:fill="FFFFFF"/>
        </w:rPr>
        <w:t xml:space="preserve">stanowisko w sprawie uchwał, które zostały wydane </w:t>
      </w:r>
      <w:r>
        <w:rPr>
          <w:rFonts w:cstheme="minorHAnsi"/>
          <w:sz w:val="24"/>
          <w:szCs w:val="24"/>
          <w:shd w:val="clear" w:color="auto" w:fill="FFFFFF"/>
        </w:rPr>
        <w:br/>
      </w:r>
      <w:r w:rsidRPr="00A561C2">
        <w:rPr>
          <w:rFonts w:cstheme="minorHAnsi"/>
          <w:sz w:val="24"/>
          <w:szCs w:val="24"/>
          <w:shd w:val="clear" w:color="auto" w:fill="FFFFFF"/>
        </w:rPr>
        <w:t>na podstawie delegacji ustawowej zawartej w</w:t>
      </w:r>
      <w:r>
        <w:rPr>
          <w:rFonts w:cstheme="minorHAnsi"/>
          <w:sz w:val="24"/>
          <w:szCs w:val="24"/>
          <w:shd w:val="clear" w:color="auto" w:fill="FFFFFF"/>
        </w:rPr>
        <w:t xml:space="preserve"> </w:t>
      </w:r>
      <w:hyperlink r:id="rId11" w:anchor="/document/16793509?unitId=art(37(b))ust(1)&amp;cm=DOCUMENT" w:history="1">
        <w:r w:rsidRPr="00A561C2">
          <w:rPr>
            <w:rFonts w:cstheme="minorHAnsi"/>
            <w:sz w:val="24"/>
            <w:szCs w:val="24"/>
            <w:shd w:val="clear" w:color="auto" w:fill="FFFFFF"/>
          </w:rPr>
          <w:t>art. 37b ust. 1</w:t>
        </w:r>
      </w:hyperlink>
      <w:r>
        <w:rPr>
          <w:rFonts w:cstheme="minorHAnsi"/>
          <w:sz w:val="24"/>
          <w:szCs w:val="24"/>
          <w:shd w:val="clear" w:color="auto" w:fill="FFFFFF"/>
        </w:rPr>
        <w:t xml:space="preserve"> </w:t>
      </w:r>
      <w:proofErr w:type="spellStart"/>
      <w:r w:rsidRPr="00A561C2">
        <w:rPr>
          <w:rFonts w:cstheme="minorHAnsi"/>
          <w:sz w:val="24"/>
          <w:szCs w:val="24"/>
          <w:shd w:val="clear" w:color="auto" w:fill="FFFFFF"/>
        </w:rPr>
        <w:t>u.s.g</w:t>
      </w:r>
      <w:proofErr w:type="spellEnd"/>
      <w:r w:rsidRPr="00A561C2">
        <w:rPr>
          <w:rFonts w:cstheme="minorHAnsi"/>
          <w:sz w:val="24"/>
          <w:szCs w:val="24"/>
          <w:shd w:val="clear" w:color="auto" w:fill="FFFFFF"/>
        </w:rPr>
        <w:t>.</w:t>
      </w:r>
      <w:r>
        <w:rPr>
          <w:rFonts w:cstheme="minorHAnsi"/>
          <w:sz w:val="24"/>
          <w:szCs w:val="24"/>
          <w:shd w:val="clear" w:color="auto" w:fill="FFFFFF"/>
        </w:rPr>
        <w:t xml:space="preserve">, </w:t>
      </w:r>
      <w:r w:rsidRPr="00A561C2">
        <w:rPr>
          <w:rFonts w:cstheme="minorHAnsi"/>
          <w:sz w:val="24"/>
          <w:szCs w:val="24"/>
          <w:shd w:val="clear" w:color="auto" w:fill="FFFFFF"/>
        </w:rPr>
        <w:t>twierdz</w:t>
      </w:r>
      <w:r>
        <w:rPr>
          <w:rFonts w:cstheme="minorHAnsi"/>
          <w:sz w:val="24"/>
          <w:szCs w:val="24"/>
          <w:shd w:val="clear" w:color="auto" w:fill="FFFFFF"/>
        </w:rPr>
        <w:t>ąc</w:t>
      </w:r>
      <w:r w:rsidRPr="00A561C2">
        <w:rPr>
          <w:rFonts w:cstheme="minorHAnsi"/>
          <w:sz w:val="24"/>
          <w:szCs w:val="24"/>
          <w:shd w:val="clear" w:color="auto" w:fill="FFFFFF"/>
        </w:rPr>
        <w:t>, że</w:t>
      </w:r>
      <w:r w:rsidRPr="00A561C2">
        <w:rPr>
          <w:rFonts w:cstheme="minorHAnsi"/>
          <w:i/>
          <w:sz w:val="24"/>
          <w:szCs w:val="24"/>
          <w:shd w:val="clear" w:color="auto" w:fill="FFFFFF"/>
        </w:rPr>
        <w:t xml:space="preserve">: ,,Sąd podziela pogląd wyrażony już w judykaturze (m.in.: wyrok NSA z dnia 28 kwietnia 2020 r., </w:t>
      </w:r>
      <w:r>
        <w:rPr>
          <w:rFonts w:cstheme="minorHAnsi"/>
          <w:i/>
          <w:sz w:val="24"/>
          <w:szCs w:val="24"/>
          <w:shd w:val="clear" w:color="auto" w:fill="FFFFFF"/>
        </w:rPr>
        <w:br/>
      </w:r>
      <w:r w:rsidRPr="00A561C2">
        <w:rPr>
          <w:rFonts w:cstheme="minorHAnsi"/>
          <w:i/>
          <w:sz w:val="24"/>
          <w:szCs w:val="24"/>
          <w:shd w:val="clear" w:color="auto" w:fill="FFFFFF"/>
        </w:rPr>
        <w:t>sygn. akt II OSK 570/19; wyrok NSA z dnia 7 listopada 2017 r., sygn. akt</w:t>
      </w:r>
      <w:r>
        <w:rPr>
          <w:rFonts w:cstheme="minorHAnsi"/>
          <w:i/>
          <w:sz w:val="24"/>
          <w:szCs w:val="24"/>
          <w:shd w:val="clear" w:color="auto" w:fill="FFFFFF"/>
        </w:rPr>
        <w:t xml:space="preserve"> </w:t>
      </w:r>
      <w:hyperlink r:id="rId12" w:anchor="/document/522513110?cm=DOCUMENT" w:history="1">
        <w:r w:rsidRPr="00A561C2">
          <w:rPr>
            <w:rFonts w:cstheme="minorHAnsi"/>
            <w:i/>
            <w:sz w:val="24"/>
            <w:szCs w:val="24"/>
            <w:shd w:val="clear" w:color="auto" w:fill="FFFFFF"/>
          </w:rPr>
          <w:t>II OSK 2794/16</w:t>
        </w:r>
      </w:hyperlink>
      <w:r w:rsidRPr="00A561C2">
        <w:rPr>
          <w:rFonts w:cstheme="minorHAnsi"/>
          <w:i/>
          <w:sz w:val="24"/>
          <w:szCs w:val="24"/>
          <w:shd w:val="clear" w:color="auto" w:fill="FFFFFF"/>
        </w:rPr>
        <w:t>; wyrok WSA w Rzeszowie z dnia 25 sierpnia 2016 r., sygn. akt</w:t>
      </w:r>
      <w:r>
        <w:rPr>
          <w:rFonts w:cstheme="minorHAnsi"/>
          <w:i/>
          <w:sz w:val="24"/>
          <w:szCs w:val="24"/>
          <w:shd w:val="clear" w:color="auto" w:fill="FFFFFF"/>
        </w:rPr>
        <w:t xml:space="preserve"> </w:t>
      </w:r>
      <w:hyperlink r:id="rId13" w:anchor="/document/522216113?cm=DOCUMENT" w:history="1">
        <w:r w:rsidRPr="00A561C2">
          <w:rPr>
            <w:rFonts w:cstheme="minorHAnsi"/>
            <w:i/>
            <w:sz w:val="24"/>
            <w:szCs w:val="24"/>
            <w:shd w:val="clear" w:color="auto" w:fill="FFFFFF"/>
          </w:rPr>
          <w:t>II SA/</w:t>
        </w:r>
        <w:proofErr w:type="spellStart"/>
        <w:r w:rsidRPr="00A561C2">
          <w:rPr>
            <w:rFonts w:cstheme="minorHAnsi"/>
            <w:i/>
            <w:sz w:val="24"/>
            <w:szCs w:val="24"/>
            <w:shd w:val="clear" w:color="auto" w:fill="FFFFFF"/>
          </w:rPr>
          <w:t>Rz</w:t>
        </w:r>
        <w:proofErr w:type="spellEnd"/>
        <w:r w:rsidRPr="00A561C2">
          <w:rPr>
            <w:rFonts w:cstheme="minorHAnsi"/>
            <w:i/>
            <w:sz w:val="24"/>
            <w:szCs w:val="24"/>
            <w:shd w:val="clear" w:color="auto" w:fill="FFFFFF"/>
          </w:rPr>
          <w:t xml:space="preserve"> 1701/15</w:t>
        </w:r>
      </w:hyperlink>
      <w:r>
        <w:rPr>
          <w:rFonts w:cstheme="minorHAnsi"/>
          <w:i/>
          <w:sz w:val="24"/>
          <w:szCs w:val="24"/>
          <w:shd w:val="clear" w:color="auto" w:fill="FFFFFF"/>
        </w:rPr>
        <w:t xml:space="preserve"> </w:t>
      </w:r>
      <w:r w:rsidRPr="00A561C2">
        <w:rPr>
          <w:rFonts w:cstheme="minorHAnsi"/>
          <w:i/>
          <w:sz w:val="24"/>
          <w:szCs w:val="24"/>
          <w:shd w:val="clear" w:color="auto" w:fill="FFFFFF"/>
        </w:rPr>
        <w:t xml:space="preserve">- publikowane </w:t>
      </w:r>
      <w:r>
        <w:rPr>
          <w:rFonts w:cstheme="minorHAnsi"/>
          <w:i/>
          <w:sz w:val="24"/>
          <w:szCs w:val="24"/>
          <w:shd w:val="clear" w:color="auto" w:fill="FFFFFF"/>
        </w:rPr>
        <w:br/>
      </w:r>
      <w:r w:rsidRPr="00A561C2">
        <w:rPr>
          <w:rFonts w:cstheme="minorHAnsi"/>
          <w:i/>
          <w:sz w:val="24"/>
          <w:szCs w:val="24"/>
          <w:shd w:val="clear" w:color="auto" w:fill="FFFFFF"/>
        </w:rPr>
        <w:t xml:space="preserve">w CBOSA), zgodnie z którym zaskarżona uchwała w sprawie ustalenia zasad przyznawania </w:t>
      </w:r>
      <w:r>
        <w:rPr>
          <w:rFonts w:cstheme="minorHAnsi"/>
          <w:i/>
          <w:sz w:val="24"/>
          <w:szCs w:val="24"/>
          <w:shd w:val="clear" w:color="auto" w:fill="FFFFFF"/>
        </w:rPr>
        <w:br/>
      </w:r>
      <w:r w:rsidRPr="00A561C2">
        <w:rPr>
          <w:rFonts w:cstheme="minorHAnsi"/>
          <w:i/>
          <w:sz w:val="24"/>
          <w:szCs w:val="24"/>
          <w:shd w:val="clear" w:color="auto" w:fill="FFFFFF"/>
        </w:rPr>
        <w:t>i wysokości diet dla przewodniczących organu wykonawczego jednostek pomocniczych jest aktem prawa</w:t>
      </w:r>
      <w:r>
        <w:rPr>
          <w:rFonts w:cstheme="minorHAnsi"/>
          <w:i/>
          <w:sz w:val="24"/>
          <w:szCs w:val="24"/>
          <w:shd w:val="clear" w:color="auto" w:fill="FFFFFF"/>
        </w:rPr>
        <w:t xml:space="preserve"> </w:t>
      </w:r>
      <w:r w:rsidRPr="00A561C2">
        <w:rPr>
          <w:rFonts w:cstheme="minorHAnsi"/>
          <w:i/>
          <w:sz w:val="24"/>
          <w:szCs w:val="24"/>
        </w:rPr>
        <w:t>miejscowego</w:t>
      </w:r>
      <w:r w:rsidRPr="00A561C2">
        <w:rPr>
          <w:rFonts w:cstheme="minorHAnsi"/>
          <w:i/>
          <w:sz w:val="24"/>
          <w:szCs w:val="24"/>
          <w:shd w:val="clear" w:color="auto" w:fill="FFFFFF"/>
        </w:rPr>
        <w:t>.</w:t>
      </w:r>
      <w:r>
        <w:rPr>
          <w:rFonts w:cstheme="minorHAnsi"/>
          <w:i/>
          <w:sz w:val="24"/>
          <w:szCs w:val="24"/>
          <w:shd w:val="clear" w:color="auto" w:fill="FFFFFF"/>
        </w:rPr>
        <w:t xml:space="preserve"> </w:t>
      </w:r>
      <w:r w:rsidRPr="00A561C2">
        <w:rPr>
          <w:rFonts w:cstheme="minorHAnsi"/>
          <w:i/>
          <w:sz w:val="24"/>
          <w:szCs w:val="24"/>
          <w:shd w:val="clear" w:color="auto" w:fill="FFFFFF"/>
        </w:rPr>
        <w:t xml:space="preserve">Należy podkreślić, że przedmiotowa uchwała zawiera </w:t>
      </w:r>
      <w:r w:rsidRPr="00EA040E">
        <w:rPr>
          <w:rFonts w:cstheme="minorHAnsi"/>
          <w:b/>
          <w:i/>
          <w:sz w:val="24"/>
          <w:szCs w:val="24"/>
          <w:shd w:val="clear" w:color="auto" w:fill="FFFFFF"/>
        </w:rPr>
        <w:t>normy abstrakcyjne,</w:t>
      </w:r>
      <w:r w:rsidRPr="00A561C2">
        <w:rPr>
          <w:rFonts w:cstheme="minorHAnsi"/>
          <w:i/>
          <w:sz w:val="24"/>
          <w:szCs w:val="24"/>
          <w:shd w:val="clear" w:color="auto" w:fill="FFFFFF"/>
        </w:rPr>
        <w:t xml:space="preserve"> ponieważ diety miały (mają) charakter powtarzalny. Przepisy te mają </w:t>
      </w:r>
      <w:r w:rsidRPr="00EA040E">
        <w:rPr>
          <w:rFonts w:cstheme="minorHAnsi"/>
          <w:b/>
          <w:i/>
          <w:sz w:val="24"/>
          <w:szCs w:val="24"/>
          <w:shd w:val="clear" w:color="auto" w:fill="FFFFFF"/>
        </w:rPr>
        <w:t>charakter generalny</w:t>
      </w:r>
      <w:r w:rsidRPr="00A561C2">
        <w:rPr>
          <w:rFonts w:cstheme="minorHAnsi"/>
          <w:i/>
          <w:sz w:val="24"/>
          <w:szCs w:val="24"/>
          <w:shd w:val="clear" w:color="auto" w:fill="FFFFFF"/>
        </w:rPr>
        <w:t xml:space="preserve">, gdyż ich adresatem nie jest konkretna osoba, ale każdy mieszkaniec Gminy </w:t>
      </w:r>
      <w:r>
        <w:rPr>
          <w:rFonts w:cstheme="minorHAnsi"/>
          <w:i/>
          <w:sz w:val="24"/>
          <w:szCs w:val="24"/>
          <w:shd w:val="clear" w:color="auto" w:fill="FFFFFF"/>
        </w:rPr>
        <w:t>(...)</w:t>
      </w:r>
      <w:r w:rsidRPr="00A561C2">
        <w:rPr>
          <w:rFonts w:cstheme="minorHAnsi"/>
          <w:i/>
          <w:sz w:val="24"/>
          <w:szCs w:val="24"/>
          <w:shd w:val="clear" w:color="auto" w:fill="FFFFFF"/>
        </w:rPr>
        <w:t>, który pełniłby funkcję sołtysa któregokolwiek sołectwa w tej Gminie. Wprawdzie krąg adresatów tej uchwały nie jest zbyt liczny, to jednak poprzez określenie go wspólną cechą jaką jest pełnienie funkcji sołtysa, przepisy te stały się generalnymi. Nie ulega również wątpliwości, że uchwała ta zawiera przepisy normatywne, na podstawie których jej adresaci uzyskali uprawnienia do diety</w:t>
      </w:r>
      <w:r>
        <w:rPr>
          <w:rFonts w:cstheme="minorHAnsi"/>
          <w:i/>
          <w:sz w:val="24"/>
          <w:szCs w:val="24"/>
          <w:shd w:val="clear" w:color="auto" w:fill="FFFFFF"/>
        </w:rPr>
        <w:t>”.</w:t>
      </w:r>
    </w:p>
    <w:p w:rsidR="00BD4B7C" w:rsidRPr="00E45409" w:rsidRDefault="00DE005B" w:rsidP="001A33EA">
      <w:pPr>
        <w:shd w:val="clear" w:color="auto" w:fill="FFFFFF"/>
        <w:spacing w:after="0" w:line="360" w:lineRule="auto"/>
        <w:ind w:firstLine="708"/>
        <w:jc w:val="both"/>
        <w:rPr>
          <w:rFonts w:eastAsia="Times New Roman" w:cstheme="minorHAnsi"/>
          <w:sz w:val="24"/>
          <w:szCs w:val="24"/>
          <w:lang w:eastAsia="pl-PL"/>
        </w:rPr>
      </w:pPr>
      <w:r w:rsidRPr="00A561C2">
        <w:rPr>
          <w:rFonts w:cstheme="minorHAnsi"/>
          <w:sz w:val="24"/>
          <w:szCs w:val="24"/>
        </w:rPr>
        <w:t xml:space="preserve">Wobec powyższego, należy stwierdzić, że </w:t>
      </w:r>
      <w:r w:rsidRPr="00A561C2">
        <w:rPr>
          <w:rFonts w:cstheme="minorHAnsi"/>
          <w:sz w:val="24"/>
          <w:szCs w:val="24"/>
          <w:shd w:val="clear" w:color="auto" w:fill="FFFFFF"/>
        </w:rPr>
        <w:t xml:space="preserve">skoro </w:t>
      </w:r>
      <w:r>
        <w:rPr>
          <w:rFonts w:cstheme="minorHAnsi"/>
          <w:sz w:val="24"/>
          <w:szCs w:val="24"/>
          <w:shd w:val="clear" w:color="auto" w:fill="FFFFFF"/>
        </w:rPr>
        <w:t xml:space="preserve">kwestionowana </w:t>
      </w:r>
      <w:r w:rsidRPr="00A561C2">
        <w:rPr>
          <w:rFonts w:cstheme="minorHAnsi"/>
          <w:sz w:val="24"/>
          <w:szCs w:val="24"/>
          <w:shd w:val="clear" w:color="auto" w:fill="FFFFFF"/>
        </w:rPr>
        <w:t xml:space="preserve">uchwała zawiera normy generalne, abstrakcyjne i jest skierowana do określonego rodzajowo kręgu podmiotów </w:t>
      </w:r>
      <w:r w:rsidRPr="00A561C2">
        <w:rPr>
          <w:rFonts w:cstheme="minorHAnsi"/>
          <w:sz w:val="24"/>
          <w:szCs w:val="24"/>
          <w:shd w:val="clear" w:color="auto" w:fill="FFFFFF"/>
        </w:rPr>
        <w:lastRenderedPageBreak/>
        <w:t>na obszarze objętym zakresem działania organu samorządu terytorialnego, to jest aktem</w:t>
      </w:r>
      <w:r>
        <w:rPr>
          <w:rFonts w:cstheme="minorHAnsi"/>
          <w:sz w:val="24"/>
          <w:szCs w:val="24"/>
          <w:shd w:val="clear" w:color="auto" w:fill="FFFFFF"/>
        </w:rPr>
        <w:t xml:space="preserve"> </w:t>
      </w:r>
      <w:r w:rsidRPr="00A561C2">
        <w:rPr>
          <w:rFonts w:cstheme="minorHAnsi"/>
          <w:sz w:val="24"/>
          <w:szCs w:val="24"/>
          <w:shd w:val="clear" w:color="auto" w:fill="FFFFFF"/>
        </w:rPr>
        <w:t>prawa</w:t>
      </w:r>
      <w:r>
        <w:rPr>
          <w:rFonts w:cstheme="minorHAnsi"/>
          <w:sz w:val="24"/>
          <w:szCs w:val="24"/>
          <w:shd w:val="clear" w:color="auto" w:fill="FFFFFF"/>
        </w:rPr>
        <w:t xml:space="preserve"> </w:t>
      </w:r>
      <w:r w:rsidRPr="00A561C2">
        <w:rPr>
          <w:rFonts w:cstheme="minorHAnsi"/>
          <w:sz w:val="24"/>
          <w:szCs w:val="24"/>
        </w:rPr>
        <w:t>miejscowego.</w:t>
      </w:r>
      <w:r w:rsidRPr="00A561C2">
        <w:rPr>
          <w:rFonts w:ascii="Open Sans" w:hAnsi="Open Sans"/>
          <w:shd w:val="clear" w:color="auto" w:fill="FFFFFF"/>
        </w:rPr>
        <w:t xml:space="preserve"> </w:t>
      </w:r>
      <w:r w:rsidRPr="00BD4B7C">
        <w:rPr>
          <w:sz w:val="24"/>
          <w:szCs w:val="24"/>
        </w:rPr>
        <w:t xml:space="preserve">Ponadto z treści art. 4 ust. 1 ustawy z dnia 20 lipca 2000 r. o ogłaszaniu aktów normatywnych i niektórych innych aktów prawnych (Dz. U. z 2019 r. poz. 1461) wynika, że akty normatywne zawierające przepisy powszechnie obowiązujące ogłaszane </w:t>
      </w:r>
      <w:r>
        <w:rPr>
          <w:sz w:val="24"/>
          <w:szCs w:val="24"/>
        </w:rPr>
        <w:br/>
      </w:r>
      <w:r w:rsidRPr="00BD4B7C">
        <w:rPr>
          <w:sz w:val="24"/>
          <w:szCs w:val="24"/>
        </w:rPr>
        <w:t>w dziennikach urzędowych wchodzą w życie po upływie 14 dni od dnia ich ogłoszenia, chyba że dany akt normatywny określi termin dłuższy.</w:t>
      </w:r>
    </w:p>
    <w:p w:rsidR="00793D1A" w:rsidRDefault="00DE005B" w:rsidP="001A33EA">
      <w:pPr>
        <w:spacing w:after="0" w:line="360" w:lineRule="auto"/>
        <w:ind w:firstLine="708"/>
        <w:jc w:val="both"/>
        <w:rPr>
          <w:sz w:val="24"/>
          <w:szCs w:val="24"/>
        </w:rPr>
      </w:pPr>
      <w:r w:rsidRPr="00BD4B7C">
        <w:rPr>
          <w:sz w:val="24"/>
          <w:szCs w:val="24"/>
        </w:rPr>
        <w:t xml:space="preserve">Stosownie </w:t>
      </w:r>
      <w:r>
        <w:rPr>
          <w:sz w:val="24"/>
          <w:szCs w:val="24"/>
        </w:rPr>
        <w:t xml:space="preserve">zaś </w:t>
      </w:r>
      <w:r w:rsidRPr="00BD4B7C">
        <w:rPr>
          <w:sz w:val="24"/>
          <w:szCs w:val="24"/>
        </w:rPr>
        <w:t>do brzmienia art. 87 ust. 2 Konstytucji Rzeczypospolitej Polskiej akty prawa miejscowego są wskazane jako źródła prawa powszechnie obowiązującego na obszarze działania organów, które tego typu akty ustanowiły. Organy samorządu terytorialnego ustanawiają tego typu akty na podstawie i w granicach up</w:t>
      </w:r>
      <w:r>
        <w:rPr>
          <w:sz w:val="24"/>
          <w:szCs w:val="24"/>
        </w:rPr>
        <w:t xml:space="preserve">oważnień nadanych przez ustawy. </w:t>
      </w:r>
      <w:r w:rsidRPr="00BD4B7C">
        <w:rPr>
          <w:sz w:val="24"/>
          <w:szCs w:val="24"/>
        </w:rPr>
        <w:t>Już sam fakt zaliczenia aktu prawa miejscowego do źródeł prawa powszechnie obowiązującego niesie ze sobą skutek w postaci konieczności odniesienia do tego typu aktu wszystkich zasad charakteryzujących tworzenie i obowiązywanie systemu źródeł prawa powszechnie obowiązującego, o których mowa w Konstytucji RP. Zgodnie zaś z art. 88 ust. 1 Ustawy Zasadniczej warunkiem wejścia w życie aktu prawa miejscowego jest jego ogłoszenie. Dla kwalifikacji danego aktu, jako aktu normatywnego powszechnie obowiązującego, oprócz charakteru norm prawnych i kształtowania przez te normy sytuacji prawnej ich adresatów oraz wydania go przez organ do tego uprawniony, niewątpliwie istotne znaczenie ma instytucja publikacji tego typu aktów</w:t>
      </w:r>
      <w:r>
        <w:rPr>
          <w:sz w:val="24"/>
          <w:szCs w:val="24"/>
        </w:rPr>
        <w:t>.</w:t>
      </w:r>
    </w:p>
    <w:p w:rsidR="00BD4B7C" w:rsidRPr="00793D1A" w:rsidRDefault="00DE005B" w:rsidP="001A33EA">
      <w:pPr>
        <w:spacing w:after="0" w:line="360" w:lineRule="auto"/>
        <w:ind w:firstLine="708"/>
        <w:jc w:val="both"/>
        <w:rPr>
          <w:sz w:val="24"/>
          <w:szCs w:val="24"/>
        </w:rPr>
      </w:pPr>
      <w:r w:rsidRPr="00677AFE">
        <w:rPr>
          <w:rFonts w:eastAsia="Times New Roman" w:cstheme="minorHAnsi"/>
          <w:sz w:val="24"/>
          <w:szCs w:val="24"/>
          <w:lang w:eastAsia="pl-PL"/>
        </w:rPr>
        <w:t xml:space="preserve">Mając na uwadze powyższe, stwierdzenie nieważności przedmiotowej </w:t>
      </w:r>
      <w:r w:rsidRPr="00677AFE">
        <w:rPr>
          <w:rFonts w:eastAsia="Times New Roman" w:cstheme="minorHAnsi"/>
          <w:bCs/>
          <w:sz w:val="24"/>
          <w:szCs w:val="24"/>
          <w:lang w:eastAsia="pl-PL"/>
        </w:rPr>
        <w:t xml:space="preserve">uchwały </w:t>
      </w:r>
      <w:r w:rsidRPr="00677AFE">
        <w:rPr>
          <w:rFonts w:eastAsia="Times New Roman" w:cstheme="minorHAnsi"/>
          <w:sz w:val="24"/>
          <w:szCs w:val="24"/>
          <w:lang w:eastAsia="pl-PL"/>
        </w:rPr>
        <w:t xml:space="preserve">Rady Miejskiej w </w:t>
      </w:r>
      <w:r>
        <w:rPr>
          <w:rFonts w:eastAsia="Times New Roman" w:cstheme="minorHAnsi"/>
          <w:sz w:val="24"/>
          <w:szCs w:val="24"/>
          <w:lang w:eastAsia="pl-PL"/>
        </w:rPr>
        <w:t>Radzyminie w całości</w:t>
      </w:r>
      <w:r w:rsidRPr="00677AFE">
        <w:rPr>
          <w:rFonts w:eastAsia="Times New Roman" w:cstheme="minorHAnsi"/>
          <w:sz w:val="24"/>
          <w:szCs w:val="24"/>
          <w:lang w:eastAsia="pl-PL"/>
        </w:rPr>
        <w:t xml:space="preserve"> jest w pełni uzasadnione.</w:t>
      </w:r>
    </w:p>
    <w:p w:rsidR="00BD4B7C" w:rsidRPr="00677AFE" w:rsidRDefault="00DE005B" w:rsidP="001A33EA">
      <w:pPr>
        <w:spacing w:after="0" w:line="360" w:lineRule="auto"/>
        <w:ind w:firstLine="708"/>
        <w:jc w:val="both"/>
        <w:rPr>
          <w:rFonts w:eastAsia="Times New Roman" w:cstheme="minorHAnsi"/>
          <w:sz w:val="24"/>
          <w:szCs w:val="24"/>
          <w:lang w:eastAsia="pl-PL"/>
        </w:rPr>
      </w:pPr>
      <w:r w:rsidRPr="00677AFE">
        <w:rPr>
          <w:rFonts w:eastAsia="Times New Roman" w:cstheme="minorHAnsi"/>
          <w:sz w:val="24"/>
          <w:szCs w:val="24"/>
          <w:lang w:eastAsia="pl-PL"/>
        </w:rPr>
        <w:t xml:space="preserve">Na niniejsze rozstrzygnięcie nadzorcze Miastu przysługuje skarga do Wojewódzkiego Sądu Administracyjnego w Warszawie w terminie 30 dni od daty jego doręczenia, wnoszona </w:t>
      </w:r>
      <w:r w:rsidRPr="00677AFE">
        <w:rPr>
          <w:rFonts w:eastAsia="Times New Roman" w:cstheme="minorHAnsi"/>
          <w:sz w:val="24"/>
          <w:szCs w:val="24"/>
          <w:lang w:eastAsia="pl-PL"/>
        </w:rPr>
        <w:br/>
        <w:t>za pośrednictwem organu, który skarżone orzeczenie wydał</w:t>
      </w:r>
      <w:r>
        <w:rPr>
          <w:rFonts w:eastAsia="Times New Roman" w:cstheme="minorHAnsi"/>
          <w:sz w:val="24"/>
          <w:szCs w:val="24"/>
          <w:lang w:eastAsia="pl-PL"/>
        </w:rPr>
        <w:t>.</w:t>
      </w:r>
    </w:p>
    <w:p w:rsidR="00BD4B7C" w:rsidRPr="00677AFE" w:rsidRDefault="00DE005B" w:rsidP="001A33EA">
      <w:pPr>
        <w:spacing w:after="0" w:line="360" w:lineRule="auto"/>
        <w:ind w:firstLine="708"/>
        <w:jc w:val="both"/>
        <w:rPr>
          <w:rFonts w:ascii="Calibri" w:eastAsia="Times New Roman" w:hAnsi="Calibri" w:cs="Calibri"/>
          <w:sz w:val="24"/>
          <w:szCs w:val="24"/>
          <w:lang w:eastAsia="pl-PL"/>
        </w:rPr>
      </w:pPr>
      <w:r w:rsidRPr="00677AFE">
        <w:rPr>
          <w:rFonts w:eastAsia="Times New Roman" w:cstheme="minorHAnsi"/>
          <w:sz w:val="24"/>
          <w:szCs w:val="24"/>
          <w:lang w:eastAsia="pl-PL"/>
        </w:rPr>
        <w:t>Informuję, że rozstrzygnięcie nadzorcze wstrzymuje wykonanie uchwały z mocy prawa, z dniem jego doręczenia.</w:t>
      </w:r>
    </w:p>
    <w:p w:rsidR="00BD4B7C" w:rsidRPr="00677AFE" w:rsidRDefault="00967660" w:rsidP="00BD4B7C">
      <w:pPr>
        <w:spacing w:after="0" w:line="240" w:lineRule="auto"/>
        <w:ind w:firstLine="708"/>
        <w:rPr>
          <w:rFonts w:eastAsia="Times New Roman" w:cstheme="minorHAnsi"/>
          <w:sz w:val="24"/>
          <w:szCs w:val="24"/>
          <w:lang w:eastAsia="pl-PL"/>
        </w:rPr>
      </w:pPr>
    </w:p>
    <w:p w:rsidR="00BD4B7C" w:rsidRPr="00677AFE" w:rsidRDefault="00DE005B" w:rsidP="00BD4B7C">
      <w:pPr>
        <w:widowControl w:val="0"/>
        <w:spacing w:after="20" w:line="240" w:lineRule="auto"/>
        <w:jc w:val="center"/>
        <w:rPr>
          <w:rFonts w:ascii="Calibri" w:hAnsi="Calibri" w:cs="Calibri"/>
          <w:i/>
          <w:sz w:val="24"/>
        </w:rPr>
      </w:pPr>
      <w:r w:rsidRPr="00677AFE">
        <w:rPr>
          <w:rFonts w:ascii="Calibri" w:hAnsi="Calibri" w:cs="Calibri"/>
          <w:i/>
          <w:sz w:val="24"/>
        </w:rPr>
        <w:t xml:space="preserve">                                                                                       Konstanty Radziwiłł</w:t>
      </w:r>
    </w:p>
    <w:p w:rsidR="00BD4B7C" w:rsidRPr="00677AFE" w:rsidRDefault="00DE005B" w:rsidP="00BD4B7C">
      <w:pPr>
        <w:widowControl w:val="0"/>
        <w:spacing w:after="20" w:line="240" w:lineRule="auto"/>
        <w:jc w:val="center"/>
        <w:rPr>
          <w:rFonts w:ascii="Calibri" w:hAnsi="Calibri" w:cs="Calibri"/>
          <w:i/>
          <w:sz w:val="24"/>
        </w:rPr>
      </w:pPr>
      <w:r w:rsidRPr="00677AFE">
        <w:rPr>
          <w:rFonts w:ascii="Calibri" w:hAnsi="Calibri" w:cs="Calibri"/>
          <w:i/>
          <w:sz w:val="24"/>
        </w:rPr>
        <w:t xml:space="preserve">                                                                                      Wojewoda Mazowiecki </w:t>
      </w:r>
    </w:p>
    <w:p w:rsidR="00BD4B7C" w:rsidRPr="00677AFE" w:rsidRDefault="00DE005B" w:rsidP="00BD4B7C">
      <w:pPr>
        <w:tabs>
          <w:tab w:val="left" w:pos="708"/>
          <w:tab w:val="left" w:pos="1416"/>
          <w:tab w:val="left" w:pos="2124"/>
          <w:tab w:val="left" w:pos="2832"/>
          <w:tab w:val="left" w:pos="3540"/>
          <w:tab w:val="left" w:pos="4248"/>
          <w:tab w:val="left" w:pos="4956"/>
          <w:tab w:val="left" w:pos="5400"/>
        </w:tabs>
        <w:spacing w:after="0" w:line="360" w:lineRule="auto"/>
        <w:ind w:firstLine="708"/>
        <w:jc w:val="both"/>
        <w:rPr>
          <w:rFonts w:eastAsia="Times New Roman" w:cstheme="minorHAnsi"/>
          <w:bCs/>
          <w:sz w:val="24"/>
          <w:szCs w:val="24"/>
          <w:lang w:eastAsia="pl-PL"/>
        </w:rPr>
      </w:pPr>
      <w:r w:rsidRPr="00677AFE">
        <w:rPr>
          <w:rFonts w:ascii="Times New Roman" w:eastAsia="Times New Roman" w:hAnsi="Times New Roman" w:cs="Times New Roman"/>
          <w:i/>
          <w:sz w:val="24"/>
          <w:lang w:eastAsia="pl-PL"/>
        </w:rPr>
        <w:t xml:space="preserve">                                                                                 /podpisano elektronicznie/</w:t>
      </w:r>
    </w:p>
    <w:p w:rsidR="00BD4B7C" w:rsidRPr="00677AFE" w:rsidRDefault="00967660" w:rsidP="00BD4B7C">
      <w:pPr>
        <w:tabs>
          <w:tab w:val="left" w:pos="708"/>
          <w:tab w:val="left" w:pos="1416"/>
          <w:tab w:val="left" w:pos="2124"/>
          <w:tab w:val="left" w:pos="2832"/>
          <w:tab w:val="left" w:pos="3540"/>
          <w:tab w:val="left" w:pos="4248"/>
          <w:tab w:val="left" w:pos="4956"/>
          <w:tab w:val="left" w:pos="5400"/>
        </w:tabs>
        <w:spacing w:after="0" w:line="360" w:lineRule="auto"/>
        <w:ind w:firstLine="708"/>
        <w:jc w:val="both"/>
        <w:rPr>
          <w:rFonts w:eastAsia="Times New Roman" w:cstheme="minorHAnsi"/>
          <w:bCs/>
          <w:sz w:val="24"/>
          <w:szCs w:val="24"/>
          <w:lang w:eastAsia="pl-PL"/>
        </w:rPr>
      </w:pPr>
    </w:p>
    <w:p w:rsidR="00484ACB" w:rsidRDefault="00967660"/>
    <w:sectPr w:rsidR="00484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5B"/>
    <w:rsid w:val="00967660"/>
    <w:rsid w:val="00DE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B19EF-B2DC-4910-A8DC-8A058F75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D4B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D4B7C"/>
    <w:pPr>
      <w:spacing w:before="100" w:beforeAutospacing="1" w:after="100" w:afterAutospacing="1" w:line="240" w:lineRule="auto"/>
    </w:pPr>
    <w:rPr>
      <w:rFonts w:ascii="Times New Roman" w:hAnsi="Times New Roman" w:cs="Times New Roman"/>
      <w:sz w:val="24"/>
      <w:szCs w:val="24"/>
      <w:lang w:eastAsia="pl-PL"/>
    </w:rPr>
  </w:style>
  <w:style w:type="character" w:styleId="Hipercze">
    <w:name w:val="Hyperlink"/>
    <w:basedOn w:val="Domylnaczcionkaakapitu"/>
    <w:uiPriority w:val="99"/>
    <w:semiHidden/>
    <w:unhideWhenUsed/>
    <w:rsid w:val="00BD4B7C"/>
    <w:rPr>
      <w:color w:val="0563C1"/>
      <w:u w:val="single"/>
    </w:rPr>
  </w:style>
  <w:style w:type="character" w:styleId="Uwydatnienie">
    <w:name w:val="Emphasis"/>
    <w:basedOn w:val="Domylnaczcionkaakapitu"/>
    <w:uiPriority w:val="20"/>
    <w:qFormat/>
    <w:rsid w:val="006F7FBE"/>
    <w:rPr>
      <w:i/>
      <w:iCs/>
    </w:rPr>
  </w:style>
  <w:style w:type="paragraph" w:styleId="Tekstprzypisukocowego">
    <w:name w:val="endnote text"/>
    <w:basedOn w:val="Normalny"/>
    <w:link w:val="TekstprzypisukocowegoZnak"/>
    <w:uiPriority w:val="99"/>
    <w:semiHidden/>
    <w:unhideWhenUsed/>
    <w:rsid w:val="00A561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1C2"/>
    <w:rPr>
      <w:sz w:val="20"/>
      <w:szCs w:val="20"/>
    </w:rPr>
  </w:style>
  <w:style w:type="character" w:styleId="Odwoanieprzypisukocowego">
    <w:name w:val="endnote reference"/>
    <w:basedOn w:val="Domylnaczcionkaakapitu"/>
    <w:uiPriority w:val="99"/>
    <w:semiHidden/>
    <w:unhideWhenUsed/>
    <w:rsid w:val="00A561C2"/>
    <w:rPr>
      <w:vertAlign w:val="superscript"/>
    </w:rPr>
  </w:style>
  <w:style w:type="character" w:styleId="Odwoaniedokomentarza">
    <w:name w:val="annotation reference"/>
    <w:basedOn w:val="Domylnaczcionkaakapitu"/>
    <w:uiPriority w:val="99"/>
    <w:semiHidden/>
    <w:unhideWhenUsed/>
    <w:rsid w:val="00481F55"/>
    <w:rPr>
      <w:sz w:val="16"/>
      <w:szCs w:val="16"/>
    </w:rPr>
  </w:style>
  <w:style w:type="paragraph" w:styleId="Tekstkomentarza">
    <w:name w:val="annotation text"/>
    <w:basedOn w:val="Normalny"/>
    <w:link w:val="TekstkomentarzaZnak"/>
    <w:uiPriority w:val="99"/>
    <w:semiHidden/>
    <w:unhideWhenUsed/>
    <w:rsid w:val="00481F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1F55"/>
    <w:rPr>
      <w:sz w:val="20"/>
      <w:szCs w:val="20"/>
    </w:rPr>
  </w:style>
  <w:style w:type="paragraph" w:styleId="Tematkomentarza">
    <w:name w:val="annotation subject"/>
    <w:basedOn w:val="Tekstkomentarza"/>
    <w:next w:val="Tekstkomentarza"/>
    <w:link w:val="TematkomentarzaZnak"/>
    <w:uiPriority w:val="99"/>
    <w:semiHidden/>
    <w:unhideWhenUsed/>
    <w:rsid w:val="00481F55"/>
    <w:rPr>
      <w:b/>
      <w:bCs/>
    </w:rPr>
  </w:style>
  <w:style w:type="character" w:customStyle="1" w:styleId="TematkomentarzaZnak">
    <w:name w:val="Temat komentarza Znak"/>
    <w:basedOn w:val="TekstkomentarzaZnak"/>
    <w:link w:val="Tematkomentarza"/>
    <w:uiPriority w:val="99"/>
    <w:semiHidden/>
    <w:rsid w:val="00481F55"/>
    <w:rPr>
      <w:b/>
      <w:bCs/>
      <w:sz w:val="20"/>
      <w:szCs w:val="20"/>
    </w:rPr>
  </w:style>
  <w:style w:type="paragraph" w:styleId="Tekstdymka">
    <w:name w:val="Balloon Text"/>
    <w:basedOn w:val="Normalny"/>
    <w:link w:val="TekstdymkaZnak"/>
    <w:uiPriority w:val="99"/>
    <w:semiHidden/>
    <w:unhideWhenUsed/>
    <w:rsid w:val="00481F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1F55"/>
    <w:rPr>
      <w:rFonts w:ascii="Segoe UI" w:hAnsi="Segoe UI" w:cs="Segoe UI"/>
      <w:sz w:val="18"/>
      <w:szCs w:val="18"/>
    </w:rPr>
  </w:style>
  <w:style w:type="paragraph" w:styleId="Poprawka">
    <w:name w:val="Revision"/>
    <w:hidden/>
    <w:uiPriority w:val="99"/>
    <w:semiHidden/>
    <w:rsid w:val="00233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webSettings" Target="web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image" Target="media/image1.png"/><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8466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Sioch-Suchecka</dc:creator>
  <cp:lastModifiedBy>Anna Kazimierska</cp:lastModifiedBy>
  <cp:revision>3</cp:revision>
  <dcterms:created xsi:type="dcterms:W3CDTF">2021-01-15T09:28:00Z</dcterms:created>
  <dcterms:modified xsi:type="dcterms:W3CDTF">2021-01-15T09:29:00Z</dcterms:modified>
</cp:coreProperties>
</file>