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0A" w:rsidRPr="00E95EF7" w:rsidRDefault="00E95EF7" w:rsidP="00E95EF7">
      <w:pPr>
        <w:jc w:val="center"/>
        <w:rPr>
          <w:b/>
        </w:rPr>
      </w:pPr>
      <w:r w:rsidRPr="00E95EF7">
        <w:rPr>
          <w:b/>
        </w:rPr>
        <w:t>Biogramy kandydatów na urząd Sędziego Europejskiego Trybunału Praw Człowieka</w:t>
      </w:r>
    </w:p>
    <w:p w:rsidR="00E95EF7" w:rsidRPr="00096F28" w:rsidRDefault="00E95EF7" w:rsidP="00E95EF7">
      <w:pPr>
        <w:jc w:val="both"/>
        <w:rPr>
          <w:rFonts w:ascii="Lato" w:hAnsi="Lato" w:cs="Times New Roman"/>
          <w:sz w:val="20"/>
          <w:szCs w:val="20"/>
        </w:rPr>
      </w:pPr>
      <w:r w:rsidRPr="00096F28">
        <w:rPr>
          <w:rFonts w:ascii="Lato" w:hAnsi="Lato" w:cs="Times New Roman"/>
          <w:b/>
          <w:bCs/>
          <w:sz w:val="20"/>
          <w:szCs w:val="20"/>
        </w:rPr>
        <w:t>Anna Adamska-Gallant –</w:t>
      </w:r>
      <w:r w:rsidRPr="00096F28">
        <w:rPr>
          <w:rFonts w:ascii="Lato" w:hAnsi="Lato" w:cs="Times New Roman"/>
          <w:sz w:val="20"/>
          <w:szCs w:val="20"/>
        </w:rPr>
        <w:t xml:space="preserve"> absolwentka Wydziału Prawa i Administracji Uniwersytetu Gdańskiego, Podyplomowego Studium Prawa Autorskiego i Własności Przemysłowej Uniwersytetu Jagiellońskiego oraz studium </w:t>
      </w:r>
      <w:r w:rsidRPr="00096F28">
        <w:rPr>
          <w:rFonts w:ascii="Lato" w:hAnsi="Lato" w:cs="Times New Roman"/>
          <w:i/>
          <w:iCs/>
          <w:sz w:val="20"/>
          <w:szCs w:val="20"/>
        </w:rPr>
        <w:t xml:space="preserve">English Law and Law of the European Union </w:t>
      </w:r>
      <w:r w:rsidRPr="00096F28">
        <w:rPr>
          <w:rFonts w:ascii="Lato" w:hAnsi="Lato" w:cs="Times New Roman"/>
          <w:sz w:val="20"/>
          <w:szCs w:val="20"/>
        </w:rPr>
        <w:t>organizowanego przez</w:t>
      </w:r>
      <w:r w:rsidRPr="00096F28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096F28">
        <w:rPr>
          <w:rFonts w:ascii="Lato" w:hAnsi="Lato" w:cs="Times New Roman"/>
          <w:sz w:val="20"/>
          <w:szCs w:val="20"/>
        </w:rPr>
        <w:t xml:space="preserve">Uniwersytet Gdański we współpracy z </w:t>
      </w:r>
      <w:r w:rsidRPr="00096F28">
        <w:rPr>
          <w:rFonts w:ascii="Lato" w:hAnsi="Lato" w:cs="Times New Roman"/>
          <w:i/>
          <w:iCs/>
          <w:sz w:val="20"/>
          <w:szCs w:val="20"/>
        </w:rPr>
        <w:t xml:space="preserve">University of Cambridge Board of Continuing Education. </w:t>
      </w:r>
      <w:r w:rsidRPr="00096F28">
        <w:rPr>
          <w:rFonts w:ascii="Lato" w:hAnsi="Lato" w:cs="Times New Roman"/>
          <w:sz w:val="20"/>
          <w:szCs w:val="20"/>
        </w:rPr>
        <w:t xml:space="preserve">W 2022 r. na Wydziale Prawa, Administracji i Ekonomii Uniwersytetu Wrocławskiego uzyskała stopień naukowy doktora nauk społecznych w dyscyplinie nauki prawne, broniąc z wyróżnieniem rozprawę doktorską na temat „Instytucja tzw. świadka wrażliwego. Analiza prawno-kryminalistyczna na podstawie praktyki międzynarodowych trybunałów karnych i sądów hybrydowych”. Jej zainteresowania naukowe koncentrują się na praktycznych aspektach pozyskiwania dowodów osobowych w postępowaniu karnym oraz międzynarodowym prawie karnym. Wykładowca w Katedrze Kryminologii i Nauk o Bezpieczeństwie Uniwersytetu Wrocławskiego. Przez 17 lat pełniła </w:t>
      </w:r>
      <w:r>
        <w:rPr>
          <w:rFonts w:ascii="Lato" w:hAnsi="Lato" w:cs="Times New Roman"/>
          <w:sz w:val="20"/>
          <w:szCs w:val="20"/>
        </w:rPr>
        <w:t>urząd sędziego w Polsce i na Bałkanach</w:t>
      </w:r>
      <w:r w:rsidRPr="00096F28">
        <w:rPr>
          <w:rFonts w:ascii="Lato" w:hAnsi="Lato" w:cs="Times New Roman"/>
          <w:sz w:val="20"/>
          <w:szCs w:val="20"/>
        </w:rPr>
        <w:t>, orzekając przede wszystkim w sprawach karnych. W latach 2013</w:t>
      </w:r>
      <w:r w:rsidR="00F44890">
        <w:rPr>
          <w:rFonts w:ascii="Lato" w:hAnsi="Lato" w:cs="Times New Roman"/>
          <w:sz w:val="20"/>
          <w:szCs w:val="20"/>
        </w:rPr>
        <w:t>-</w:t>
      </w:r>
      <w:r w:rsidRPr="00096F28">
        <w:rPr>
          <w:rFonts w:ascii="Lato" w:hAnsi="Lato" w:cs="Times New Roman"/>
          <w:sz w:val="20"/>
          <w:szCs w:val="20"/>
        </w:rPr>
        <w:t xml:space="preserve">2018 jako sędzia międzynarodowy w ramach misji praworządności Unii Europejskiej w Kosowie rozstrzygała m.in. sprawy o zbrodnie wojenne popełnione w trakcie konfliktów zbrojnych na terenie byłej Jugosławii. W 2015 r. została powołana na stanowisko sędziego Sądu Najwyższego Kosowa. Od 2018 r. pracuje jako niezależna ekspertka do spraw wymiaru sprawiedliwości i rządów prawa m.in. dla </w:t>
      </w:r>
      <w:r w:rsidRPr="00096F28">
        <w:rPr>
          <w:rFonts w:ascii="Lato" w:hAnsi="Lato" w:cs="Times New Roman"/>
          <w:i/>
          <w:iCs/>
          <w:sz w:val="20"/>
          <w:szCs w:val="20"/>
        </w:rPr>
        <w:t xml:space="preserve">Expertise France, </w:t>
      </w:r>
      <w:r w:rsidRPr="00096F28">
        <w:rPr>
          <w:rFonts w:ascii="Lato" w:hAnsi="Lato" w:cs="Times New Roman"/>
          <w:sz w:val="20"/>
          <w:szCs w:val="20"/>
        </w:rPr>
        <w:t>Rad</w:t>
      </w:r>
      <w:r>
        <w:rPr>
          <w:rFonts w:ascii="Lato" w:hAnsi="Lato" w:cs="Times New Roman"/>
          <w:sz w:val="20"/>
          <w:szCs w:val="20"/>
        </w:rPr>
        <w:t>y</w:t>
      </w:r>
      <w:r w:rsidRPr="00096F28">
        <w:rPr>
          <w:rFonts w:ascii="Lato" w:hAnsi="Lato" w:cs="Times New Roman"/>
          <w:sz w:val="20"/>
          <w:szCs w:val="20"/>
        </w:rPr>
        <w:t xml:space="preserve"> Europy oraz Bank</w:t>
      </w:r>
      <w:r>
        <w:rPr>
          <w:rFonts w:ascii="Lato" w:hAnsi="Lato" w:cs="Times New Roman"/>
          <w:sz w:val="20"/>
          <w:szCs w:val="20"/>
        </w:rPr>
        <w:t>u</w:t>
      </w:r>
      <w:r w:rsidRPr="00096F28">
        <w:rPr>
          <w:rFonts w:ascii="Lato" w:hAnsi="Lato" w:cs="Times New Roman"/>
          <w:sz w:val="20"/>
          <w:szCs w:val="20"/>
        </w:rPr>
        <w:t xml:space="preserve"> Światow</w:t>
      </w:r>
      <w:r>
        <w:rPr>
          <w:rFonts w:ascii="Lato" w:hAnsi="Lato" w:cs="Times New Roman"/>
          <w:sz w:val="20"/>
          <w:szCs w:val="20"/>
        </w:rPr>
        <w:t>ego</w:t>
      </w:r>
      <w:r w:rsidRPr="00096F28">
        <w:rPr>
          <w:rFonts w:ascii="Lato" w:hAnsi="Lato" w:cs="Times New Roman"/>
          <w:sz w:val="20"/>
          <w:szCs w:val="20"/>
        </w:rPr>
        <w:t>. Doradza w procesie budowania niezależnych sądów w Ukrainie, gdzie w latach 2018</w:t>
      </w:r>
      <w:r w:rsidR="00B05BA4">
        <w:rPr>
          <w:rFonts w:ascii="Lato" w:hAnsi="Lato" w:cs="Times New Roman"/>
          <w:sz w:val="20"/>
          <w:szCs w:val="20"/>
        </w:rPr>
        <w:t>-</w:t>
      </w:r>
      <w:r w:rsidRPr="00096F28">
        <w:rPr>
          <w:rFonts w:ascii="Lato" w:hAnsi="Lato" w:cs="Times New Roman"/>
          <w:sz w:val="20"/>
          <w:szCs w:val="20"/>
        </w:rPr>
        <w:t xml:space="preserve">2023 kierowała komponentem dotyczącym reformy sądownictwa w ramach projektu </w:t>
      </w:r>
      <w:r w:rsidRPr="00096F28">
        <w:rPr>
          <w:rFonts w:ascii="Lato" w:hAnsi="Lato" w:cs="Times New Roman"/>
          <w:i/>
          <w:iCs/>
          <w:sz w:val="20"/>
          <w:szCs w:val="20"/>
        </w:rPr>
        <w:t>EU Pravo</w:t>
      </w:r>
      <w:r>
        <w:rPr>
          <w:rFonts w:ascii="Lato" w:hAnsi="Lato" w:cs="Times New Roman"/>
          <w:i/>
          <w:iCs/>
          <w:sz w:val="20"/>
          <w:szCs w:val="20"/>
        </w:rPr>
        <w:t>-</w:t>
      </w:r>
      <w:r w:rsidRPr="00096F28">
        <w:rPr>
          <w:rFonts w:ascii="Lato" w:hAnsi="Lato" w:cs="Times New Roman"/>
          <w:i/>
          <w:iCs/>
          <w:sz w:val="20"/>
          <w:szCs w:val="20"/>
        </w:rPr>
        <w:t>Justice Ukraine</w:t>
      </w:r>
      <w:r w:rsidRPr="00096F28">
        <w:rPr>
          <w:rFonts w:ascii="Lato" w:hAnsi="Lato" w:cs="Times New Roman"/>
          <w:sz w:val="20"/>
          <w:szCs w:val="20"/>
        </w:rPr>
        <w:t xml:space="preserve">. W 2021 r. została </w:t>
      </w:r>
      <w:r w:rsidRPr="008174DC">
        <w:rPr>
          <w:rFonts w:ascii="Lato" w:hAnsi="Lato" w:cs="Times New Roman"/>
          <w:sz w:val="20"/>
          <w:szCs w:val="20"/>
        </w:rPr>
        <w:t xml:space="preserve">powołana przez </w:t>
      </w:r>
      <w:r w:rsidR="008174DC" w:rsidRPr="008174DC">
        <w:rPr>
          <w:rFonts w:ascii="Lato" w:hAnsi="Lato" w:cs="Times New Roman"/>
          <w:sz w:val="20"/>
          <w:szCs w:val="20"/>
        </w:rPr>
        <w:t>P</w:t>
      </w:r>
      <w:r w:rsidRPr="008174DC">
        <w:rPr>
          <w:rFonts w:ascii="Lato" w:hAnsi="Lato" w:cs="Times New Roman"/>
          <w:sz w:val="20"/>
          <w:szCs w:val="20"/>
        </w:rPr>
        <w:t>rezydenta W. Zełeńskiego</w:t>
      </w:r>
      <w:r w:rsidRPr="00096F28">
        <w:rPr>
          <w:rFonts w:ascii="Lato" w:hAnsi="Lato" w:cs="Times New Roman"/>
          <w:sz w:val="20"/>
          <w:szCs w:val="20"/>
        </w:rPr>
        <w:t xml:space="preserve"> do Rady Ekspertów ds. Reformy Sądownictwa. Jest ekspertką w zakresie przeciwd</w:t>
      </w:r>
      <w:r w:rsidR="008174DC">
        <w:rPr>
          <w:rFonts w:ascii="Lato" w:hAnsi="Lato" w:cs="Times New Roman"/>
          <w:sz w:val="20"/>
          <w:szCs w:val="20"/>
        </w:rPr>
        <w:t>ziałania</w:t>
      </w:r>
      <w:r w:rsidR="001A7245">
        <w:rPr>
          <w:rFonts w:ascii="Lato" w:hAnsi="Lato" w:cs="Times New Roman"/>
          <w:sz w:val="20"/>
          <w:szCs w:val="20"/>
        </w:rPr>
        <w:t xml:space="preserve"> handlu ludźmi i </w:t>
      </w:r>
      <w:r w:rsidR="001A7245" w:rsidRPr="008174DC">
        <w:rPr>
          <w:rFonts w:ascii="Lato" w:hAnsi="Lato" w:cs="Times New Roman"/>
          <w:sz w:val="20"/>
          <w:szCs w:val="20"/>
        </w:rPr>
        <w:t>łamani</w:t>
      </w:r>
      <w:r w:rsidR="008174DC" w:rsidRPr="008174DC">
        <w:rPr>
          <w:rFonts w:ascii="Lato" w:hAnsi="Lato" w:cs="Times New Roman"/>
          <w:sz w:val="20"/>
          <w:szCs w:val="20"/>
        </w:rPr>
        <w:t>u</w:t>
      </w:r>
      <w:r w:rsidRPr="008174DC">
        <w:rPr>
          <w:rFonts w:ascii="Lato" w:hAnsi="Lato" w:cs="Times New Roman"/>
          <w:sz w:val="20"/>
          <w:szCs w:val="20"/>
        </w:rPr>
        <w:t xml:space="preserve"> praw człowieka</w:t>
      </w:r>
      <w:bookmarkStart w:id="0" w:name="_GoBack"/>
      <w:bookmarkEnd w:id="0"/>
      <w:r w:rsidRPr="00096F28">
        <w:rPr>
          <w:rFonts w:ascii="Lato" w:hAnsi="Lato" w:cs="Times New Roman"/>
          <w:sz w:val="20"/>
          <w:szCs w:val="20"/>
        </w:rPr>
        <w:t xml:space="preserve"> w Centrum Badania </w:t>
      </w:r>
      <w:r>
        <w:rPr>
          <w:rFonts w:ascii="Lato" w:hAnsi="Lato" w:cs="Times New Roman"/>
          <w:sz w:val="20"/>
          <w:szCs w:val="20"/>
        </w:rPr>
        <w:t xml:space="preserve">nad </w:t>
      </w:r>
      <w:r w:rsidRPr="00096F28">
        <w:rPr>
          <w:rFonts w:ascii="Lato" w:hAnsi="Lato" w:cs="Times New Roman"/>
          <w:sz w:val="20"/>
          <w:szCs w:val="20"/>
        </w:rPr>
        <w:t>Handl</w:t>
      </w:r>
      <w:r>
        <w:rPr>
          <w:rFonts w:ascii="Lato" w:hAnsi="Lato" w:cs="Times New Roman"/>
          <w:sz w:val="20"/>
          <w:szCs w:val="20"/>
        </w:rPr>
        <w:t>em</w:t>
      </w:r>
      <w:r w:rsidRPr="00096F28">
        <w:rPr>
          <w:rFonts w:ascii="Lato" w:hAnsi="Lato" w:cs="Times New Roman"/>
          <w:sz w:val="20"/>
          <w:szCs w:val="20"/>
        </w:rPr>
        <w:t xml:space="preserve"> Ludźmi Uniwersytetu Wrocławskiego oraz w projekcie EU4FAST na Bałkanach Zachodnich</w:t>
      </w:r>
      <w:r w:rsidRPr="00096F28">
        <w:rPr>
          <w:rFonts w:ascii="Lato" w:hAnsi="Lato" w:cs="Times New Roman"/>
          <w:i/>
          <w:iCs/>
          <w:sz w:val="20"/>
          <w:szCs w:val="20"/>
        </w:rPr>
        <w:t xml:space="preserve">. </w:t>
      </w:r>
      <w:r w:rsidRPr="00096F28">
        <w:rPr>
          <w:rFonts w:ascii="Lato" w:hAnsi="Lato" w:cs="Times New Roman"/>
          <w:sz w:val="20"/>
          <w:szCs w:val="20"/>
        </w:rPr>
        <w:t>W 2020 r. została wpisana na listę adwokatów w Lublinie, a od 2021 r. prowadzi również indywidualną kancelarię adwokacką, specjalizując się w sprawach karnych, prawach człowieka oraz międzynarodowym prawie karnym. W latach 2009</w:t>
      </w:r>
      <w:r w:rsidR="0055699B">
        <w:rPr>
          <w:rFonts w:ascii="Lato" w:hAnsi="Lato" w:cs="Times New Roman"/>
          <w:sz w:val="20"/>
          <w:szCs w:val="20"/>
        </w:rPr>
        <w:t>-</w:t>
      </w:r>
      <w:r w:rsidRPr="00096F28">
        <w:rPr>
          <w:rFonts w:ascii="Lato" w:hAnsi="Lato" w:cs="Times New Roman"/>
          <w:sz w:val="20"/>
          <w:szCs w:val="20"/>
        </w:rPr>
        <w:t>2013 była prezeską lubelskiego oddziału Stowarzyszenia Sędziów Polskich „Iustitia”, zaś w latach 2010</w:t>
      </w:r>
      <w:r w:rsidR="0055699B">
        <w:rPr>
          <w:rFonts w:ascii="Lato" w:hAnsi="Lato" w:cs="Times New Roman"/>
          <w:sz w:val="20"/>
          <w:szCs w:val="20"/>
        </w:rPr>
        <w:t>-</w:t>
      </w:r>
      <w:r w:rsidRPr="00096F28">
        <w:rPr>
          <w:rFonts w:ascii="Lato" w:hAnsi="Lato" w:cs="Times New Roman"/>
          <w:sz w:val="20"/>
          <w:szCs w:val="20"/>
        </w:rPr>
        <w:t xml:space="preserve">2012 członkinią zarządu krajowego. </w:t>
      </w:r>
      <w:r w:rsidRPr="00A1491A">
        <w:rPr>
          <w:rFonts w:ascii="Lato" w:hAnsi="Lato" w:cs="Times New Roman"/>
          <w:sz w:val="20"/>
          <w:szCs w:val="20"/>
        </w:rPr>
        <w:t xml:space="preserve">Współpracuje ze stowarzyszeniem Europejscy Sędziowie dla Demokracji i Wolności (MEDEL – </w:t>
      </w:r>
      <w:r w:rsidRPr="00A1491A">
        <w:rPr>
          <w:rFonts w:ascii="Lato" w:hAnsi="Lato" w:cs="Times New Roman"/>
          <w:i/>
          <w:iCs/>
          <w:sz w:val="20"/>
          <w:szCs w:val="20"/>
        </w:rPr>
        <w:t>Magistrats Européens pour la Démocratie et les Libertés</w:t>
      </w:r>
      <w:r w:rsidRPr="00A1491A">
        <w:rPr>
          <w:rFonts w:ascii="Lato" w:hAnsi="Lato" w:cs="Times New Roman"/>
          <w:iCs/>
          <w:sz w:val="20"/>
          <w:szCs w:val="20"/>
        </w:rPr>
        <w:t>)</w:t>
      </w:r>
      <w:r w:rsidRPr="00A1491A">
        <w:rPr>
          <w:rFonts w:ascii="Lato" w:hAnsi="Lato" w:cs="Times New Roman"/>
          <w:sz w:val="20"/>
          <w:szCs w:val="20"/>
        </w:rPr>
        <w:t xml:space="preserve">. </w:t>
      </w:r>
      <w:r w:rsidRPr="00096F28">
        <w:rPr>
          <w:rFonts w:ascii="Lato" w:hAnsi="Lato" w:cs="Times New Roman"/>
          <w:sz w:val="20"/>
          <w:szCs w:val="20"/>
        </w:rPr>
        <w:t>Aktywnie działa w Projekcie „</w:t>
      </w:r>
      <w:r w:rsidRPr="00287882">
        <w:rPr>
          <w:rFonts w:ascii="Lato" w:hAnsi="Lato" w:cs="Times New Roman"/>
          <w:i/>
          <w:iCs/>
          <w:sz w:val="20"/>
          <w:szCs w:val="20"/>
        </w:rPr>
        <w:t>Sunflowers</w:t>
      </w:r>
      <w:r w:rsidRPr="00096F28">
        <w:rPr>
          <w:rFonts w:ascii="Lato" w:hAnsi="Lato" w:cs="Times New Roman"/>
          <w:sz w:val="20"/>
          <w:szCs w:val="20"/>
        </w:rPr>
        <w:t>”, który zajmuje się gromadzeniem informacji o zbrodniach wojennych popełnionych w Ukrainie</w:t>
      </w:r>
      <w:r>
        <w:rPr>
          <w:rFonts w:ascii="Lato" w:hAnsi="Lato" w:cs="Times New Roman"/>
          <w:sz w:val="20"/>
          <w:szCs w:val="20"/>
        </w:rPr>
        <w:t>. J</w:t>
      </w:r>
      <w:r w:rsidRPr="00096F28">
        <w:rPr>
          <w:rFonts w:ascii="Lato" w:hAnsi="Lato" w:cs="Times New Roman"/>
          <w:sz w:val="20"/>
          <w:szCs w:val="20"/>
        </w:rPr>
        <w:t xml:space="preserve">est </w:t>
      </w:r>
      <w:r>
        <w:rPr>
          <w:rFonts w:ascii="Lato" w:hAnsi="Lato" w:cs="Times New Roman"/>
          <w:sz w:val="20"/>
          <w:szCs w:val="20"/>
        </w:rPr>
        <w:t xml:space="preserve">także </w:t>
      </w:r>
      <w:r w:rsidRPr="00096F28">
        <w:rPr>
          <w:rFonts w:ascii="Lato" w:hAnsi="Lato" w:cs="Times New Roman"/>
          <w:sz w:val="20"/>
          <w:szCs w:val="20"/>
        </w:rPr>
        <w:t>członkinią Stowarzyszenia im. Prof. Zbigniewa Hołdy oraz sekcji polskiej Międzynarodowego Stowarzyszenia Prawa Karnego (</w:t>
      </w:r>
      <w:r w:rsidRPr="00096F28">
        <w:rPr>
          <w:rFonts w:ascii="Lato" w:hAnsi="Lato" w:cs="Times New Roman"/>
          <w:i/>
          <w:iCs/>
          <w:sz w:val="20"/>
          <w:szCs w:val="20"/>
        </w:rPr>
        <w:t>Association Internationale Droit Pénal)</w:t>
      </w:r>
      <w:r w:rsidRPr="00096F28">
        <w:rPr>
          <w:rFonts w:ascii="Lato" w:hAnsi="Lato" w:cs="Times New Roman"/>
          <w:sz w:val="20"/>
          <w:szCs w:val="20"/>
        </w:rPr>
        <w:t xml:space="preserve">. Włada biegle językami angielskim, francuskim i ukraińskim, w stopniu zaś zaawansowanym – serbskim, chorwackim i rosyjskim. </w:t>
      </w:r>
    </w:p>
    <w:p w:rsidR="00E95EF7" w:rsidRPr="00782DE0" w:rsidRDefault="00E95EF7" w:rsidP="00E95EF7">
      <w:pPr>
        <w:jc w:val="both"/>
        <w:rPr>
          <w:rFonts w:ascii="Lato" w:hAnsi="Lato" w:cstheme="minorHAnsi"/>
          <w:sz w:val="20"/>
          <w:szCs w:val="20"/>
        </w:rPr>
      </w:pPr>
      <w:r w:rsidRPr="00782DE0">
        <w:rPr>
          <w:rFonts w:ascii="Lato" w:hAnsi="Lato" w:cstheme="minorHAnsi"/>
          <w:b/>
          <w:sz w:val="20"/>
          <w:szCs w:val="20"/>
        </w:rPr>
        <w:t xml:space="preserve">Małgorzata Wąsek-Wiaderek </w:t>
      </w:r>
      <w:r w:rsidRPr="00096F28">
        <w:rPr>
          <w:rFonts w:ascii="Lato" w:hAnsi="Lato" w:cs="Times New Roman"/>
          <w:b/>
          <w:bCs/>
          <w:sz w:val="20"/>
          <w:szCs w:val="20"/>
        </w:rPr>
        <w:t>–</w:t>
      </w:r>
      <w:r>
        <w:rPr>
          <w:rFonts w:ascii="Lato" w:hAnsi="Lato" w:cstheme="minorHAnsi"/>
          <w:b/>
          <w:sz w:val="20"/>
          <w:szCs w:val="20"/>
        </w:rPr>
        <w:t xml:space="preserve"> </w:t>
      </w:r>
      <w:r w:rsidRPr="00782DE0">
        <w:rPr>
          <w:rFonts w:ascii="Lato" w:hAnsi="Lato" w:cstheme="minorHAnsi"/>
          <w:sz w:val="20"/>
          <w:szCs w:val="20"/>
        </w:rPr>
        <w:t xml:space="preserve">absolwentka Katolickiego Uniwersytetu Lubelskiego Jana Pawła II oraz Katolickiego Uniwersytetu w Leuven w Belgii, gdzie uzyskała tytuł Master of Laws (LL.M.) na podstawie </w:t>
      </w:r>
      <w:r>
        <w:rPr>
          <w:rFonts w:ascii="Lato" w:hAnsi="Lato" w:cstheme="minorHAnsi"/>
          <w:sz w:val="20"/>
          <w:szCs w:val="20"/>
        </w:rPr>
        <w:t>rozprawy</w:t>
      </w:r>
      <w:r w:rsidRPr="00782DE0">
        <w:rPr>
          <w:rFonts w:ascii="Lato" w:hAnsi="Lato" w:cstheme="minorHAnsi"/>
          <w:sz w:val="20"/>
          <w:szCs w:val="20"/>
        </w:rPr>
        <w:t xml:space="preserve"> pt. </w:t>
      </w:r>
      <w:r w:rsidRPr="00874BE3">
        <w:rPr>
          <w:rFonts w:ascii="Lato" w:hAnsi="Lato" w:cstheme="minorHAnsi"/>
          <w:i/>
          <w:iCs/>
          <w:sz w:val="20"/>
          <w:szCs w:val="20"/>
        </w:rPr>
        <w:t xml:space="preserve">Zasada </w:t>
      </w:r>
      <w:r>
        <w:rPr>
          <w:rFonts w:ascii="Lato" w:hAnsi="Lato" w:cstheme="minorHAnsi"/>
          <w:i/>
          <w:iCs/>
          <w:sz w:val="20"/>
          <w:szCs w:val="20"/>
        </w:rPr>
        <w:t>„</w:t>
      </w:r>
      <w:r w:rsidRPr="00874BE3">
        <w:rPr>
          <w:rFonts w:ascii="Lato" w:hAnsi="Lato" w:cstheme="minorHAnsi"/>
          <w:i/>
          <w:iCs/>
          <w:sz w:val="20"/>
          <w:szCs w:val="20"/>
        </w:rPr>
        <w:t>równości broni” w postępowaniu karnym w świetle art. 6 Europejskiej Konwencji Praw człowieka i jej funkcje w wymiarze sprawiedliwości wybranych państw europejskich</w:t>
      </w:r>
      <w:r>
        <w:rPr>
          <w:rFonts w:ascii="Lato" w:hAnsi="Lato" w:cstheme="minorHAnsi"/>
          <w:i/>
          <w:iCs/>
          <w:sz w:val="20"/>
          <w:szCs w:val="20"/>
        </w:rPr>
        <w:t xml:space="preserve">. </w:t>
      </w:r>
      <w:r w:rsidRPr="00E95EF7">
        <w:rPr>
          <w:rFonts w:ascii="Lato" w:hAnsi="Lato" w:cstheme="minorHAnsi"/>
          <w:i/>
          <w:iCs/>
          <w:sz w:val="20"/>
          <w:szCs w:val="20"/>
          <w:lang w:val="en-US"/>
        </w:rPr>
        <w:t xml:space="preserve">Perspektywa porównawcza </w:t>
      </w:r>
      <w:r w:rsidRPr="00E95EF7">
        <w:rPr>
          <w:rFonts w:ascii="Lato" w:hAnsi="Lato" w:cstheme="minorHAnsi"/>
          <w:sz w:val="20"/>
          <w:szCs w:val="20"/>
          <w:lang w:val="en-US"/>
        </w:rPr>
        <w:t xml:space="preserve">(praca napisana w języku angielskim; wydana następnie drukiem pod tytułem: </w:t>
      </w:r>
      <w:r w:rsidRPr="00E95EF7">
        <w:rPr>
          <w:rFonts w:ascii="Lato" w:hAnsi="Lato" w:cstheme="minorHAnsi"/>
          <w:i/>
          <w:iCs/>
          <w:sz w:val="20"/>
          <w:szCs w:val="20"/>
          <w:lang w:val="en-US"/>
        </w:rPr>
        <w:t xml:space="preserve">The principle of “equality of arms” in criminal procedure under Article 6 of the European Convention on Human Rights and its functions in criminal justice of selected European countries. </w:t>
      </w:r>
      <w:r w:rsidRPr="003827FA">
        <w:rPr>
          <w:rFonts w:ascii="Lato" w:hAnsi="Lato" w:cstheme="minorHAnsi"/>
          <w:i/>
          <w:iCs/>
          <w:sz w:val="20"/>
          <w:szCs w:val="20"/>
          <w:lang w:val="en-US"/>
        </w:rPr>
        <w:t>A comparative view,</w:t>
      </w:r>
      <w:r w:rsidRPr="003827FA">
        <w:rPr>
          <w:rFonts w:ascii="Lato" w:hAnsi="Lato" w:cstheme="minorHAnsi"/>
          <w:sz w:val="20"/>
          <w:szCs w:val="20"/>
          <w:lang w:val="en-US"/>
        </w:rPr>
        <w:t xml:space="preserve"> Leuven Law Series nr 13, Leuven 2000). Doktor habilitowany nauk prawnych. </w:t>
      </w:r>
      <w:r w:rsidRPr="00782DE0">
        <w:rPr>
          <w:rFonts w:ascii="Lato" w:hAnsi="Lato" w:cstheme="minorHAnsi"/>
          <w:sz w:val="20"/>
          <w:szCs w:val="20"/>
        </w:rPr>
        <w:t xml:space="preserve">Od 1996 r. zatrudniona na Katolickim Uniwersytecie Lubelskim, najpierw jako asystent, następnie adiunkt, a obecnie – profesor uczelni; kierownik Katedry Postępowania Karnego na Wydziale Prawa, Prawa Kanonicznego i Administracji KUL. </w:t>
      </w:r>
      <w:r w:rsidRPr="00521A73">
        <w:rPr>
          <w:rFonts w:ascii="Lato" w:hAnsi="Lato" w:cstheme="minorHAnsi"/>
          <w:sz w:val="20"/>
          <w:szCs w:val="20"/>
        </w:rPr>
        <w:t>W latach 1997</w:t>
      </w:r>
      <w:r w:rsidR="00FB57B9">
        <w:rPr>
          <w:rFonts w:ascii="Lato" w:hAnsi="Lato" w:cstheme="minorHAnsi"/>
          <w:sz w:val="20"/>
          <w:szCs w:val="20"/>
        </w:rPr>
        <w:t>-</w:t>
      </w:r>
      <w:r w:rsidRPr="00521A73">
        <w:rPr>
          <w:rFonts w:ascii="Lato" w:hAnsi="Lato" w:cstheme="minorHAnsi"/>
          <w:sz w:val="20"/>
          <w:szCs w:val="20"/>
        </w:rPr>
        <w:t>2004 pracowała jako prawni</w:t>
      </w:r>
      <w:r>
        <w:rPr>
          <w:rFonts w:ascii="Lato" w:hAnsi="Lato" w:cstheme="minorHAnsi"/>
          <w:sz w:val="20"/>
          <w:szCs w:val="20"/>
        </w:rPr>
        <w:t>cz</w:t>
      </w:r>
      <w:r w:rsidRPr="00521A73">
        <w:rPr>
          <w:rFonts w:ascii="Lato" w:hAnsi="Lato" w:cstheme="minorHAnsi"/>
          <w:sz w:val="20"/>
          <w:szCs w:val="20"/>
        </w:rPr>
        <w:t>k</w:t>
      </w:r>
      <w:r>
        <w:rPr>
          <w:rFonts w:ascii="Lato" w:hAnsi="Lato" w:cstheme="minorHAnsi"/>
          <w:sz w:val="20"/>
          <w:szCs w:val="20"/>
        </w:rPr>
        <w:t>a</w:t>
      </w:r>
      <w:r w:rsidRPr="00521A73">
        <w:rPr>
          <w:rFonts w:ascii="Lato" w:hAnsi="Lato" w:cstheme="minorHAnsi"/>
          <w:sz w:val="20"/>
          <w:szCs w:val="20"/>
        </w:rPr>
        <w:t xml:space="preserve"> w zespole Pełnomocnika Ministra Spraw Zagranicznych do spraw reprezentowania RP przed Europejskim Trybunałem Praw Człowieka, wielokrotnie prezentując stanowisko rządu polskiego na rozprawach przed E</w:t>
      </w:r>
      <w:r>
        <w:rPr>
          <w:rFonts w:ascii="Lato" w:hAnsi="Lato" w:cstheme="minorHAnsi"/>
          <w:sz w:val="20"/>
          <w:szCs w:val="20"/>
        </w:rPr>
        <w:t>TPC</w:t>
      </w:r>
      <w:r w:rsidRPr="00521A73">
        <w:rPr>
          <w:rFonts w:ascii="Lato" w:hAnsi="Lato" w:cstheme="minorHAnsi"/>
          <w:sz w:val="20"/>
          <w:szCs w:val="20"/>
        </w:rPr>
        <w:t>, jak również w czasie posiedzeń Komitetu Ministrów Rady Europy dotyczących</w:t>
      </w:r>
      <w:r w:rsidRPr="00782DE0">
        <w:rPr>
          <w:rFonts w:ascii="Lato" w:hAnsi="Lato" w:cstheme="minorHAnsi"/>
          <w:sz w:val="20"/>
          <w:szCs w:val="20"/>
        </w:rPr>
        <w:t xml:space="preserve"> wykonywania wyroków E</w:t>
      </w:r>
      <w:r>
        <w:rPr>
          <w:rFonts w:ascii="Lato" w:hAnsi="Lato" w:cstheme="minorHAnsi"/>
          <w:sz w:val="20"/>
          <w:szCs w:val="20"/>
        </w:rPr>
        <w:t>TPC</w:t>
      </w:r>
      <w:r w:rsidRPr="00782DE0">
        <w:rPr>
          <w:rFonts w:ascii="Lato" w:hAnsi="Lato" w:cstheme="minorHAnsi"/>
          <w:sz w:val="20"/>
          <w:szCs w:val="20"/>
        </w:rPr>
        <w:t>.</w:t>
      </w:r>
      <w:r>
        <w:rPr>
          <w:rFonts w:ascii="Lato" w:hAnsi="Lato" w:cstheme="minorHAnsi"/>
          <w:sz w:val="20"/>
          <w:szCs w:val="20"/>
        </w:rPr>
        <w:t xml:space="preserve"> </w:t>
      </w:r>
      <w:r w:rsidRPr="00521A73">
        <w:rPr>
          <w:rFonts w:ascii="Lato" w:hAnsi="Lato" w:cstheme="minorHAnsi"/>
          <w:sz w:val="20"/>
          <w:szCs w:val="20"/>
        </w:rPr>
        <w:t>W latach 2004</w:t>
      </w:r>
      <w:r w:rsidR="00FB57B9">
        <w:rPr>
          <w:rFonts w:ascii="Lato" w:hAnsi="Lato" w:cs="Times New Roman"/>
          <w:b/>
          <w:bCs/>
          <w:sz w:val="20"/>
          <w:szCs w:val="20"/>
        </w:rPr>
        <w:t>-</w:t>
      </w:r>
      <w:r w:rsidRPr="00521A73">
        <w:rPr>
          <w:rFonts w:ascii="Lato" w:hAnsi="Lato" w:cstheme="minorHAnsi"/>
          <w:sz w:val="20"/>
          <w:szCs w:val="20"/>
        </w:rPr>
        <w:t xml:space="preserve">2018 </w:t>
      </w:r>
      <w:r>
        <w:rPr>
          <w:rFonts w:ascii="Lato" w:hAnsi="Lato" w:cstheme="minorHAnsi"/>
          <w:sz w:val="20"/>
          <w:szCs w:val="20"/>
        </w:rPr>
        <w:t>pracowała w</w:t>
      </w:r>
      <w:r w:rsidRPr="00521A73">
        <w:rPr>
          <w:rFonts w:ascii="Lato" w:hAnsi="Lato" w:cstheme="minorHAnsi"/>
          <w:sz w:val="20"/>
          <w:szCs w:val="20"/>
        </w:rPr>
        <w:t xml:space="preserve"> Biur</w:t>
      </w:r>
      <w:r>
        <w:rPr>
          <w:rFonts w:ascii="Lato" w:hAnsi="Lato" w:cstheme="minorHAnsi"/>
          <w:sz w:val="20"/>
          <w:szCs w:val="20"/>
        </w:rPr>
        <w:t>ze</w:t>
      </w:r>
      <w:r w:rsidRPr="00521A73">
        <w:rPr>
          <w:rFonts w:ascii="Lato" w:hAnsi="Lato" w:cstheme="minorHAnsi"/>
          <w:sz w:val="20"/>
          <w:szCs w:val="20"/>
        </w:rPr>
        <w:t xml:space="preserve"> Studiów i Analiz Sądu Najwyższego. </w:t>
      </w:r>
      <w:r>
        <w:rPr>
          <w:rFonts w:ascii="Lato" w:hAnsi="Lato" w:cstheme="minorHAnsi"/>
          <w:sz w:val="20"/>
          <w:szCs w:val="20"/>
        </w:rPr>
        <w:t>O</w:t>
      </w:r>
      <w:r w:rsidRPr="00782DE0">
        <w:rPr>
          <w:rFonts w:ascii="Lato" w:hAnsi="Lato" w:cstheme="minorHAnsi"/>
          <w:sz w:val="20"/>
          <w:szCs w:val="20"/>
        </w:rPr>
        <w:t>d 2018 r. sędzia Sądu Najwyższego orzekając</w:t>
      </w:r>
      <w:r>
        <w:rPr>
          <w:rFonts w:ascii="Lato" w:hAnsi="Lato" w:cstheme="minorHAnsi"/>
          <w:sz w:val="20"/>
          <w:szCs w:val="20"/>
        </w:rPr>
        <w:t>a</w:t>
      </w:r>
      <w:r w:rsidRPr="00782DE0">
        <w:rPr>
          <w:rFonts w:ascii="Lato" w:hAnsi="Lato" w:cstheme="minorHAnsi"/>
          <w:sz w:val="20"/>
          <w:szCs w:val="20"/>
        </w:rPr>
        <w:t xml:space="preserve"> w Izbie Karnej</w:t>
      </w:r>
      <w:r w:rsidRPr="00521A73">
        <w:rPr>
          <w:rFonts w:ascii="Lato" w:hAnsi="Lato" w:cstheme="minorHAnsi"/>
          <w:sz w:val="20"/>
          <w:szCs w:val="20"/>
        </w:rPr>
        <w:t>. W latach 2009</w:t>
      </w:r>
      <w:r w:rsidRPr="00096F28">
        <w:rPr>
          <w:rFonts w:ascii="Lato" w:hAnsi="Lato" w:cs="Times New Roman"/>
          <w:b/>
          <w:bCs/>
          <w:sz w:val="20"/>
          <w:szCs w:val="20"/>
        </w:rPr>
        <w:t>–</w:t>
      </w:r>
      <w:r w:rsidRPr="00521A73">
        <w:rPr>
          <w:rFonts w:ascii="Lato" w:hAnsi="Lato" w:cstheme="minorHAnsi"/>
          <w:sz w:val="20"/>
          <w:szCs w:val="20"/>
        </w:rPr>
        <w:t xml:space="preserve">2016 </w:t>
      </w:r>
      <w:r>
        <w:rPr>
          <w:rFonts w:ascii="Lato" w:hAnsi="Lato" w:cstheme="minorHAnsi"/>
          <w:sz w:val="20"/>
          <w:szCs w:val="20"/>
        </w:rPr>
        <w:t xml:space="preserve">oraz </w:t>
      </w:r>
      <w:r w:rsidRPr="00782DE0">
        <w:rPr>
          <w:rFonts w:ascii="Lato" w:hAnsi="Lato" w:cstheme="minorHAnsi"/>
          <w:sz w:val="20"/>
          <w:szCs w:val="20"/>
        </w:rPr>
        <w:t>od kwietnia 2024</w:t>
      </w:r>
      <w:r w:rsidR="00FB57B9">
        <w:rPr>
          <w:rFonts w:ascii="Lato" w:hAnsi="Lato" w:cstheme="minorHAnsi"/>
          <w:sz w:val="20"/>
          <w:szCs w:val="20"/>
        </w:rPr>
        <w:t xml:space="preserve"> r.</w:t>
      </w:r>
      <w:r w:rsidRPr="00782DE0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 xml:space="preserve">członkini </w:t>
      </w:r>
      <w:r w:rsidRPr="00521A73">
        <w:rPr>
          <w:rFonts w:ascii="Lato" w:hAnsi="Lato" w:cstheme="minorHAnsi"/>
          <w:sz w:val="20"/>
          <w:szCs w:val="20"/>
        </w:rPr>
        <w:t>Komisji Kodyfikacyjnej Prawa Karnego. W kadencji 2014</w:t>
      </w:r>
      <w:r w:rsidRPr="00096F28">
        <w:rPr>
          <w:rFonts w:ascii="Lato" w:hAnsi="Lato" w:cs="Times New Roman"/>
          <w:b/>
          <w:bCs/>
          <w:sz w:val="20"/>
          <w:szCs w:val="20"/>
        </w:rPr>
        <w:t>–</w:t>
      </w:r>
      <w:r w:rsidRPr="00521A73">
        <w:rPr>
          <w:rFonts w:ascii="Lato" w:hAnsi="Lato" w:cstheme="minorHAnsi"/>
          <w:sz w:val="20"/>
          <w:szCs w:val="20"/>
        </w:rPr>
        <w:t>2016 wskazana przez Polskę jako sędzia ad hoc E</w:t>
      </w:r>
      <w:r>
        <w:rPr>
          <w:rFonts w:ascii="Lato" w:hAnsi="Lato" w:cstheme="minorHAnsi"/>
          <w:sz w:val="20"/>
          <w:szCs w:val="20"/>
        </w:rPr>
        <w:t>TPC</w:t>
      </w:r>
      <w:r w:rsidRPr="00521A73">
        <w:rPr>
          <w:rFonts w:ascii="Lato" w:hAnsi="Lato" w:cstheme="minorHAnsi"/>
          <w:sz w:val="20"/>
          <w:szCs w:val="20"/>
        </w:rPr>
        <w:t xml:space="preserve">. W latach </w:t>
      </w:r>
      <w:r w:rsidRPr="00874BE3">
        <w:rPr>
          <w:rFonts w:ascii="Lato" w:hAnsi="Lato" w:cstheme="minorHAnsi"/>
          <w:sz w:val="20"/>
          <w:szCs w:val="20"/>
        </w:rPr>
        <w:t>2012</w:t>
      </w:r>
      <w:r w:rsidR="00FB57B9">
        <w:rPr>
          <w:rFonts w:ascii="Lato" w:hAnsi="Lato" w:cs="Times New Roman"/>
          <w:b/>
          <w:bCs/>
          <w:sz w:val="20"/>
          <w:szCs w:val="20"/>
        </w:rPr>
        <w:t>-</w:t>
      </w:r>
      <w:r w:rsidRPr="00874BE3">
        <w:rPr>
          <w:rFonts w:ascii="Lato" w:hAnsi="Lato" w:cstheme="minorHAnsi"/>
          <w:sz w:val="20"/>
          <w:szCs w:val="20"/>
        </w:rPr>
        <w:t xml:space="preserve">2016 </w:t>
      </w:r>
      <w:r w:rsidRPr="00096F28">
        <w:rPr>
          <w:rFonts w:ascii="Lato" w:hAnsi="Lato" w:cs="Times New Roman"/>
          <w:b/>
          <w:bCs/>
          <w:sz w:val="20"/>
          <w:szCs w:val="20"/>
        </w:rPr>
        <w:t>–</w:t>
      </w:r>
      <w:r w:rsidRPr="00874BE3">
        <w:rPr>
          <w:rFonts w:ascii="Lato" w:hAnsi="Lato" w:cstheme="minorHAnsi"/>
          <w:sz w:val="20"/>
          <w:szCs w:val="20"/>
        </w:rPr>
        <w:t xml:space="preserve"> członkini Doradczego Komitetu Prawnego przy Ministrze Spraw Zagranicznych. </w:t>
      </w:r>
      <w:r w:rsidRPr="00782DE0">
        <w:rPr>
          <w:rFonts w:ascii="Lato" w:hAnsi="Lato" w:cstheme="minorHAnsi"/>
          <w:sz w:val="20"/>
          <w:szCs w:val="20"/>
        </w:rPr>
        <w:t>Jest autorką ponad 100 publikacji z zakresu prawa karnego procesowego, ochrony praw człowieka w procesie karnym oraz współpracy sądowej w sprawach karnych w Unii Europejskiej</w:t>
      </w:r>
      <w:r>
        <w:rPr>
          <w:rFonts w:ascii="Lato" w:hAnsi="Lato" w:cstheme="minorHAnsi"/>
          <w:sz w:val="20"/>
          <w:szCs w:val="20"/>
        </w:rPr>
        <w:t xml:space="preserve">, w tym kilkunastu opracowań </w:t>
      </w:r>
      <w:r w:rsidRPr="00447ECF">
        <w:rPr>
          <w:rFonts w:ascii="Lato" w:hAnsi="Lato" w:cstheme="minorHAnsi"/>
          <w:sz w:val="20"/>
          <w:szCs w:val="20"/>
        </w:rPr>
        <w:t xml:space="preserve">w języku angielskim </w:t>
      </w:r>
      <w:r>
        <w:rPr>
          <w:rFonts w:ascii="Lato" w:hAnsi="Lato" w:cstheme="minorHAnsi"/>
          <w:sz w:val="20"/>
          <w:szCs w:val="20"/>
        </w:rPr>
        <w:t xml:space="preserve">opublikowanych </w:t>
      </w:r>
      <w:r w:rsidRPr="00447ECF">
        <w:rPr>
          <w:rFonts w:ascii="Lato" w:hAnsi="Lato" w:cstheme="minorHAnsi"/>
          <w:sz w:val="20"/>
          <w:szCs w:val="20"/>
        </w:rPr>
        <w:t xml:space="preserve">w czasopismach </w:t>
      </w:r>
      <w:r w:rsidRPr="00447ECF">
        <w:rPr>
          <w:rFonts w:ascii="Lato" w:hAnsi="Lato" w:cstheme="minorHAnsi"/>
          <w:sz w:val="20"/>
          <w:szCs w:val="20"/>
        </w:rPr>
        <w:lastRenderedPageBreak/>
        <w:t xml:space="preserve">naukowych lub monografiach o zasięgu międzynarodowym. Realizowała kilka krajowych grantów badawczych finansowanych przez dawny Komitet Badań Naukowych oraz (obecnie) Narodowe Centrum Nauki; brała też udział w </w:t>
      </w:r>
      <w:r>
        <w:rPr>
          <w:rFonts w:ascii="Lato" w:hAnsi="Lato" w:cstheme="minorHAnsi"/>
          <w:sz w:val="20"/>
          <w:szCs w:val="20"/>
        </w:rPr>
        <w:t>realizacji</w:t>
      </w:r>
      <w:r w:rsidRPr="00447ECF">
        <w:rPr>
          <w:rFonts w:ascii="Lato" w:hAnsi="Lato" w:cstheme="minorHAnsi"/>
          <w:sz w:val="20"/>
          <w:szCs w:val="20"/>
        </w:rPr>
        <w:t xml:space="preserve"> kilku międzynarodowych grant</w:t>
      </w:r>
      <w:r>
        <w:rPr>
          <w:rFonts w:ascii="Lato" w:hAnsi="Lato" w:cstheme="minorHAnsi"/>
          <w:sz w:val="20"/>
          <w:szCs w:val="20"/>
        </w:rPr>
        <w:t>ów</w:t>
      </w:r>
      <w:r w:rsidRPr="00447ECF">
        <w:rPr>
          <w:rFonts w:ascii="Lato" w:hAnsi="Lato" w:cstheme="minorHAnsi"/>
          <w:sz w:val="20"/>
          <w:szCs w:val="20"/>
        </w:rPr>
        <w:t xml:space="preserve"> badawczych</w:t>
      </w:r>
      <w:r>
        <w:rPr>
          <w:rFonts w:ascii="Lato" w:hAnsi="Lato" w:cstheme="minorHAnsi"/>
          <w:sz w:val="20"/>
          <w:szCs w:val="20"/>
        </w:rPr>
        <w:t xml:space="preserve"> dotyczących współpracy sądowej w sprawach karnych w Unii Europejskiej, kooperując w tym zakresie m.in. z profesorami Uniwersytetu w Maastricht (Holandia)</w:t>
      </w:r>
      <w:r w:rsidRPr="00447ECF">
        <w:rPr>
          <w:rFonts w:ascii="Lato" w:hAnsi="Lato" w:cstheme="minorHAnsi"/>
          <w:sz w:val="20"/>
          <w:szCs w:val="20"/>
        </w:rPr>
        <w:t xml:space="preserve">. Wielokrotnie prowadziła wykłady, w tym w języku angielskim, na temat europejskich standardów ochrony praw człowieka, </w:t>
      </w:r>
      <w:r>
        <w:rPr>
          <w:rFonts w:ascii="Lato" w:hAnsi="Lato" w:cstheme="minorHAnsi"/>
          <w:sz w:val="20"/>
          <w:szCs w:val="20"/>
        </w:rPr>
        <w:t xml:space="preserve">m.in. </w:t>
      </w:r>
      <w:r w:rsidRPr="00447ECF">
        <w:rPr>
          <w:rFonts w:ascii="Lato" w:hAnsi="Lato" w:cstheme="minorHAnsi"/>
          <w:sz w:val="20"/>
          <w:szCs w:val="20"/>
        </w:rPr>
        <w:t>dla Helsińskiej Fundacji Praw Człowieka, Krajowej Szkoły Sądownictwa i Prokuratury,</w:t>
      </w:r>
      <w:r w:rsidRPr="00874BE3">
        <w:rPr>
          <w:rFonts w:ascii="Lato" w:hAnsi="Lato" w:cstheme="minorHAnsi"/>
          <w:sz w:val="20"/>
          <w:szCs w:val="20"/>
        </w:rPr>
        <w:t xml:space="preserve"> Biura Informacji Rady Europy oraz Centrum Europejskiego Uniwersytetu Warszawskiego. </w:t>
      </w:r>
      <w:r w:rsidRPr="00447ECF">
        <w:rPr>
          <w:rFonts w:ascii="Lato" w:hAnsi="Lato" w:cstheme="minorHAnsi"/>
          <w:sz w:val="20"/>
          <w:szCs w:val="20"/>
        </w:rPr>
        <w:t xml:space="preserve">Jest członkinią </w:t>
      </w:r>
      <w:r w:rsidRPr="007F23CF">
        <w:rPr>
          <w:rFonts w:ascii="Lato" w:hAnsi="Lato" w:cstheme="minorHAnsi"/>
          <w:i/>
          <w:sz w:val="20"/>
          <w:szCs w:val="20"/>
        </w:rPr>
        <w:t>International Penal and Penitentiary Foundation</w:t>
      </w:r>
      <w:r w:rsidRPr="00447ECF">
        <w:rPr>
          <w:rFonts w:ascii="Lato" w:hAnsi="Lato" w:cstheme="minorHAnsi"/>
          <w:sz w:val="20"/>
          <w:szCs w:val="20"/>
        </w:rPr>
        <w:t xml:space="preserve"> oraz członkinią </w:t>
      </w:r>
      <w:r w:rsidRPr="007F23CF">
        <w:rPr>
          <w:rFonts w:ascii="Lato" w:hAnsi="Lato" w:cstheme="minorHAnsi"/>
          <w:i/>
          <w:sz w:val="20"/>
          <w:szCs w:val="20"/>
        </w:rPr>
        <w:t>International Association of Penal Law</w:t>
      </w:r>
      <w:r w:rsidRPr="00447ECF">
        <w:rPr>
          <w:rFonts w:ascii="Lato" w:hAnsi="Lato" w:cstheme="minorHAnsi"/>
          <w:sz w:val="20"/>
          <w:szCs w:val="20"/>
        </w:rPr>
        <w:t xml:space="preserve"> (AIDP) </w:t>
      </w:r>
      <w:r w:rsidRPr="00096F28">
        <w:rPr>
          <w:rFonts w:ascii="Lato" w:hAnsi="Lato" w:cs="Times New Roman"/>
          <w:b/>
          <w:bCs/>
          <w:sz w:val="20"/>
          <w:szCs w:val="20"/>
        </w:rPr>
        <w:t>–</w:t>
      </w:r>
      <w:r w:rsidRPr="00447ECF">
        <w:rPr>
          <w:rFonts w:ascii="Lato" w:hAnsi="Lato" w:cstheme="minorHAnsi"/>
          <w:sz w:val="20"/>
          <w:szCs w:val="20"/>
        </w:rPr>
        <w:t xml:space="preserve"> wchodzi w skład Zarządu Sekcji Polskiej AIDP. Członkini Stowarzyszenia im. prof.</w:t>
      </w:r>
      <w:r w:rsidRPr="00782DE0">
        <w:rPr>
          <w:rFonts w:ascii="Lato" w:hAnsi="Lato" w:cstheme="minorHAnsi"/>
          <w:sz w:val="20"/>
          <w:szCs w:val="20"/>
        </w:rPr>
        <w:t xml:space="preserve"> Zbigniewa Hołdy. </w:t>
      </w:r>
      <w:r>
        <w:rPr>
          <w:rFonts w:ascii="Lato" w:hAnsi="Lato" w:cstheme="minorHAnsi"/>
          <w:sz w:val="20"/>
          <w:szCs w:val="20"/>
        </w:rPr>
        <w:t xml:space="preserve">Biegle włada językiem angielskim, regularnie publikuje prace naukowe w tym języku. Posiada bierną znajomość języka francuskiego oraz podstawową języka niemieckiego i rosyjskiego. </w:t>
      </w:r>
    </w:p>
    <w:p w:rsidR="00EF47DE" w:rsidRPr="00540BD2" w:rsidRDefault="00EF47DE" w:rsidP="00EF47DE">
      <w:pPr>
        <w:jc w:val="both"/>
        <w:rPr>
          <w:rFonts w:ascii="Lato" w:hAnsi="Lato" w:cstheme="minorHAnsi"/>
          <w:spacing w:val="-1"/>
          <w:sz w:val="20"/>
          <w:szCs w:val="20"/>
        </w:rPr>
      </w:pPr>
      <w:r w:rsidRPr="00540BD2">
        <w:rPr>
          <w:rFonts w:ascii="Lato" w:hAnsi="Lato" w:cstheme="minorHAnsi"/>
          <w:b/>
          <w:bCs/>
          <w:sz w:val="20"/>
          <w:szCs w:val="20"/>
        </w:rPr>
        <w:t xml:space="preserve">Adam Wiśniewski </w:t>
      </w:r>
      <w:r w:rsidRPr="00540BD2">
        <w:rPr>
          <w:rFonts w:ascii="Lato" w:hAnsi="Lato" w:cstheme="minorHAnsi"/>
          <w:sz w:val="20"/>
          <w:szCs w:val="20"/>
        </w:rPr>
        <w:t xml:space="preserve">– absolwent Wydziału Prawa i Administracji Uniwersytetu Gdańskiego oraz studiów doktoranckich w Uniwersytecie w Oksfordzie. Ukończył aplikację sędziowską oraz radcowską. </w:t>
      </w:r>
      <w:r w:rsidRPr="00540BD2">
        <w:rPr>
          <w:rFonts w:ascii="Lato" w:hAnsi="Lato" w:cstheme="minorHAnsi"/>
          <w:spacing w:val="-1"/>
          <w:sz w:val="20"/>
          <w:szCs w:val="20"/>
        </w:rPr>
        <w:t xml:space="preserve">W </w:t>
      </w:r>
      <w:r w:rsidRPr="00540BD2">
        <w:rPr>
          <w:rFonts w:ascii="Lato" w:hAnsi="Lato" w:cstheme="minorHAnsi"/>
          <w:sz w:val="20"/>
          <w:szCs w:val="20"/>
        </w:rPr>
        <w:t>1996 r</w:t>
      </w:r>
      <w:r w:rsidR="00FB57B9">
        <w:rPr>
          <w:rFonts w:ascii="Lato" w:hAnsi="Lato" w:cstheme="minorHAnsi"/>
          <w:sz w:val="20"/>
          <w:szCs w:val="20"/>
        </w:rPr>
        <w:t>.</w:t>
      </w:r>
      <w:r w:rsidRPr="00540BD2">
        <w:rPr>
          <w:rFonts w:ascii="Lato" w:hAnsi="Lato" w:cstheme="minorHAnsi"/>
          <w:sz w:val="20"/>
          <w:szCs w:val="20"/>
        </w:rPr>
        <w:t xml:space="preserve"> obronił rozprawę doktorską pt. </w:t>
      </w:r>
      <w:r w:rsidRPr="00540BD2">
        <w:rPr>
          <w:rFonts w:ascii="Lato" w:hAnsi="Lato" w:cstheme="minorHAnsi"/>
          <w:i/>
          <w:iCs/>
          <w:sz w:val="20"/>
          <w:szCs w:val="20"/>
        </w:rPr>
        <w:t>Wolność słowa – studium prawnoporównawcze i międzynarodowe</w:t>
      </w:r>
      <w:r w:rsidRPr="00540BD2">
        <w:rPr>
          <w:rFonts w:ascii="Lato" w:hAnsi="Lato" w:cstheme="minorHAnsi"/>
          <w:sz w:val="20"/>
          <w:szCs w:val="20"/>
        </w:rPr>
        <w:t>.</w:t>
      </w:r>
      <w:r w:rsidRPr="00540BD2">
        <w:rPr>
          <w:rFonts w:ascii="Lato" w:hAnsi="Lato" w:cstheme="minorHAnsi"/>
          <w:i/>
          <w:iCs/>
          <w:sz w:val="20"/>
          <w:szCs w:val="20"/>
        </w:rPr>
        <w:t xml:space="preserve"> </w:t>
      </w:r>
      <w:r w:rsidRPr="00540BD2">
        <w:rPr>
          <w:rFonts w:ascii="Lato" w:hAnsi="Lato" w:cstheme="minorHAnsi"/>
          <w:iCs/>
          <w:sz w:val="20"/>
          <w:szCs w:val="20"/>
        </w:rPr>
        <w:t xml:space="preserve">Doktor habilitowany nauk prawnych </w:t>
      </w:r>
      <w:r w:rsidR="00F234F7">
        <w:rPr>
          <w:rFonts w:ascii="Lato" w:hAnsi="Lato" w:cstheme="minorHAnsi"/>
          <w:iCs/>
          <w:sz w:val="20"/>
          <w:szCs w:val="20"/>
        </w:rPr>
        <w:t>–</w:t>
      </w:r>
      <w:r w:rsidRPr="00540BD2">
        <w:rPr>
          <w:rFonts w:ascii="Lato" w:hAnsi="Lato" w:cstheme="minorHAnsi"/>
          <w:iCs/>
          <w:sz w:val="20"/>
          <w:szCs w:val="20"/>
        </w:rPr>
        <w:t xml:space="preserve"> </w:t>
      </w:r>
      <w:r w:rsidRPr="00540BD2">
        <w:rPr>
          <w:rFonts w:ascii="Lato" w:hAnsi="Lato" w:cstheme="minorHAnsi"/>
          <w:sz w:val="20"/>
          <w:szCs w:val="20"/>
        </w:rPr>
        <w:t xml:space="preserve">habilitował się w 2009 r. na podstawie monografii zatytułowanej </w:t>
      </w:r>
      <w:r w:rsidRPr="00540BD2">
        <w:rPr>
          <w:rFonts w:ascii="Lato" w:hAnsi="Lato" w:cstheme="minorHAnsi"/>
          <w:i/>
          <w:iCs/>
          <w:sz w:val="20"/>
          <w:szCs w:val="20"/>
        </w:rPr>
        <w:t xml:space="preserve">Koncepcja marginesu oceny w orzecznictwie Europejskiego Trybunału Praw Człowieka. </w:t>
      </w:r>
      <w:r w:rsidRPr="00540BD2">
        <w:rPr>
          <w:rFonts w:ascii="Lato" w:hAnsi="Lato" w:cstheme="minorHAnsi"/>
          <w:sz w:val="20"/>
          <w:szCs w:val="20"/>
        </w:rPr>
        <w:t>Profesor Uniwersytetu Gdańskiego. Posiada ponad dwadzieścia lat doświadczenia w dziedzinie praw człowieka jako naukowiec</w:t>
      </w:r>
      <w:r>
        <w:rPr>
          <w:rFonts w:ascii="Lato" w:hAnsi="Lato" w:cstheme="minorHAnsi"/>
          <w:sz w:val="20"/>
          <w:szCs w:val="20"/>
        </w:rPr>
        <w:t xml:space="preserve">, </w:t>
      </w:r>
      <w:r w:rsidRPr="00540BD2">
        <w:rPr>
          <w:rFonts w:ascii="Lato" w:hAnsi="Lato" w:cstheme="minorHAnsi"/>
          <w:sz w:val="20"/>
          <w:szCs w:val="20"/>
        </w:rPr>
        <w:t>profesor uniwersytecki</w:t>
      </w:r>
      <w:r>
        <w:rPr>
          <w:rFonts w:ascii="Lato" w:hAnsi="Lato" w:cstheme="minorHAnsi"/>
          <w:sz w:val="20"/>
          <w:szCs w:val="20"/>
        </w:rPr>
        <w:t xml:space="preserve"> oraz radca prawny.</w:t>
      </w:r>
      <w:r w:rsidRPr="00540BD2">
        <w:rPr>
          <w:rFonts w:ascii="Lato" w:hAnsi="Lato" w:cstheme="minorHAnsi"/>
          <w:sz w:val="20"/>
          <w:szCs w:val="20"/>
        </w:rPr>
        <w:t xml:space="preserve"> </w:t>
      </w:r>
      <w:r w:rsidRPr="00540BD2">
        <w:rPr>
          <w:rFonts w:ascii="Lato" w:hAnsi="Lato" w:cstheme="minorHAnsi"/>
          <w:iCs/>
          <w:sz w:val="20"/>
          <w:szCs w:val="20"/>
        </w:rPr>
        <w:t xml:space="preserve">Od 1988 r. </w:t>
      </w:r>
      <w:r>
        <w:rPr>
          <w:rFonts w:ascii="Lato" w:hAnsi="Lato" w:cstheme="minorHAnsi"/>
          <w:iCs/>
          <w:sz w:val="20"/>
          <w:szCs w:val="20"/>
        </w:rPr>
        <w:t xml:space="preserve">jest </w:t>
      </w:r>
      <w:r w:rsidRPr="00540BD2">
        <w:rPr>
          <w:rFonts w:ascii="Lato" w:hAnsi="Lato" w:cstheme="minorHAnsi"/>
          <w:iCs/>
          <w:sz w:val="20"/>
          <w:szCs w:val="20"/>
        </w:rPr>
        <w:t xml:space="preserve">zatrudniony w Uniwersytecie Gdańskim jako asystent, następnie adiunkt i profesor uczelni. </w:t>
      </w:r>
      <w:r w:rsidRPr="00540BD2">
        <w:rPr>
          <w:rFonts w:ascii="Lato" w:eastAsia="Times New Roman" w:hAnsi="Lato" w:cstheme="minorHAnsi"/>
          <w:bCs/>
          <w:sz w:val="20"/>
          <w:szCs w:val="20"/>
          <w:lang w:eastAsia="pl-PL"/>
        </w:rPr>
        <w:t>Od 2010 r. pełni funkcję kierownika Katedry Prawa Międzynarodowego Publicznego na Wydziale Prawa i Administracji Uniwersytetu Gdańskiego. W latach 2015</w:t>
      </w:r>
      <w:r>
        <w:rPr>
          <w:rFonts w:ascii="Lato" w:eastAsia="Times New Roman" w:hAnsi="Lato" w:cstheme="minorHAnsi"/>
          <w:bCs/>
          <w:sz w:val="20"/>
          <w:szCs w:val="20"/>
          <w:lang w:eastAsia="pl-PL"/>
        </w:rPr>
        <w:t>-</w:t>
      </w:r>
      <w:r w:rsidRPr="00540BD2">
        <w:rPr>
          <w:rFonts w:ascii="Lato" w:eastAsia="Times New Roman" w:hAnsi="Lato" w:cstheme="minorHAnsi"/>
          <w:bCs/>
          <w:sz w:val="20"/>
          <w:szCs w:val="20"/>
          <w:lang w:eastAsia="pl-PL"/>
        </w:rPr>
        <w:t xml:space="preserve">2023 pełnił funkcję </w:t>
      </w:r>
      <w:r w:rsidRPr="00540BD2">
        <w:rPr>
          <w:rFonts w:ascii="Lato" w:hAnsi="Lato" w:cstheme="minorHAnsi"/>
          <w:sz w:val="20"/>
          <w:szCs w:val="20"/>
        </w:rPr>
        <w:t xml:space="preserve">członka Rady Doradczej Balex – międzynarodowej instytucji założonej przez </w:t>
      </w:r>
      <w:r w:rsidRPr="00540BD2">
        <w:rPr>
          <w:rFonts w:ascii="Lato" w:hAnsi="Lato" w:cstheme="minorHAnsi"/>
          <w:sz w:val="20"/>
          <w:szCs w:val="20"/>
          <w:shd w:val="clear" w:color="auto" w:fill="FFFFFF"/>
        </w:rPr>
        <w:t xml:space="preserve">Uniwersytet w </w:t>
      </w:r>
      <w:r w:rsidRPr="00540BD2">
        <w:rPr>
          <w:rFonts w:ascii="Lato" w:hAnsi="Lato" w:cstheme="minorHAnsi"/>
          <w:bCs/>
          <w:sz w:val="20"/>
          <w:szCs w:val="20"/>
          <w:shd w:val="clear" w:color="auto" w:fill="FFFFFF"/>
        </w:rPr>
        <w:t>Turku</w:t>
      </w:r>
      <w:r w:rsidRPr="00540BD2">
        <w:rPr>
          <w:rFonts w:ascii="Lato" w:hAnsi="Lato" w:cstheme="minorHAnsi"/>
          <w:sz w:val="20"/>
          <w:szCs w:val="20"/>
          <w:shd w:val="clear" w:color="auto" w:fill="FFFFFF"/>
        </w:rPr>
        <w:t xml:space="preserve"> oraz </w:t>
      </w:r>
      <w:r w:rsidRPr="00046611">
        <w:rPr>
          <w:rFonts w:ascii="Lato" w:hAnsi="Lato" w:cstheme="minorHAnsi"/>
          <w:i/>
          <w:sz w:val="20"/>
          <w:szCs w:val="20"/>
          <w:shd w:val="clear" w:color="auto" w:fill="FFFFFF"/>
        </w:rPr>
        <w:t>Åbo Akademi</w:t>
      </w:r>
      <w:r w:rsidRPr="00540BD2">
        <w:rPr>
          <w:rFonts w:ascii="Lato" w:hAnsi="Lato" w:cstheme="minorHAnsi"/>
          <w:sz w:val="20"/>
          <w:szCs w:val="20"/>
          <w:shd w:val="clear" w:color="auto" w:fill="FFFFFF"/>
        </w:rPr>
        <w:t xml:space="preserve"> w Finlandii. </w:t>
      </w:r>
      <w:r w:rsidRPr="00540BD2">
        <w:rPr>
          <w:rFonts w:ascii="Lato" w:eastAsia="Times New Roman" w:hAnsi="Lato" w:cstheme="minorHAnsi"/>
          <w:bCs/>
          <w:sz w:val="20"/>
          <w:szCs w:val="20"/>
          <w:lang w:eastAsia="pl-PL"/>
        </w:rPr>
        <w:t xml:space="preserve">Od 2024 r. jest </w:t>
      </w:r>
      <w:r w:rsidRPr="00540BD2">
        <w:rPr>
          <w:rFonts w:ascii="Lato" w:hAnsi="Lato" w:cstheme="minorHAnsi"/>
          <w:sz w:val="20"/>
          <w:szCs w:val="20"/>
        </w:rPr>
        <w:t>członkiem Doradczego Komitetu Prawnego przy Ministrze Spraw Zagranicznych</w:t>
      </w:r>
      <w:r w:rsidRPr="00540BD2">
        <w:rPr>
          <w:rFonts w:ascii="Lato" w:eastAsia="Times New Roman" w:hAnsi="Lato" w:cstheme="minorHAnsi"/>
          <w:bCs/>
          <w:sz w:val="20"/>
          <w:szCs w:val="20"/>
          <w:lang w:eastAsia="pl-PL"/>
        </w:rPr>
        <w:t xml:space="preserve">. </w:t>
      </w:r>
      <w:r w:rsidRPr="00EF47DE">
        <w:rPr>
          <w:rFonts w:ascii="Lato" w:eastAsia="Times New Roman" w:hAnsi="Lato" w:cstheme="minorHAnsi"/>
          <w:bCs/>
          <w:sz w:val="20"/>
          <w:szCs w:val="20"/>
          <w:lang w:val="en-US" w:eastAsia="pl-PL"/>
        </w:rPr>
        <w:t xml:space="preserve">Prowadził badania m.in. w </w:t>
      </w:r>
      <w:r w:rsidRPr="00EF47DE">
        <w:rPr>
          <w:rFonts w:ascii="Lato" w:eastAsia="Times New Roman" w:hAnsi="Lato" w:cstheme="minorHAnsi"/>
          <w:bCs/>
          <w:i/>
          <w:sz w:val="20"/>
          <w:szCs w:val="20"/>
          <w:lang w:val="en-US" w:eastAsia="pl-PL"/>
        </w:rPr>
        <w:t>Interational Institute of Humanitarian Law</w:t>
      </w:r>
      <w:r w:rsidRPr="00EF47DE">
        <w:rPr>
          <w:rFonts w:ascii="Lato" w:eastAsia="Times New Roman" w:hAnsi="Lato" w:cstheme="minorHAnsi"/>
          <w:bCs/>
          <w:sz w:val="20"/>
          <w:szCs w:val="20"/>
          <w:lang w:val="en-US" w:eastAsia="pl-PL"/>
        </w:rPr>
        <w:t xml:space="preserve"> w San Remo, w </w:t>
      </w:r>
      <w:r w:rsidRPr="00EF47DE">
        <w:rPr>
          <w:rFonts w:ascii="Lato" w:eastAsia="Times New Roman" w:hAnsi="Lato" w:cstheme="minorHAnsi"/>
          <w:bCs/>
          <w:i/>
          <w:sz w:val="20"/>
          <w:szCs w:val="20"/>
          <w:lang w:val="en-US" w:eastAsia="pl-PL"/>
        </w:rPr>
        <w:t>Academy of European Law</w:t>
      </w:r>
      <w:r w:rsidRPr="00EF47DE">
        <w:rPr>
          <w:rFonts w:ascii="Lato" w:eastAsia="Times New Roman" w:hAnsi="Lato" w:cstheme="minorHAnsi"/>
          <w:bCs/>
          <w:sz w:val="20"/>
          <w:szCs w:val="20"/>
          <w:lang w:val="en-US" w:eastAsia="pl-PL"/>
        </w:rPr>
        <w:t xml:space="preserve"> we Florencji, a od 2023 r. także w </w:t>
      </w:r>
      <w:r w:rsidRPr="00EF47DE">
        <w:rPr>
          <w:rFonts w:ascii="Lato" w:eastAsia="Times New Roman" w:hAnsi="Lato" w:cstheme="minorHAnsi"/>
          <w:bCs/>
          <w:i/>
          <w:sz w:val="20"/>
          <w:szCs w:val="20"/>
          <w:lang w:val="en-US" w:eastAsia="pl-PL"/>
        </w:rPr>
        <w:t>British Institute of International and Comparative Law</w:t>
      </w:r>
      <w:r w:rsidRPr="00EF47DE">
        <w:rPr>
          <w:rFonts w:ascii="Lato" w:eastAsia="Times New Roman" w:hAnsi="Lato" w:cstheme="minorHAnsi"/>
          <w:bCs/>
          <w:sz w:val="20"/>
          <w:szCs w:val="20"/>
          <w:lang w:val="en-US" w:eastAsia="pl-PL"/>
        </w:rPr>
        <w:t xml:space="preserve"> w Londynie. </w:t>
      </w:r>
      <w:r w:rsidRPr="00540BD2">
        <w:rPr>
          <w:rFonts w:ascii="Lato" w:eastAsia="Times New Roman" w:hAnsi="Lato" w:cstheme="minorHAnsi"/>
          <w:bCs/>
          <w:sz w:val="20"/>
          <w:szCs w:val="20"/>
          <w:lang w:eastAsia="pl-PL"/>
        </w:rPr>
        <w:t>Jego badania</w:t>
      </w:r>
      <w:r>
        <w:rPr>
          <w:rFonts w:ascii="Lato" w:eastAsia="Times New Roman" w:hAnsi="Lato" w:cstheme="minorHAnsi"/>
          <w:bCs/>
          <w:sz w:val="20"/>
          <w:szCs w:val="20"/>
          <w:lang w:eastAsia="pl-PL"/>
        </w:rPr>
        <w:t xml:space="preserve"> naukowe</w:t>
      </w:r>
      <w:r w:rsidRPr="00540BD2">
        <w:rPr>
          <w:rFonts w:ascii="Lato" w:eastAsia="Times New Roman" w:hAnsi="Lato" w:cstheme="minorHAnsi"/>
          <w:bCs/>
          <w:sz w:val="20"/>
          <w:szCs w:val="20"/>
          <w:lang w:eastAsia="pl-PL"/>
        </w:rPr>
        <w:t xml:space="preserve"> koncentrują się na </w:t>
      </w:r>
      <w:r w:rsidRPr="00540BD2">
        <w:rPr>
          <w:rFonts w:ascii="Lato" w:hAnsi="Lato" w:cstheme="minorHAnsi"/>
          <w:spacing w:val="-1"/>
          <w:sz w:val="20"/>
          <w:szCs w:val="20"/>
        </w:rPr>
        <w:t xml:space="preserve">problematyce prawa międzynarodowego publicznego, a w szczególności międzynarodowej ochrony praw człowieka i sądów międzynarodowych, w tym zwłaszcza Europejskiego Trybunału Praw Człowieka. </w:t>
      </w:r>
      <w:r w:rsidRPr="00540BD2">
        <w:rPr>
          <w:rFonts w:ascii="Lato" w:hAnsi="Lato" w:cstheme="minorHAnsi"/>
          <w:spacing w:val="-2"/>
          <w:sz w:val="20"/>
          <w:szCs w:val="20"/>
        </w:rPr>
        <w:t xml:space="preserve">Problematyka ta stała się przedmiotem jego monografii wydanych w języku angielskim, tj. </w:t>
      </w:r>
      <w:r w:rsidRPr="00540BD2">
        <w:rPr>
          <w:rFonts w:ascii="Lato" w:hAnsi="Lato" w:cstheme="minorHAnsi"/>
          <w:i/>
          <w:iCs/>
          <w:spacing w:val="-2"/>
          <w:sz w:val="20"/>
          <w:szCs w:val="20"/>
        </w:rPr>
        <w:t>Europejski Trybunał Praw Człowieka. Pomiędzy sądowym aktywizmem i pasywizmem</w:t>
      </w:r>
      <w:r w:rsidRPr="00540BD2">
        <w:rPr>
          <w:rFonts w:ascii="Lato" w:hAnsi="Lato" w:cstheme="minorHAnsi"/>
          <w:sz w:val="20"/>
          <w:szCs w:val="20"/>
        </w:rPr>
        <w:t xml:space="preserve"> (2016) oraz </w:t>
      </w:r>
      <w:r w:rsidRPr="00540BD2">
        <w:rPr>
          <w:rFonts w:ascii="Lato" w:hAnsi="Lato" w:cstheme="minorHAnsi"/>
          <w:i/>
          <w:iCs/>
          <w:sz w:val="20"/>
          <w:szCs w:val="20"/>
        </w:rPr>
        <w:t xml:space="preserve">Interpretacja Europejskiej Konwencji Praw Człowieka </w:t>
      </w:r>
      <w:r w:rsidRPr="00540BD2">
        <w:rPr>
          <w:rFonts w:ascii="Lato" w:hAnsi="Lato" w:cstheme="minorHAnsi"/>
          <w:sz w:val="20"/>
          <w:szCs w:val="20"/>
        </w:rPr>
        <w:t>(2021)</w:t>
      </w:r>
      <w:r w:rsidRPr="00540BD2">
        <w:rPr>
          <w:rFonts w:ascii="Lato" w:hAnsi="Lato" w:cstheme="minorHAnsi"/>
          <w:i/>
          <w:iCs/>
          <w:sz w:val="20"/>
          <w:szCs w:val="20"/>
        </w:rPr>
        <w:t>,</w:t>
      </w:r>
      <w:r w:rsidRPr="00540BD2">
        <w:rPr>
          <w:rFonts w:ascii="Lato" w:hAnsi="Lato" w:cstheme="minorHAnsi"/>
          <w:sz w:val="20"/>
          <w:szCs w:val="20"/>
        </w:rPr>
        <w:t xml:space="preserve"> a także licznych artykułów naukowych i rozdziałów w książkach. Pracę naukową łączy od 1996 r. z praktyką w zawodzie radcy prawnego, a także działalnością w gremiach eksperckich, naukowych i komisjach uczelnianych</w:t>
      </w:r>
      <w:r w:rsidR="00FB57B9">
        <w:rPr>
          <w:rFonts w:ascii="Lato" w:hAnsi="Lato" w:cstheme="minorHAnsi"/>
          <w:sz w:val="20"/>
          <w:szCs w:val="20"/>
        </w:rPr>
        <w:t>,</w:t>
      </w:r>
      <w:r w:rsidRPr="00540BD2">
        <w:rPr>
          <w:rFonts w:ascii="Lato" w:hAnsi="Lato" w:cstheme="minorHAnsi"/>
          <w:sz w:val="20"/>
          <w:szCs w:val="20"/>
        </w:rPr>
        <w:t xml:space="preserve"> m.in. jako ekspert w międzynarodowym projekcie „</w:t>
      </w:r>
      <w:r w:rsidRPr="007F4E75">
        <w:rPr>
          <w:rFonts w:ascii="Lato" w:hAnsi="Lato" w:cstheme="minorHAnsi"/>
          <w:i/>
          <w:sz w:val="20"/>
          <w:szCs w:val="20"/>
        </w:rPr>
        <w:t>Corporate Climate Litigation Project</w:t>
      </w:r>
      <w:r w:rsidRPr="00540BD2">
        <w:rPr>
          <w:rFonts w:ascii="Lato" w:hAnsi="Lato" w:cstheme="minorHAnsi"/>
          <w:sz w:val="20"/>
          <w:szCs w:val="20"/>
        </w:rPr>
        <w:t xml:space="preserve">” czy Przewodniczący </w:t>
      </w:r>
      <w:r w:rsidRPr="00540BD2">
        <w:rPr>
          <w:rStyle w:val="Pogrubienie"/>
          <w:rFonts w:ascii="Lato" w:hAnsi="Lato" w:cstheme="minorHAnsi"/>
          <w:b w:val="0"/>
          <w:sz w:val="20"/>
          <w:szCs w:val="20"/>
        </w:rPr>
        <w:t>Sekcji Prawnej</w:t>
      </w:r>
      <w:r w:rsidRPr="00540BD2">
        <w:rPr>
          <w:rStyle w:val="Pogrubienie"/>
          <w:rFonts w:ascii="Lato" w:hAnsi="Lato" w:cstheme="minorHAnsi"/>
          <w:sz w:val="20"/>
          <w:szCs w:val="20"/>
        </w:rPr>
        <w:t xml:space="preserve"> </w:t>
      </w:r>
      <w:r w:rsidRPr="00540BD2">
        <w:rPr>
          <w:rFonts w:ascii="Lato" w:hAnsi="Lato" w:cstheme="minorHAnsi"/>
          <w:sz w:val="20"/>
          <w:szCs w:val="20"/>
        </w:rPr>
        <w:t xml:space="preserve">Komisji Nauk Kosmicznych Gdańskiego Oddziału Polskiej Akademii Nauk. Przygotowywał m.in. także ekspertyzy w dziedzinie praw człowieka, np. ekspertyzę dla Ministerstwa Spraw Zagranicznych na temat skargi Józefa Janowskiego przeciwko Polsce dotyczącej naruszenia wolności wypowiedzi w 1998 r. Prowadzi systematyczne badania, jak również regularnie naucza prawa międzynarodowego oraz prawa europejskiego </w:t>
      </w:r>
      <w:r>
        <w:rPr>
          <w:rFonts w:ascii="Lato" w:hAnsi="Lato" w:cstheme="minorHAnsi"/>
          <w:sz w:val="20"/>
          <w:szCs w:val="20"/>
        </w:rPr>
        <w:t xml:space="preserve">i </w:t>
      </w:r>
      <w:r w:rsidRPr="00540BD2">
        <w:rPr>
          <w:rFonts w:ascii="Lato" w:hAnsi="Lato" w:cstheme="minorHAnsi"/>
          <w:sz w:val="20"/>
          <w:szCs w:val="20"/>
        </w:rPr>
        <w:t>praw człowieka</w:t>
      </w:r>
      <w:r>
        <w:rPr>
          <w:rFonts w:ascii="Lato" w:hAnsi="Lato" w:cstheme="minorHAnsi"/>
          <w:sz w:val="20"/>
          <w:szCs w:val="20"/>
        </w:rPr>
        <w:t>,</w:t>
      </w:r>
      <w:r w:rsidRPr="00540BD2">
        <w:rPr>
          <w:rFonts w:ascii="Lato" w:hAnsi="Lato" w:cstheme="minorHAnsi"/>
          <w:sz w:val="20"/>
          <w:szCs w:val="20"/>
        </w:rPr>
        <w:t xml:space="preserve"> prowadząc wykłady i seminaria dla studentów, </w:t>
      </w:r>
      <w:r>
        <w:rPr>
          <w:rFonts w:ascii="Lato" w:hAnsi="Lato" w:cstheme="minorHAnsi"/>
          <w:sz w:val="20"/>
          <w:szCs w:val="20"/>
        </w:rPr>
        <w:t>a także</w:t>
      </w:r>
      <w:r w:rsidRPr="00540BD2">
        <w:rPr>
          <w:rFonts w:ascii="Lato" w:hAnsi="Lato" w:cstheme="minorHAnsi"/>
          <w:sz w:val="20"/>
          <w:szCs w:val="20"/>
        </w:rPr>
        <w:t xml:space="preserve"> zajęcia w ramach aplikacji radcowskiej. Łączy profesjonalną wiedzę na temat polskiego prawa ze znajomością prawa międzynarodowego publicznego ze szczególnym uwzględnieniem europejskiej systemu ochrony praw człowieka. </w:t>
      </w:r>
      <w:r>
        <w:rPr>
          <w:rFonts w:ascii="Lato" w:hAnsi="Lato" w:cstheme="minorHAnsi"/>
          <w:sz w:val="20"/>
          <w:szCs w:val="20"/>
        </w:rPr>
        <w:t xml:space="preserve">Od 16 lat jest także współorganizatorem ogólnopolskich konferencji z zakresu międzynarodowego prawa humanitarnego odbywających się na Wydziale Prawa Uniwersytetu Gdańskiego oraz w Akademii Marynarki Wojennej w Gdyni. </w:t>
      </w:r>
      <w:r w:rsidRPr="00540BD2">
        <w:rPr>
          <w:rFonts w:ascii="Lato" w:hAnsi="Lato" w:cstheme="minorHAnsi"/>
          <w:sz w:val="20"/>
          <w:szCs w:val="20"/>
        </w:rPr>
        <w:t xml:space="preserve">Jest członkiem Polskiej Grupy </w:t>
      </w:r>
      <w:r w:rsidRPr="00046611">
        <w:rPr>
          <w:rFonts w:ascii="Lato" w:hAnsi="Lato" w:cstheme="minorHAnsi"/>
          <w:i/>
          <w:sz w:val="20"/>
          <w:szCs w:val="20"/>
        </w:rPr>
        <w:t>International Law Association</w:t>
      </w:r>
      <w:r w:rsidRPr="00540BD2">
        <w:rPr>
          <w:rFonts w:ascii="Lato" w:hAnsi="Lato" w:cstheme="minorHAnsi"/>
          <w:sz w:val="20"/>
          <w:szCs w:val="20"/>
        </w:rPr>
        <w:t xml:space="preserve"> (ILA). Zna biegle język angielski (</w:t>
      </w:r>
      <w:r w:rsidRPr="007F4E75">
        <w:rPr>
          <w:rFonts w:ascii="Lato" w:hAnsi="Lato" w:cstheme="minorHAnsi"/>
          <w:i/>
          <w:sz w:val="20"/>
          <w:szCs w:val="20"/>
        </w:rPr>
        <w:t>Certificate of Proficiency in English</w:t>
      </w:r>
      <w:r w:rsidRPr="00540BD2">
        <w:rPr>
          <w:rFonts w:ascii="Lato" w:hAnsi="Lato" w:cstheme="minorHAnsi"/>
          <w:sz w:val="20"/>
          <w:szCs w:val="20"/>
        </w:rPr>
        <w:t xml:space="preserve"> z najwyższą oceną) oraz język francuski.</w:t>
      </w:r>
    </w:p>
    <w:p w:rsidR="00E95EF7" w:rsidRPr="00E95EF7" w:rsidRDefault="00E95EF7" w:rsidP="00E95EF7">
      <w:pPr>
        <w:rPr>
          <w:b/>
        </w:rPr>
      </w:pPr>
    </w:p>
    <w:sectPr w:rsidR="00E95EF7" w:rsidRPr="00E95E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DB" w:rsidRDefault="00AF1DDB" w:rsidP="00D46082">
      <w:pPr>
        <w:spacing w:after="0" w:line="240" w:lineRule="auto"/>
      </w:pPr>
      <w:r>
        <w:separator/>
      </w:r>
    </w:p>
  </w:endnote>
  <w:endnote w:type="continuationSeparator" w:id="0">
    <w:p w:rsidR="00AF1DDB" w:rsidRDefault="00AF1DDB" w:rsidP="00D4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596557"/>
      <w:docPartObj>
        <w:docPartGallery w:val="Page Numbers (Bottom of Page)"/>
        <w:docPartUnique/>
      </w:docPartObj>
    </w:sdtPr>
    <w:sdtEndPr/>
    <w:sdtContent>
      <w:p w:rsidR="00D46082" w:rsidRDefault="00D460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4DC">
          <w:rPr>
            <w:noProof/>
          </w:rPr>
          <w:t>2</w:t>
        </w:r>
        <w:r>
          <w:fldChar w:fldCharType="end"/>
        </w:r>
      </w:p>
    </w:sdtContent>
  </w:sdt>
  <w:p w:rsidR="00D46082" w:rsidRDefault="00D46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DB" w:rsidRDefault="00AF1DDB" w:rsidP="00D46082">
      <w:pPr>
        <w:spacing w:after="0" w:line="240" w:lineRule="auto"/>
      </w:pPr>
      <w:r>
        <w:separator/>
      </w:r>
    </w:p>
  </w:footnote>
  <w:footnote w:type="continuationSeparator" w:id="0">
    <w:p w:rsidR="00AF1DDB" w:rsidRDefault="00AF1DDB" w:rsidP="00D46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DF"/>
    <w:rsid w:val="001A7245"/>
    <w:rsid w:val="001D264F"/>
    <w:rsid w:val="003524C5"/>
    <w:rsid w:val="0055699B"/>
    <w:rsid w:val="007F4E75"/>
    <w:rsid w:val="008174DC"/>
    <w:rsid w:val="00993232"/>
    <w:rsid w:val="00AF1DDB"/>
    <w:rsid w:val="00B05BA4"/>
    <w:rsid w:val="00CB546F"/>
    <w:rsid w:val="00D14E97"/>
    <w:rsid w:val="00D46082"/>
    <w:rsid w:val="00DC7DDF"/>
    <w:rsid w:val="00E95EF7"/>
    <w:rsid w:val="00EF47DE"/>
    <w:rsid w:val="00F205D9"/>
    <w:rsid w:val="00F234F7"/>
    <w:rsid w:val="00F44890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1E37"/>
  <w15:chartTrackingRefBased/>
  <w15:docId w15:val="{91756D54-0C30-44C6-9C8A-C66F00DB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47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82"/>
  </w:style>
  <w:style w:type="paragraph" w:styleId="Stopka">
    <w:name w:val="footer"/>
    <w:basedOn w:val="Normalny"/>
    <w:link w:val="StopkaZnak"/>
    <w:uiPriority w:val="99"/>
    <w:unhideWhenUsed/>
    <w:rsid w:val="00D4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Suchożebrska Eliza</dc:creator>
  <cp:keywords/>
  <dc:description/>
  <cp:lastModifiedBy>Kozińska-Makowska Agnieszka</cp:lastModifiedBy>
  <cp:revision>2</cp:revision>
  <dcterms:created xsi:type="dcterms:W3CDTF">2024-07-09T15:41:00Z</dcterms:created>
  <dcterms:modified xsi:type="dcterms:W3CDTF">2024-07-09T15:41:00Z</dcterms:modified>
</cp:coreProperties>
</file>