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3FE35" w14:textId="49FC48A0" w:rsidR="004B655D" w:rsidRPr="009657BA" w:rsidRDefault="004B655D" w:rsidP="00F60579">
      <w:pPr>
        <w:jc w:val="both"/>
        <w:rPr>
          <w:b/>
          <w:caps/>
          <w:sz w:val="22"/>
          <w:szCs w:val="22"/>
        </w:rPr>
      </w:pPr>
    </w:p>
    <w:p w14:paraId="588599A1" w14:textId="1CB4EFB8" w:rsidR="008A3947" w:rsidRPr="009657BA" w:rsidRDefault="006E1C5B" w:rsidP="00F60579">
      <w:pPr>
        <w:jc w:val="center"/>
        <w:rPr>
          <w:b/>
          <w:caps/>
          <w:sz w:val="22"/>
          <w:szCs w:val="22"/>
        </w:rPr>
      </w:pPr>
      <w:r w:rsidRPr="009657BA">
        <w:rPr>
          <w:b/>
          <w:caps/>
          <w:sz w:val="22"/>
          <w:szCs w:val="22"/>
        </w:rPr>
        <w:t xml:space="preserve">uwagi </w:t>
      </w:r>
      <w:r w:rsidR="00006543" w:rsidRPr="009657BA">
        <w:rPr>
          <w:b/>
          <w:caps/>
          <w:sz w:val="22"/>
          <w:szCs w:val="22"/>
        </w:rPr>
        <w:t xml:space="preserve">ZGŁOSZONE </w:t>
      </w:r>
      <w:r w:rsidR="00342A57" w:rsidRPr="009657BA">
        <w:rPr>
          <w:b/>
          <w:caps/>
          <w:sz w:val="22"/>
          <w:szCs w:val="22"/>
        </w:rPr>
        <w:t xml:space="preserve">w ramach </w:t>
      </w:r>
      <w:r w:rsidR="00725E3F" w:rsidRPr="009657BA">
        <w:rPr>
          <w:b/>
          <w:caps/>
          <w:sz w:val="22"/>
          <w:szCs w:val="22"/>
        </w:rPr>
        <w:t>UZGODNIEŃ</w:t>
      </w:r>
      <w:r w:rsidR="00DB2F83">
        <w:rPr>
          <w:b/>
          <w:caps/>
          <w:sz w:val="22"/>
          <w:szCs w:val="22"/>
        </w:rPr>
        <w:t xml:space="preserve"> międzyresortowych</w:t>
      </w:r>
    </w:p>
    <w:p w14:paraId="1D8BA8A9" w14:textId="47FD3922" w:rsidR="00C371AF" w:rsidRPr="009657BA" w:rsidRDefault="005C2F6D" w:rsidP="00F60579">
      <w:pPr>
        <w:jc w:val="center"/>
        <w:rPr>
          <w:b/>
          <w:sz w:val="22"/>
          <w:szCs w:val="22"/>
        </w:rPr>
      </w:pPr>
      <w:r w:rsidRPr="009657BA">
        <w:rPr>
          <w:b/>
          <w:sz w:val="22"/>
          <w:szCs w:val="22"/>
        </w:rPr>
        <w:t xml:space="preserve">do projektu rozporządzenia Ministra Sprawiedliwości </w:t>
      </w:r>
      <w:r w:rsidR="00C371AF" w:rsidRPr="009657BA">
        <w:rPr>
          <w:b/>
          <w:sz w:val="22"/>
          <w:szCs w:val="22"/>
        </w:rPr>
        <w:t xml:space="preserve">w sprawie </w:t>
      </w:r>
    </w:p>
    <w:p w14:paraId="47C5F395" w14:textId="7FDA6C05" w:rsidR="008862CA" w:rsidRDefault="00B26FE1" w:rsidP="00F60579">
      <w:pPr>
        <w:jc w:val="center"/>
        <w:rPr>
          <w:b/>
          <w:sz w:val="22"/>
          <w:szCs w:val="22"/>
        </w:rPr>
      </w:pPr>
      <w:r w:rsidRPr="009657BA">
        <w:rPr>
          <w:b/>
          <w:sz w:val="22"/>
          <w:szCs w:val="22"/>
        </w:rPr>
        <w:t xml:space="preserve"> </w:t>
      </w:r>
      <w:r w:rsidR="008A3947" w:rsidRPr="009657BA">
        <w:rPr>
          <w:b/>
          <w:sz w:val="22"/>
          <w:szCs w:val="22"/>
        </w:rPr>
        <w:t>doręczeń elektronicznych w postępowaniu karnym</w:t>
      </w:r>
      <w:r w:rsidR="00B61134">
        <w:rPr>
          <w:b/>
          <w:sz w:val="22"/>
          <w:szCs w:val="22"/>
        </w:rPr>
        <w:t xml:space="preserve"> (nr w wykazie 798)</w:t>
      </w:r>
    </w:p>
    <w:p w14:paraId="02977DE5" w14:textId="77777777" w:rsidR="003513AD" w:rsidRPr="009657BA" w:rsidRDefault="003513AD" w:rsidP="00F60579">
      <w:pPr>
        <w:jc w:val="center"/>
        <w:rPr>
          <w:b/>
          <w:cap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1"/>
        <w:gridCol w:w="1295"/>
        <w:gridCol w:w="6389"/>
        <w:gridCol w:w="1452"/>
        <w:gridCol w:w="4315"/>
      </w:tblGrid>
      <w:tr w:rsidR="003513AD" w:rsidRPr="009657BA" w14:paraId="61612507" w14:textId="77777777" w:rsidTr="00573671">
        <w:trPr>
          <w:trHeight w:val="632"/>
          <w:tblHeader/>
        </w:trPr>
        <w:tc>
          <w:tcPr>
            <w:tcW w:w="193" w:type="pct"/>
            <w:shd w:val="pct10" w:color="CCCCFF" w:fill="C0C5DC"/>
            <w:vAlign w:val="center"/>
          </w:tcPr>
          <w:p w14:paraId="101E848E" w14:textId="18E3A124" w:rsidR="004B655D" w:rsidRPr="009657BA" w:rsidRDefault="000C278D" w:rsidP="00F60579">
            <w:pPr>
              <w:snapToGrid w:val="0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63" w:type="pct"/>
            <w:shd w:val="pct10" w:color="CCCCFF" w:fill="C0C5DC"/>
            <w:vAlign w:val="center"/>
          </w:tcPr>
          <w:p w14:paraId="7DD004DD" w14:textId="77777777" w:rsidR="004B655D" w:rsidRPr="009657BA" w:rsidRDefault="00006543" w:rsidP="00F6057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Przepis</w:t>
            </w:r>
          </w:p>
        </w:tc>
        <w:tc>
          <w:tcPr>
            <w:tcW w:w="2283" w:type="pct"/>
            <w:shd w:val="pct10" w:color="CCCCFF" w:fill="C0C5DC"/>
            <w:vAlign w:val="center"/>
          </w:tcPr>
          <w:p w14:paraId="305784DA" w14:textId="77777777" w:rsidR="004B655D" w:rsidRPr="009657BA" w:rsidRDefault="004B655D" w:rsidP="00F6057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519" w:type="pct"/>
            <w:shd w:val="pct10" w:color="CCCCFF" w:fill="C0C5DC"/>
            <w:vAlign w:val="center"/>
          </w:tcPr>
          <w:p w14:paraId="28906EB2" w14:textId="77777777" w:rsidR="004B655D" w:rsidRPr="009657BA" w:rsidRDefault="004B655D" w:rsidP="00F6057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Podmiot zgłaszający uwagę</w:t>
            </w:r>
          </w:p>
        </w:tc>
        <w:tc>
          <w:tcPr>
            <w:tcW w:w="1542" w:type="pct"/>
            <w:shd w:val="pct10" w:color="CCCCFF" w:fill="C0C5DC"/>
            <w:vAlign w:val="center"/>
          </w:tcPr>
          <w:p w14:paraId="47F371CA" w14:textId="77777777" w:rsidR="004B655D" w:rsidRPr="009657BA" w:rsidRDefault="004B655D" w:rsidP="00F6057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Stanowisko MS</w:t>
            </w:r>
          </w:p>
        </w:tc>
      </w:tr>
      <w:tr w:rsidR="003513AD" w:rsidRPr="009657BA" w14:paraId="388D034E" w14:textId="77777777" w:rsidTr="00573671">
        <w:trPr>
          <w:trHeight w:val="1290"/>
        </w:trPr>
        <w:tc>
          <w:tcPr>
            <w:tcW w:w="193" w:type="pct"/>
            <w:shd w:val="clear" w:color="auto" w:fill="auto"/>
          </w:tcPr>
          <w:p w14:paraId="716ED05A" w14:textId="77777777" w:rsidR="003C2F25" w:rsidRPr="009657BA" w:rsidRDefault="003C2F25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433C03FB" w14:textId="59E8AA77" w:rsidR="003C2F25" w:rsidRPr="009657BA" w:rsidRDefault="003C2F25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Uwaga ogólna</w:t>
            </w:r>
          </w:p>
        </w:tc>
        <w:tc>
          <w:tcPr>
            <w:tcW w:w="2283" w:type="pct"/>
            <w:shd w:val="clear" w:color="auto" w:fill="auto"/>
          </w:tcPr>
          <w:p w14:paraId="7071949D" w14:textId="7ACCE3A3" w:rsidR="003C2F25" w:rsidRDefault="003C2F25" w:rsidP="00C6641B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3C2F25">
              <w:rPr>
                <w:rFonts w:ascii="Times New Roman" w:hAnsi="Times New Roman" w:cs="Times New Roman"/>
                <w:sz w:val="22"/>
                <w:szCs w:val="22"/>
              </w:rPr>
              <w:t>Zgodnie z § 120 ust. 5 Zasad techniki prawodawczej określenie przedmiotu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2F25">
              <w:rPr>
                <w:rFonts w:ascii="Times New Roman" w:hAnsi="Times New Roman" w:cs="Times New Roman"/>
                <w:sz w:val="22"/>
                <w:szCs w:val="22"/>
              </w:rPr>
              <w:t>rozporządzenia powinno zostać sformułowane możliwie najzwięźlej i nie powinno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2F25">
              <w:rPr>
                <w:rFonts w:ascii="Times New Roman" w:hAnsi="Times New Roman" w:cs="Times New Roman"/>
                <w:sz w:val="22"/>
                <w:szCs w:val="22"/>
              </w:rPr>
              <w:t>powtarzać się w nim dosłownie wskazanego w upoważnieniu ustawowym zakresu spraw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2F25">
              <w:rPr>
                <w:rFonts w:ascii="Times New Roman" w:hAnsi="Times New Roman" w:cs="Times New Roman"/>
                <w:sz w:val="22"/>
                <w:szCs w:val="22"/>
              </w:rPr>
              <w:t>przekazanych do uregulowania. Poddaje się zatem pod rozwagę nadanie tytułowi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2F25">
              <w:rPr>
                <w:rFonts w:ascii="Times New Roman" w:hAnsi="Times New Roman" w:cs="Times New Roman"/>
                <w:sz w:val="22"/>
                <w:szCs w:val="22"/>
              </w:rPr>
              <w:t>rozporządzenia, w części określającej jego przedmiot, następującego brzmienia: „w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2F25">
              <w:rPr>
                <w:rFonts w:ascii="Times New Roman" w:hAnsi="Times New Roman" w:cs="Times New Roman"/>
                <w:sz w:val="22"/>
                <w:szCs w:val="22"/>
              </w:rPr>
              <w:t>sprawie doręczeń elektronicznych w postępowaniu karnym”</w:t>
            </w:r>
          </w:p>
        </w:tc>
        <w:tc>
          <w:tcPr>
            <w:tcW w:w="519" w:type="pct"/>
            <w:shd w:val="clear" w:color="auto" w:fill="auto"/>
          </w:tcPr>
          <w:p w14:paraId="505F4278" w14:textId="4F50BC8B" w:rsidR="003C2F25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6641B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7185E41C" w14:textId="3D4288D6" w:rsidR="003C2F25" w:rsidRPr="009657BA" w:rsidRDefault="00C6641B" w:rsidP="00F60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Uwaga uwzględniona</w:t>
            </w:r>
            <w:r w:rsidR="002D1A4D">
              <w:rPr>
                <w:sz w:val="22"/>
                <w:szCs w:val="22"/>
              </w:rPr>
              <w:t>.</w:t>
            </w:r>
          </w:p>
        </w:tc>
      </w:tr>
      <w:tr w:rsidR="003513AD" w:rsidRPr="009657BA" w14:paraId="6B2D8C76" w14:textId="77777777" w:rsidTr="00573671">
        <w:trPr>
          <w:trHeight w:val="1290"/>
        </w:trPr>
        <w:tc>
          <w:tcPr>
            <w:tcW w:w="193" w:type="pct"/>
            <w:shd w:val="clear" w:color="auto" w:fill="auto"/>
          </w:tcPr>
          <w:p w14:paraId="66D664CB" w14:textId="77777777" w:rsidR="008C5B8D" w:rsidRPr="009657BA" w:rsidRDefault="008C5B8D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49E5A520" w14:textId="3C883EE7" w:rsidR="008C5B8D" w:rsidRPr="009657BA" w:rsidRDefault="00FA30BA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2</w:t>
            </w:r>
            <w:r w:rsidR="00BF71A3">
              <w:rPr>
                <w:b/>
                <w:sz w:val="22"/>
                <w:szCs w:val="22"/>
              </w:rPr>
              <w:t xml:space="preserve"> pkt </w:t>
            </w:r>
            <w:r w:rsidR="00557C72">
              <w:rPr>
                <w:b/>
                <w:sz w:val="22"/>
                <w:szCs w:val="22"/>
              </w:rPr>
              <w:t>1</w:t>
            </w:r>
            <w:r w:rsidR="00BF71A3">
              <w:rPr>
                <w:b/>
                <w:sz w:val="22"/>
                <w:szCs w:val="22"/>
              </w:rPr>
              <w:t xml:space="preserve"> </w:t>
            </w:r>
            <w:r w:rsidR="00CB483D" w:rsidRPr="009657BA">
              <w:rPr>
                <w:b/>
                <w:sz w:val="22"/>
                <w:szCs w:val="22"/>
              </w:rPr>
              <w:t xml:space="preserve"> </w:t>
            </w:r>
            <w:r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83" w:type="pct"/>
            <w:shd w:val="clear" w:color="auto" w:fill="auto"/>
          </w:tcPr>
          <w:p w14:paraId="3D4A7334" w14:textId="77777777" w:rsidR="008C5B8D" w:rsidRDefault="00CA5953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 pkt 1 po wyrazie „konto” proponuje się dodać wyrazy „w portalu informacyjnym”. W brzmieniu przywołanego w tej jednostce redakcyjnej art. 53e § 1 ustawy z dnia 27 lipca 2001 r. – Prawo 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>ustroju sądów powszechnych, ustawodawca odnosi się do „kont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systemie teleinformatycznym </w:t>
            </w:r>
            <w:r w:rsidR="00557C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>(portal informacyjny)”. W związku z powyższym, analogicznie w brzmieniu przedmiotowej definicji proponuje się wskazanie, że chodzi o „konto w portalu informacyjnym”, tak aby nie było</w:t>
            </w:r>
            <w:r w:rsidR="00557C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konieczności stosowania takiego doprecyzowania w dalszej części projektu, tak jak to na </w:t>
            </w:r>
            <w:r w:rsidR="00557C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>przykład zrobiono niżej w brzmieniu pkt 2</w:t>
            </w:r>
            <w:r w:rsidR="00BF71A3" w:rsidRPr="00BF71A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5759571" w14:textId="77777777" w:rsidR="00C6641B" w:rsidRDefault="00C6641B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C394CF" w14:textId="23726ECB" w:rsidR="00C6641B" w:rsidRPr="009657BA" w:rsidRDefault="00C6641B" w:rsidP="00C6641B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C6641B">
              <w:rPr>
                <w:rFonts w:ascii="Times New Roman" w:hAnsi="Times New Roman" w:cs="Times New Roman"/>
                <w:sz w:val="22"/>
                <w:szCs w:val="22"/>
              </w:rPr>
              <w:t>Poddaje się więc pod rozwagę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641B">
              <w:rPr>
                <w:rFonts w:ascii="Times New Roman" w:hAnsi="Times New Roman" w:cs="Times New Roman"/>
                <w:sz w:val="22"/>
                <w:szCs w:val="22"/>
              </w:rPr>
              <w:t xml:space="preserve">wskazanie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C6641B">
              <w:rPr>
                <w:rFonts w:ascii="Times New Roman" w:hAnsi="Times New Roman" w:cs="Times New Roman"/>
                <w:sz w:val="22"/>
                <w:szCs w:val="22"/>
              </w:rPr>
              <w:t xml:space="preserve"> definicji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konta</w:t>
            </w:r>
            <w:r w:rsidRPr="00C6641B">
              <w:rPr>
                <w:rFonts w:ascii="Times New Roman" w:hAnsi="Times New Roman" w:cs="Times New Roman"/>
                <w:sz w:val="22"/>
                <w:szCs w:val="22"/>
              </w:rPr>
              <w:t>, że chodzi w niej o konto w portalu informacyjnym,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641B">
              <w:rPr>
                <w:rFonts w:ascii="Times New Roman" w:hAnsi="Times New Roman" w:cs="Times New Roman"/>
                <w:sz w:val="22"/>
                <w:szCs w:val="22"/>
              </w:rPr>
              <w:t>o którym mowa w art. 53e § 1 ustawy z dnia 27 lipca 2001 r. – Prawo o ustroju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641B">
              <w:rPr>
                <w:rFonts w:ascii="Times New Roman" w:hAnsi="Times New Roman" w:cs="Times New Roman"/>
                <w:sz w:val="22"/>
                <w:szCs w:val="22"/>
              </w:rPr>
              <w:t>sądów powszechnych</w:t>
            </w:r>
          </w:p>
        </w:tc>
        <w:tc>
          <w:tcPr>
            <w:tcW w:w="519" w:type="pct"/>
            <w:shd w:val="clear" w:color="auto" w:fill="auto"/>
          </w:tcPr>
          <w:p w14:paraId="2A66D16F" w14:textId="77777777" w:rsidR="008C5B8D" w:rsidRDefault="00557C7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Ministerstwo Cyfryzacji </w:t>
            </w:r>
          </w:p>
          <w:p w14:paraId="753898F2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6575568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7690D6F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5685EE8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D5A31B7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45B3F9D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B6490AB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66DCFDC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85AED72" w14:textId="77777777" w:rsidR="00C6641B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230AAC2" w14:textId="5577776C" w:rsidR="00C6641B" w:rsidRPr="009657BA" w:rsidRDefault="00C6641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6641B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220FAAD5" w14:textId="741C08BD" w:rsidR="008C5B8D" w:rsidRPr="009657BA" w:rsidRDefault="008C5B8D" w:rsidP="00F60579">
            <w:pPr>
              <w:jc w:val="both"/>
              <w:rPr>
                <w:sz w:val="22"/>
                <w:szCs w:val="22"/>
              </w:rPr>
            </w:pPr>
          </w:p>
          <w:p w14:paraId="5F34AF80" w14:textId="2925422C" w:rsidR="00851958" w:rsidRPr="009657BA" w:rsidRDefault="00D3710E" w:rsidP="00F60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Uwaga uwzględniona</w:t>
            </w:r>
          </w:p>
          <w:p w14:paraId="19F80391" w14:textId="77777777" w:rsidR="00282974" w:rsidRPr="009657BA" w:rsidRDefault="00282974" w:rsidP="00F60579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0139AFC" w14:textId="003E44F0" w:rsidR="00D9713B" w:rsidRPr="009657BA" w:rsidRDefault="00D9713B" w:rsidP="00F6057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513AD" w:rsidRPr="009657BA" w14:paraId="4D88AAC7" w14:textId="77777777" w:rsidTr="00573671">
        <w:trPr>
          <w:trHeight w:val="1012"/>
        </w:trPr>
        <w:tc>
          <w:tcPr>
            <w:tcW w:w="193" w:type="pct"/>
            <w:shd w:val="clear" w:color="auto" w:fill="auto"/>
          </w:tcPr>
          <w:p w14:paraId="21095E97" w14:textId="77777777" w:rsidR="003C2700" w:rsidRPr="009657BA" w:rsidRDefault="003C2700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7F7E7B87" w14:textId="51E1F07E" w:rsidR="003C2700" w:rsidRPr="009657BA" w:rsidRDefault="003C270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2</w:t>
            </w:r>
            <w:r w:rsidRPr="009657BA">
              <w:rPr>
                <w:b/>
                <w:sz w:val="22"/>
                <w:szCs w:val="22"/>
              </w:rPr>
              <w:t xml:space="preserve"> pkt</w:t>
            </w:r>
            <w:r w:rsidR="009D63C4">
              <w:rPr>
                <w:b/>
                <w:sz w:val="22"/>
                <w:szCs w:val="22"/>
              </w:rPr>
              <w:t xml:space="preserve"> </w:t>
            </w:r>
            <w:r w:rsidR="00557C72">
              <w:rPr>
                <w:b/>
                <w:sz w:val="22"/>
                <w:szCs w:val="22"/>
              </w:rPr>
              <w:t>2</w:t>
            </w:r>
            <w:r w:rsidR="009D63C4">
              <w:rPr>
                <w:b/>
                <w:sz w:val="22"/>
                <w:szCs w:val="22"/>
              </w:rPr>
              <w:t xml:space="preserve"> </w:t>
            </w:r>
            <w:r w:rsidR="00715264"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83" w:type="pct"/>
            <w:shd w:val="clear" w:color="auto" w:fill="auto"/>
          </w:tcPr>
          <w:p w14:paraId="3255DE7C" w14:textId="305034C0" w:rsidR="003C2700" w:rsidRPr="009657BA" w:rsidRDefault="00CA5953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 konsekwencji zmiany proponowanej wyżej, doprecyzowującej definicję pojęcia „konto”, proponuje się w pkt 2 po wyrazie „konto” skreślić wyrazy „w portalu informacyjnym”</w:t>
            </w:r>
            <w:r w:rsidR="0043133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9" w:type="pct"/>
            <w:shd w:val="clear" w:color="auto" w:fill="auto"/>
          </w:tcPr>
          <w:p w14:paraId="2344F904" w14:textId="49ABFDCD" w:rsidR="003C2700" w:rsidRPr="009657BA" w:rsidRDefault="00557C7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557C72">
              <w:rPr>
                <w:b/>
                <w:sz w:val="22"/>
                <w:szCs w:val="22"/>
              </w:rPr>
              <w:t>Ministerstwo Cyfryzacji</w:t>
            </w:r>
          </w:p>
        </w:tc>
        <w:tc>
          <w:tcPr>
            <w:tcW w:w="1542" w:type="pct"/>
            <w:shd w:val="clear" w:color="auto" w:fill="auto"/>
          </w:tcPr>
          <w:p w14:paraId="79166B68" w14:textId="148DBD10" w:rsidR="00E6281D" w:rsidRPr="009657BA" w:rsidRDefault="00E6281D" w:rsidP="00F60579">
            <w:pPr>
              <w:jc w:val="both"/>
              <w:rPr>
                <w:sz w:val="22"/>
                <w:szCs w:val="22"/>
              </w:rPr>
            </w:pPr>
          </w:p>
          <w:p w14:paraId="27099C32" w14:textId="5A3E905E" w:rsidR="00AD1FC2" w:rsidRPr="009657BA" w:rsidRDefault="00D3710E" w:rsidP="00F60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Uwaga uwzględniona </w:t>
            </w:r>
          </w:p>
          <w:p w14:paraId="154C7CC6" w14:textId="77777777" w:rsidR="00AD1FC2" w:rsidRPr="009657BA" w:rsidRDefault="00AD1FC2" w:rsidP="00F60579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811CA3F" w14:textId="11355462" w:rsidR="00D9713B" w:rsidRPr="009657BA" w:rsidRDefault="00D9713B" w:rsidP="00F60579">
            <w:pPr>
              <w:jc w:val="both"/>
              <w:rPr>
                <w:sz w:val="22"/>
                <w:szCs w:val="22"/>
              </w:rPr>
            </w:pPr>
          </w:p>
        </w:tc>
      </w:tr>
      <w:tr w:rsidR="003513AD" w:rsidRPr="009657BA" w14:paraId="4540D9F4" w14:textId="77777777" w:rsidTr="00573671">
        <w:trPr>
          <w:trHeight w:val="1290"/>
        </w:trPr>
        <w:tc>
          <w:tcPr>
            <w:tcW w:w="193" w:type="pct"/>
            <w:shd w:val="clear" w:color="auto" w:fill="auto"/>
          </w:tcPr>
          <w:p w14:paraId="3946F2DF" w14:textId="77777777" w:rsidR="00431330" w:rsidRPr="009657BA" w:rsidRDefault="00431330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71E015BF" w14:textId="63D4040A" w:rsidR="00431330" w:rsidRPr="009657BA" w:rsidRDefault="0043133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pkt 2</w:t>
            </w:r>
          </w:p>
        </w:tc>
        <w:tc>
          <w:tcPr>
            <w:tcW w:w="2283" w:type="pct"/>
            <w:shd w:val="clear" w:color="auto" w:fill="auto"/>
          </w:tcPr>
          <w:p w14:paraId="3CAF3E31" w14:textId="0EE67321" w:rsidR="00431330" w:rsidRDefault="00431330" w:rsidP="00431330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rojektowany przepis określa, kto jest użytkownikiem konta,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za pośrednictwem którego doręcza się pisma procesowe lub inne pisma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postępowaniu karnym. Na tle propozycji tego przepisu wyjaśnienia wymaga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wskazanie jako użytkownika konta „jednostki prokuratury”, zamiast prokuratora -wymienionego w treści art. 133a § 1 k.p.k.</w:t>
            </w:r>
          </w:p>
        </w:tc>
        <w:tc>
          <w:tcPr>
            <w:tcW w:w="519" w:type="pct"/>
            <w:shd w:val="clear" w:color="auto" w:fill="auto"/>
          </w:tcPr>
          <w:p w14:paraId="29F1B6BE" w14:textId="3DB77715" w:rsidR="00431330" w:rsidRPr="00557C72" w:rsidRDefault="0043133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431330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38FC61CD" w14:textId="51B161C3" w:rsidR="00431330" w:rsidRPr="009657BA" w:rsidRDefault="00431330" w:rsidP="00F60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definicji wpisano określenie „prokuratora”</w:t>
            </w:r>
          </w:p>
        </w:tc>
      </w:tr>
      <w:tr w:rsidR="003513AD" w:rsidRPr="009657BA" w14:paraId="4E649DBC" w14:textId="77777777" w:rsidTr="00573671">
        <w:trPr>
          <w:trHeight w:val="1212"/>
        </w:trPr>
        <w:tc>
          <w:tcPr>
            <w:tcW w:w="193" w:type="pct"/>
            <w:shd w:val="clear" w:color="auto" w:fill="auto"/>
          </w:tcPr>
          <w:p w14:paraId="409DE9B4" w14:textId="77777777" w:rsidR="00C371AF" w:rsidRPr="009657BA" w:rsidRDefault="00C371AF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  <w:bookmarkStart w:id="0" w:name="_Hlk119309692"/>
          </w:p>
        </w:tc>
        <w:tc>
          <w:tcPr>
            <w:tcW w:w="463" w:type="pct"/>
            <w:shd w:val="clear" w:color="auto" w:fill="auto"/>
          </w:tcPr>
          <w:p w14:paraId="051B6367" w14:textId="605212E2" w:rsidR="00C371AF" w:rsidRPr="009657BA" w:rsidRDefault="005840AE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557C7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83" w:type="pct"/>
            <w:shd w:val="clear" w:color="auto" w:fill="auto"/>
          </w:tcPr>
          <w:p w14:paraId="7541B5CF" w14:textId="7D7C4B15" w:rsidR="00557C72" w:rsidRPr="00557C72" w:rsidRDefault="00424716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o pkt 2 proponuje się dodać kolejny pkt </w:t>
            </w:r>
            <w:r w:rsidR="003054B4">
              <w:rPr>
                <w:rFonts w:ascii="Times New Roman" w:hAnsi="Times New Roman" w:cs="Times New Roman"/>
                <w:sz w:val="22"/>
                <w:szCs w:val="22"/>
              </w:rPr>
              <w:t xml:space="preserve">w 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>brzmieniu:</w:t>
            </w:r>
          </w:p>
          <w:p w14:paraId="1F558315" w14:textId="47AB5246" w:rsidR="00557C72" w:rsidRPr="00557C72" w:rsidRDefault="00557C72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„..) </w:t>
            </w: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doręczanym piśmie – rozumie się przez to dokument elektroniczny, stanowiący pismo procesowe lub inne pismo, w tym orzeczenia, doręczane użytkownikowi konta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;”</w:t>
            </w:r>
          </w:p>
          <w:p w14:paraId="2E08B4F7" w14:textId="2537F6CD" w:rsidR="005546F2" w:rsidRDefault="00557C72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Proponuje się zdefiniowanie w tym miejscu pojęcia „doręczane pismo”, które wykorzystywane jest w kolejnych jednostkach redakcyjnych projektu. Proponowane brzmienie bazuje na brzmieniu dotychczasowego pkt 4, przy czym rekomenduje się posłużenie szeroko stosowanym, w polskim systemie prawnym, pojęciem „dokument elektroniczny”. Jednocześnie proponuje się wykreślenie zastępowanej powyższą propozycją definicji „pisma” zawartej w pkt 4 (uchylenie pkt 4).</w:t>
            </w:r>
          </w:p>
          <w:p w14:paraId="53575349" w14:textId="6218E6A3" w:rsidR="00557C72" w:rsidRPr="009657BA" w:rsidRDefault="00557C72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</w:tcPr>
          <w:p w14:paraId="4B421BC3" w14:textId="27C84DAF" w:rsidR="005546F2" w:rsidRDefault="00557C7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557C72">
              <w:rPr>
                <w:b/>
                <w:sz w:val="22"/>
                <w:szCs w:val="22"/>
              </w:rPr>
              <w:t>Ministerstwo Cyfryzacji</w:t>
            </w:r>
          </w:p>
          <w:p w14:paraId="45333C61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0496ECC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CA3BF9F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E33CD88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563FD77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4823051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B3C169C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84CE0CD" w14:textId="77777777" w:rsidR="005546F2" w:rsidRDefault="005546F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CD9FF03" w14:textId="77777777" w:rsidR="00C371AF" w:rsidRDefault="00C371AF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F500B11" w14:textId="6F03CA65" w:rsidR="00557C72" w:rsidRPr="009657BA" w:rsidRDefault="00557C7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2" w:type="pct"/>
            <w:shd w:val="clear" w:color="auto" w:fill="auto"/>
          </w:tcPr>
          <w:p w14:paraId="4CC5769F" w14:textId="57ABCD8C" w:rsidR="008E328A" w:rsidRPr="00424716" w:rsidRDefault="00071898" w:rsidP="00F60579">
            <w:pPr>
              <w:jc w:val="both"/>
              <w:rPr>
                <w:sz w:val="22"/>
                <w:szCs w:val="22"/>
              </w:rPr>
            </w:pPr>
            <w:r w:rsidRPr="00424716">
              <w:rPr>
                <w:sz w:val="22"/>
                <w:szCs w:val="22"/>
              </w:rPr>
              <w:t>Przepisy ustawy  z dnia 6 czerwca 1997 r. Kodeks postępowania karnego  (Dz. U. z</w:t>
            </w:r>
            <w:r w:rsidR="00CA5953">
              <w:rPr>
                <w:sz w:val="22"/>
                <w:szCs w:val="22"/>
              </w:rPr>
              <w:t> </w:t>
            </w:r>
            <w:r w:rsidRPr="00424716">
              <w:rPr>
                <w:sz w:val="22"/>
                <w:szCs w:val="22"/>
              </w:rPr>
              <w:t xml:space="preserve">2024 r. poz. 37), dalej jako „k.p.k.”, nie posługują się określeniem „dokument elektroniczny”. Dla przejrzystości rozporządzenia zasadnym jest zawarcie zaproponowanej definicji pisma jako „danych z portalu informacyjnego obejmujących treść pisma </w:t>
            </w:r>
            <w:r w:rsidR="00CA5953">
              <w:rPr>
                <w:sz w:val="22"/>
                <w:szCs w:val="22"/>
              </w:rPr>
              <w:t>p</w:t>
            </w:r>
            <w:r w:rsidRPr="00424716">
              <w:rPr>
                <w:sz w:val="22"/>
                <w:szCs w:val="22"/>
              </w:rPr>
              <w:t xml:space="preserve">odlegającego doręczeniu”. Ponadto ze względu na specyfikę </w:t>
            </w:r>
            <w:r w:rsidR="00CA5953">
              <w:rPr>
                <w:sz w:val="22"/>
                <w:szCs w:val="22"/>
              </w:rPr>
              <w:t>P</w:t>
            </w:r>
            <w:r w:rsidRPr="00424716">
              <w:rPr>
                <w:sz w:val="22"/>
                <w:szCs w:val="22"/>
              </w:rPr>
              <w:t xml:space="preserve">ortalu </w:t>
            </w:r>
            <w:r w:rsidR="00CA5953">
              <w:rPr>
                <w:sz w:val="22"/>
                <w:szCs w:val="22"/>
              </w:rPr>
              <w:t>I</w:t>
            </w:r>
            <w:r w:rsidRPr="00424716">
              <w:rPr>
                <w:sz w:val="22"/>
                <w:szCs w:val="22"/>
              </w:rPr>
              <w:t>nformacyjnego</w:t>
            </w:r>
            <w:r w:rsidR="00CA5953">
              <w:rPr>
                <w:sz w:val="22"/>
                <w:szCs w:val="22"/>
              </w:rPr>
              <w:t xml:space="preserve"> (dalej jako „PI”</w:t>
            </w:r>
            <w:r w:rsidR="002D1A4D">
              <w:rPr>
                <w:sz w:val="22"/>
                <w:szCs w:val="22"/>
              </w:rPr>
              <w:t>)</w:t>
            </w:r>
            <w:r w:rsidRPr="00424716">
              <w:rPr>
                <w:sz w:val="22"/>
                <w:szCs w:val="22"/>
              </w:rPr>
              <w:t xml:space="preserve"> oraz okoliczność, że udostępniane w</w:t>
            </w:r>
            <w:r w:rsidR="00CA5953">
              <w:rPr>
                <w:sz w:val="22"/>
                <w:szCs w:val="22"/>
              </w:rPr>
              <w:t> </w:t>
            </w:r>
            <w:r w:rsidRPr="00424716">
              <w:rPr>
                <w:sz w:val="22"/>
                <w:szCs w:val="22"/>
              </w:rPr>
              <w:t>nim pisma znajdują się w oprogramowaniu wspomagającym biurowość sądową w</w:t>
            </w:r>
            <w:r w:rsidR="00CA5953">
              <w:rPr>
                <w:sz w:val="22"/>
                <w:szCs w:val="22"/>
              </w:rPr>
              <w:t> </w:t>
            </w:r>
            <w:r w:rsidRPr="00424716">
              <w:rPr>
                <w:sz w:val="22"/>
                <w:szCs w:val="22"/>
              </w:rPr>
              <w:t>sprawach w postępowaniach karnych (jak i</w:t>
            </w:r>
            <w:r w:rsidR="00CA5953">
              <w:rPr>
                <w:sz w:val="22"/>
                <w:szCs w:val="22"/>
              </w:rPr>
              <w:t> </w:t>
            </w:r>
            <w:r w:rsidRPr="00424716">
              <w:rPr>
                <w:sz w:val="22"/>
                <w:szCs w:val="22"/>
              </w:rPr>
              <w:t>cywilnych), nie można uznać, że pisma w</w:t>
            </w:r>
            <w:r w:rsidR="00CA5953">
              <w:rPr>
                <w:sz w:val="22"/>
                <w:szCs w:val="22"/>
              </w:rPr>
              <w:t> </w:t>
            </w:r>
            <w:r w:rsidRPr="00424716">
              <w:rPr>
                <w:sz w:val="22"/>
                <w:szCs w:val="22"/>
              </w:rPr>
              <w:t xml:space="preserve">rozumieniu </w:t>
            </w:r>
            <w:r w:rsidR="00C8420D" w:rsidRPr="00424716">
              <w:rPr>
                <w:sz w:val="22"/>
                <w:szCs w:val="22"/>
              </w:rPr>
              <w:t>p</w:t>
            </w:r>
            <w:r w:rsidRPr="00424716">
              <w:rPr>
                <w:sz w:val="22"/>
                <w:szCs w:val="22"/>
              </w:rPr>
              <w:t>rzedmiotowego rozporządzenia, stanowią dokument elektroniczny. Wprowadzenie do definicji takiego określenia, wywołałby wątpliwości i</w:t>
            </w:r>
            <w:r w:rsidR="00CA5953">
              <w:rPr>
                <w:sz w:val="22"/>
                <w:szCs w:val="22"/>
              </w:rPr>
              <w:t> </w:t>
            </w:r>
            <w:r w:rsidRPr="00424716">
              <w:rPr>
                <w:sz w:val="22"/>
                <w:szCs w:val="22"/>
              </w:rPr>
              <w:t>niejasności</w:t>
            </w:r>
            <w:r w:rsidR="00C00BE3">
              <w:rPr>
                <w:sz w:val="22"/>
                <w:szCs w:val="22"/>
              </w:rPr>
              <w:t>.</w:t>
            </w:r>
          </w:p>
        </w:tc>
      </w:tr>
      <w:tr w:rsidR="003513AD" w:rsidRPr="009657BA" w14:paraId="34477196" w14:textId="77777777" w:rsidTr="00573671">
        <w:trPr>
          <w:trHeight w:val="1324"/>
        </w:trPr>
        <w:tc>
          <w:tcPr>
            <w:tcW w:w="193" w:type="pct"/>
            <w:shd w:val="clear" w:color="auto" w:fill="auto"/>
          </w:tcPr>
          <w:p w14:paraId="56989CF5" w14:textId="77777777" w:rsidR="00860575" w:rsidRPr="009657BA" w:rsidRDefault="00860575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37CA50DA" w14:textId="6A8276D5" w:rsidR="00860575" w:rsidRPr="009657BA" w:rsidRDefault="00860575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 </w:t>
            </w:r>
            <w:r w:rsidR="00557C72">
              <w:rPr>
                <w:b/>
                <w:sz w:val="22"/>
                <w:szCs w:val="22"/>
              </w:rPr>
              <w:t>§ 2 pkt 3</w:t>
            </w:r>
          </w:p>
        </w:tc>
        <w:tc>
          <w:tcPr>
            <w:tcW w:w="2283" w:type="pct"/>
            <w:shd w:val="clear" w:color="auto" w:fill="auto"/>
          </w:tcPr>
          <w:p w14:paraId="2CE2E3CC" w14:textId="02FDC9B5" w:rsidR="00557C72" w:rsidRPr="00557C72" w:rsidRDefault="00CE365B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>becnemu pkt 3 proponuje się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7C72" w:rsidRPr="00557C72">
              <w:rPr>
                <w:rFonts w:ascii="Times New Roman" w:hAnsi="Times New Roman" w:cs="Times New Roman"/>
                <w:sz w:val="22"/>
                <w:szCs w:val="22"/>
              </w:rPr>
              <w:t>nadać brzmienie:</w:t>
            </w:r>
          </w:p>
          <w:p w14:paraId="078ECD39" w14:textId="63461880" w:rsidR="00557C72" w:rsidRPr="00557C72" w:rsidRDefault="00557C72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„</w:t>
            </w:r>
            <w:r w:rsidRPr="00CE365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3) odbiorze doręczanego pisma – rozumie się przez to odebranie przez użytkownika konta doręczanego pisma umieszczonego przez sąd na koncie;”</w:t>
            </w:r>
          </w:p>
          <w:p w14:paraId="35C3032E" w14:textId="21A128C7" w:rsidR="00860575" w:rsidRDefault="00557C72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Zasadnym jest nadanie przedmiotowej definicji powyższego skróconego brzmienia. Z dotychczasowej praktyki legislacyjnej Ministerstwa Cyfryzacji wynika, że zbytecznym, a w niektórych okolicznościach wręcz problematycznym, jest wskazywanie w</w:t>
            </w:r>
            <w:r w:rsidR="00CA595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brzmieniu przepisów prawa na stosowanie konkretnego, nazwanego modułu systemu teleinformatycznego. Wystarczającym jest wskazanie systemu teleinformatycznego dedykowanego do realizacji określonych prawem czynności – w tym przypadku jest to „portal informacyjny”, co już wynika z zaproponowanej wyżej definicji pojęcia „konto”. Ponadto, kwestia doręczenia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„w sposób umożliwiający uzyskanie przez nadawcę i odbiorcę dokumentu potwierdzającego doręczenie”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będzie wynikała z treści dalszego brzmienia projektu (patrz proponowane brzmienia § 3 ust. 1, w</w:t>
            </w:r>
            <w:r w:rsidR="00CA595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 xml:space="preserve">powiązaniu z § 2 pkt 5), stąd też w brzmieniu tej definicji 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rekomenduje się rezygnację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7C72">
              <w:rPr>
                <w:rFonts w:ascii="Times New Roman" w:hAnsi="Times New Roman" w:cs="Times New Roman"/>
                <w:sz w:val="22"/>
                <w:szCs w:val="22"/>
              </w:rPr>
              <w:t>z doprecyzowania w tym przedmiocie</w:t>
            </w:r>
          </w:p>
          <w:p w14:paraId="678C8513" w14:textId="3C78207E" w:rsidR="00010C16" w:rsidRPr="009657BA" w:rsidRDefault="00010C16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</w:tcPr>
          <w:p w14:paraId="14DA077E" w14:textId="0C91F32D" w:rsidR="00010C16" w:rsidRPr="009657BA" w:rsidRDefault="00557C72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557C72">
              <w:rPr>
                <w:b/>
                <w:sz w:val="22"/>
                <w:szCs w:val="22"/>
              </w:rPr>
              <w:lastRenderedPageBreak/>
              <w:t>Ministerstwo Cyfryzacji</w:t>
            </w:r>
          </w:p>
        </w:tc>
        <w:tc>
          <w:tcPr>
            <w:tcW w:w="1542" w:type="pct"/>
            <w:shd w:val="clear" w:color="auto" w:fill="auto"/>
          </w:tcPr>
          <w:p w14:paraId="0B5E1B3C" w14:textId="174F0B65" w:rsidR="00860575" w:rsidRPr="00424716" w:rsidRDefault="00CA5953" w:rsidP="00F60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 </w:t>
            </w:r>
            <w:r w:rsidR="00C8420D" w:rsidRPr="00424716">
              <w:rPr>
                <w:sz w:val="22"/>
                <w:szCs w:val="22"/>
              </w:rPr>
              <w:t xml:space="preserve">ma różne funkcjonalności. Poza możliwością dokonywania doręczeń pism przez ten system teleinformatyczny, </w:t>
            </w:r>
            <w:r>
              <w:rPr>
                <w:sz w:val="22"/>
                <w:szCs w:val="22"/>
              </w:rPr>
              <w:t>PI</w:t>
            </w:r>
            <w:r w:rsidR="00C8420D" w:rsidRPr="00424716">
              <w:rPr>
                <w:sz w:val="22"/>
                <w:szCs w:val="22"/>
              </w:rPr>
              <w:t xml:space="preserve"> ma przede wszystkim funkcjonalność informacyjną. W</w:t>
            </w:r>
            <w:r w:rsidR="006D7F38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 xml:space="preserve"> szczególności osoby fizyczne i inne podmioty będące uczestnikami postępowania, po założeniu konta w </w:t>
            </w:r>
            <w:r w:rsidR="006D7F38">
              <w:rPr>
                <w:sz w:val="22"/>
                <w:szCs w:val="22"/>
              </w:rPr>
              <w:t>PI</w:t>
            </w:r>
            <w:r w:rsidR="00C8420D" w:rsidRPr="00424716">
              <w:rPr>
                <w:sz w:val="22"/>
                <w:szCs w:val="22"/>
              </w:rPr>
              <w:t>, mają możliwość zapoznania się ze swoją sprawą, z</w:t>
            </w:r>
            <w:r w:rsidR="006D7F38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>opublikowanymi przez sąd pismami, w tym orzeczeniami, zarządzeniami, protokołami rozpraw i</w:t>
            </w:r>
            <w:r w:rsidR="002D1A4D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>posiedzeń. Nie każde pismo umieszczone w</w:t>
            </w:r>
            <w:r w:rsidR="002D1A4D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 xml:space="preserve">portalu, podlega doręczeniu elektronicznemu, które rodzi skutki procesowe. Z udostępnianymi w </w:t>
            </w:r>
            <w:r w:rsidR="006D7F38">
              <w:rPr>
                <w:sz w:val="22"/>
                <w:szCs w:val="22"/>
              </w:rPr>
              <w:t xml:space="preserve">PI </w:t>
            </w:r>
            <w:r w:rsidR="00C8420D" w:rsidRPr="00424716">
              <w:rPr>
                <w:sz w:val="22"/>
                <w:szCs w:val="22"/>
              </w:rPr>
              <w:t>pismami, strony i</w:t>
            </w:r>
            <w:r w:rsidR="006D7F38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>pełnomocny mogą się zaznajomić, pobrać i</w:t>
            </w:r>
            <w:r w:rsidR="006D7F38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>je wydrukować. Pisma te znajdują się w</w:t>
            </w:r>
            <w:r w:rsidR="006D7F38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 xml:space="preserve">innych modułach (zakładkach), niż pisma które zgodnie z art. 133a § 1 k.p.k. podlegają </w:t>
            </w:r>
            <w:r w:rsidR="00C8420D" w:rsidRPr="00424716">
              <w:rPr>
                <w:sz w:val="22"/>
                <w:szCs w:val="22"/>
              </w:rPr>
              <w:lastRenderedPageBreak/>
              <w:t>doręczeni</w:t>
            </w:r>
            <w:r w:rsidR="00F00E34">
              <w:rPr>
                <w:sz w:val="22"/>
                <w:szCs w:val="22"/>
              </w:rPr>
              <w:t>u</w:t>
            </w:r>
            <w:r w:rsidR="00C8420D" w:rsidRPr="00424716">
              <w:rPr>
                <w:sz w:val="22"/>
                <w:szCs w:val="22"/>
              </w:rPr>
              <w:t>.</w:t>
            </w:r>
            <w:r w:rsidR="00F00E34">
              <w:rPr>
                <w:sz w:val="22"/>
                <w:szCs w:val="22"/>
              </w:rPr>
              <w:t xml:space="preserve"> </w:t>
            </w:r>
            <w:r w:rsidR="00C8420D" w:rsidRPr="00424716">
              <w:rPr>
                <w:sz w:val="22"/>
                <w:szCs w:val="22"/>
              </w:rPr>
              <w:t xml:space="preserve">Reasumując  z uwagi na okoliczność, że pisma doręczane za pośrednictwem </w:t>
            </w:r>
            <w:r w:rsidR="006D7F38">
              <w:rPr>
                <w:sz w:val="22"/>
                <w:szCs w:val="22"/>
              </w:rPr>
              <w:t>PI</w:t>
            </w:r>
            <w:r w:rsidR="00C8420D" w:rsidRPr="00424716">
              <w:rPr>
                <w:sz w:val="22"/>
                <w:szCs w:val="22"/>
              </w:rPr>
              <w:t>, wywołują określone skutki procesowe, konieczne jest ich umieszczenie w</w:t>
            </w:r>
            <w:r w:rsidR="00F00E34">
              <w:rPr>
                <w:sz w:val="22"/>
                <w:szCs w:val="22"/>
              </w:rPr>
              <w:t> </w:t>
            </w:r>
            <w:r w:rsidR="00C8420D" w:rsidRPr="00424716">
              <w:rPr>
                <w:sz w:val="22"/>
                <w:szCs w:val="22"/>
              </w:rPr>
              <w:t xml:space="preserve">module dedykowanym jedynie do doręczeń.   </w:t>
            </w:r>
          </w:p>
        </w:tc>
      </w:tr>
      <w:tr w:rsidR="003513AD" w:rsidRPr="009657BA" w14:paraId="749565EE" w14:textId="77777777" w:rsidTr="00573671">
        <w:trPr>
          <w:trHeight w:val="928"/>
        </w:trPr>
        <w:tc>
          <w:tcPr>
            <w:tcW w:w="193" w:type="pct"/>
            <w:shd w:val="clear" w:color="auto" w:fill="auto"/>
          </w:tcPr>
          <w:p w14:paraId="0AFCD288" w14:textId="77777777" w:rsidR="00431330" w:rsidRPr="009657BA" w:rsidRDefault="00431330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20255D9C" w14:textId="6FECCD07" w:rsidR="00431330" w:rsidRPr="009657BA" w:rsidRDefault="003054B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pkt 3</w:t>
            </w:r>
          </w:p>
        </w:tc>
        <w:tc>
          <w:tcPr>
            <w:tcW w:w="2283" w:type="pct"/>
            <w:shd w:val="clear" w:color="auto" w:fill="auto"/>
          </w:tcPr>
          <w:p w14:paraId="3748CAF9" w14:textId="202878DE" w:rsidR="00431330" w:rsidRPr="00431330" w:rsidRDefault="00431330" w:rsidP="00CA628C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rzeredagowania wymaga zawarta w tym przepisie definicja, zgodnie z którą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ilekroć w rozporządzeniu jest mowa o odbiorze pisma – rozumie się przez to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„odebranie przez użytkownika konta pisma (…)” – definicja ta w tej części jest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 xml:space="preserve">obciążona błędem </w:t>
            </w:r>
            <w:proofErr w:type="spellStart"/>
            <w:r w:rsidRPr="002D1A4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idem</w:t>
            </w:r>
            <w:proofErr w:type="spellEnd"/>
            <w:r w:rsidRPr="002D1A4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per </w:t>
            </w:r>
            <w:proofErr w:type="spellStart"/>
            <w:r w:rsidRPr="002D1A4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idem</w:t>
            </w:r>
            <w:proofErr w:type="spellEnd"/>
            <w:r w:rsidRPr="002D1A4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Ponadto należy zauważyć, że zgodnie z art. 133a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§ 1 k.p.k., doręczenie pism procesowych lub innych lub innych pism następuje</w:t>
            </w:r>
          </w:p>
          <w:p w14:paraId="5484F7F9" w14:textId="245AFFBB" w:rsidR="00431330" w:rsidRDefault="00431330" w:rsidP="00CA628C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„przez umieszczenie ich treści w portalu informacyjnym (…) w</w:t>
            </w:r>
            <w:r w:rsidR="002D1A4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sposób umożliwiający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uzyskanie przez nadawcę i odbiorcę dokumentu potwierdzającego doręczenie”.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Omawiany przepis odnosi się zaś jednie do uzyskania przez odbiorcę dokumentu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potwierdzającego doręczenie, pomijając tym samym jego nadawcę. W tym zakresie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wydaje się on niespójny z ww. przepisem art. 133a § 1 k.p.k. – co wymaga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wyjaśnienia bądź odpowiedniej korekty tej regulacji. Ponadto zauważa się, że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 xml:space="preserve">równolegle procedowanym projekcie rozporządzenia </w:t>
            </w:r>
            <w:r w:rsidRPr="002D1A4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sprawie szczegółowego trybu i sposobu doręczania pism sądowych za pośrednictwem portalu informacyjnego w postępowaniu cywilnym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 xml:space="preserve"> (A516), w definicji pojęcia „odbiór pisma” uwzględniono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także „doręczenie zastępcze”, dokonywane po upływie 14 dni od dnia zamieszczenia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pisma w</w:t>
            </w:r>
            <w:r w:rsidR="002D1A4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portalu – czego nie przewiduje analogiczna definicja zawarta w</w:t>
            </w:r>
            <w:r w:rsidR="002D1A4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przedmiotowym projekcie (kwestia ta wymaga wyjaśnienia, konieczna może okazać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1330">
              <w:rPr>
                <w:rFonts w:ascii="Times New Roman" w:hAnsi="Times New Roman" w:cs="Times New Roman"/>
                <w:sz w:val="22"/>
                <w:szCs w:val="22"/>
              </w:rPr>
              <w:t>się także korekta projektowanych przepisów)</w:t>
            </w:r>
          </w:p>
        </w:tc>
        <w:tc>
          <w:tcPr>
            <w:tcW w:w="519" w:type="pct"/>
            <w:shd w:val="clear" w:color="auto" w:fill="auto"/>
          </w:tcPr>
          <w:p w14:paraId="0C29DE2E" w14:textId="6BEB13E3" w:rsidR="00431330" w:rsidRPr="00557C72" w:rsidRDefault="00CA628C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A628C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3D3D5291" w14:textId="6281469C" w:rsidR="00431330" w:rsidRDefault="00CA628C" w:rsidP="00CA628C">
            <w:pPr>
              <w:jc w:val="both"/>
              <w:rPr>
                <w:sz w:val="22"/>
                <w:szCs w:val="22"/>
              </w:rPr>
            </w:pPr>
            <w:r w:rsidRPr="00CA628C">
              <w:rPr>
                <w:sz w:val="22"/>
                <w:szCs w:val="22"/>
              </w:rPr>
              <w:t>Zmieniono definicję „odbiór pisma”, a nadto jest ona tożsama z definicją zawartą</w:t>
            </w:r>
            <w:r>
              <w:rPr>
                <w:sz w:val="22"/>
                <w:szCs w:val="22"/>
              </w:rPr>
              <w:t xml:space="preserve"> </w:t>
            </w:r>
            <w:r w:rsidRPr="00CA628C">
              <w:rPr>
                <w:sz w:val="22"/>
                <w:szCs w:val="22"/>
              </w:rPr>
              <w:t xml:space="preserve">projekcie rozporządzenia </w:t>
            </w:r>
            <w:r w:rsidRPr="00CA628C">
              <w:rPr>
                <w:i/>
                <w:iCs/>
                <w:sz w:val="22"/>
                <w:szCs w:val="22"/>
              </w:rPr>
              <w:t>w sprawie doręczania pism sądowych za pośrednictwem portalu informacyjnego w postępowaniu cywilnym</w:t>
            </w:r>
            <w:r w:rsidRPr="00CA628C">
              <w:rPr>
                <w:sz w:val="22"/>
                <w:szCs w:val="22"/>
              </w:rPr>
              <w:t xml:space="preserve"> (A516).</w:t>
            </w:r>
          </w:p>
        </w:tc>
      </w:tr>
      <w:tr w:rsidR="003513AD" w:rsidRPr="009657BA" w14:paraId="719F39CA" w14:textId="77777777" w:rsidTr="00573671">
        <w:trPr>
          <w:trHeight w:val="1324"/>
        </w:trPr>
        <w:tc>
          <w:tcPr>
            <w:tcW w:w="193" w:type="pct"/>
            <w:shd w:val="clear" w:color="auto" w:fill="auto"/>
          </w:tcPr>
          <w:p w14:paraId="756D211A" w14:textId="77777777" w:rsidR="000C43D0" w:rsidRPr="009657BA" w:rsidRDefault="000C43D0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769BE2F2" w14:textId="30A798E1" w:rsidR="000C43D0" w:rsidRPr="009657BA" w:rsidRDefault="000C43D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pkt 4</w:t>
            </w:r>
          </w:p>
        </w:tc>
        <w:tc>
          <w:tcPr>
            <w:tcW w:w="2283" w:type="pct"/>
            <w:shd w:val="clear" w:color="auto" w:fill="auto"/>
          </w:tcPr>
          <w:p w14:paraId="555E4B88" w14:textId="4B39A235" w:rsidR="000C43D0" w:rsidRDefault="002D1A4D" w:rsidP="000C43D0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0C43D0" w:rsidRPr="000C43D0">
              <w:rPr>
                <w:rFonts w:ascii="Times New Roman" w:hAnsi="Times New Roman" w:cs="Times New Roman"/>
                <w:sz w:val="22"/>
                <w:szCs w:val="22"/>
              </w:rPr>
              <w:t>otwierdzenia wymaga poprawność uznania orzeczeń sądowych za</w:t>
            </w:r>
            <w:r w:rsidR="000C4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43D0" w:rsidRPr="000C43D0">
              <w:rPr>
                <w:rFonts w:ascii="Times New Roman" w:hAnsi="Times New Roman" w:cs="Times New Roman"/>
                <w:sz w:val="22"/>
                <w:szCs w:val="22"/>
              </w:rPr>
              <w:t>przynależące do kategorii „innych pism” - wątpliwości może bowiem budzić uznanie</w:t>
            </w:r>
            <w:r w:rsidR="000C4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43D0" w:rsidRPr="000C43D0">
              <w:rPr>
                <w:rFonts w:ascii="Times New Roman" w:hAnsi="Times New Roman" w:cs="Times New Roman"/>
                <w:sz w:val="22"/>
                <w:szCs w:val="22"/>
              </w:rPr>
              <w:t>wyroków, za pewien</w:t>
            </w:r>
            <w:r w:rsidR="000C4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43D0" w:rsidRPr="000C43D0">
              <w:rPr>
                <w:rFonts w:ascii="Times New Roman" w:hAnsi="Times New Roman" w:cs="Times New Roman"/>
                <w:sz w:val="22"/>
                <w:szCs w:val="22"/>
              </w:rPr>
              <w:t>rodzaj „pisma”</w:t>
            </w:r>
            <w:r w:rsidR="000C43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9" w:type="pct"/>
            <w:shd w:val="clear" w:color="auto" w:fill="auto"/>
          </w:tcPr>
          <w:p w14:paraId="1D8496B8" w14:textId="67D0D201" w:rsidR="000C43D0" w:rsidRPr="00CA628C" w:rsidRDefault="000C43D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C43D0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0296E36B" w14:textId="48D7DB62" w:rsidR="003054B4" w:rsidRPr="00CA628C" w:rsidRDefault="000C43D0" w:rsidP="000C43D0">
            <w:pPr>
              <w:jc w:val="both"/>
              <w:rPr>
                <w:sz w:val="22"/>
                <w:szCs w:val="22"/>
              </w:rPr>
            </w:pPr>
            <w:r w:rsidRPr="000C43D0">
              <w:rPr>
                <w:sz w:val="22"/>
                <w:szCs w:val="22"/>
              </w:rPr>
              <w:t>Zmieniono definicję „pisma”, a nadto jest ona tożsama z definicją zawartą w projekcie</w:t>
            </w:r>
            <w:r>
              <w:rPr>
                <w:sz w:val="22"/>
                <w:szCs w:val="22"/>
              </w:rPr>
              <w:t xml:space="preserve"> </w:t>
            </w:r>
            <w:r w:rsidRPr="000C43D0">
              <w:rPr>
                <w:sz w:val="22"/>
                <w:szCs w:val="22"/>
              </w:rPr>
              <w:t xml:space="preserve">rozporządzenia </w:t>
            </w:r>
            <w:r w:rsidRPr="002D1A4D">
              <w:rPr>
                <w:i/>
                <w:iCs/>
                <w:sz w:val="22"/>
                <w:szCs w:val="22"/>
              </w:rPr>
              <w:t>w sprawie doręczania pism sądowych za pośrednictwem portalu informacyjnego w postępowaniu cywilnym</w:t>
            </w:r>
            <w:r w:rsidRPr="000C43D0">
              <w:rPr>
                <w:sz w:val="22"/>
                <w:szCs w:val="22"/>
              </w:rPr>
              <w:t xml:space="preserve"> (A516)</w:t>
            </w:r>
            <w:r w:rsidR="00693FDA">
              <w:rPr>
                <w:sz w:val="22"/>
                <w:szCs w:val="22"/>
              </w:rPr>
              <w:t xml:space="preserve"> </w:t>
            </w:r>
            <w:r w:rsidR="00693FDA" w:rsidRPr="00693FDA">
              <w:rPr>
                <w:sz w:val="20"/>
                <w:szCs w:val="20"/>
              </w:rPr>
              <w:t>(uzupełnienie stanowiska w pkt. 6 i 11 tabeli)</w:t>
            </w:r>
          </w:p>
        </w:tc>
      </w:tr>
      <w:bookmarkEnd w:id="0"/>
      <w:tr w:rsidR="003513AD" w:rsidRPr="009657BA" w14:paraId="37C09605" w14:textId="77777777" w:rsidTr="00573671">
        <w:trPr>
          <w:trHeight w:val="1278"/>
        </w:trPr>
        <w:tc>
          <w:tcPr>
            <w:tcW w:w="193" w:type="pct"/>
            <w:shd w:val="clear" w:color="auto" w:fill="auto"/>
          </w:tcPr>
          <w:p w14:paraId="6B089109" w14:textId="77777777" w:rsidR="000379CD" w:rsidRPr="009657BA" w:rsidRDefault="000379CD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42B0E547" w14:textId="0191A915" w:rsidR="000379CD" w:rsidRPr="009657BA" w:rsidRDefault="000379C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3D4E08" w:rsidRPr="009657BA">
              <w:rPr>
                <w:b/>
                <w:sz w:val="22"/>
                <w:szCs w:val="22"/>
              </w:rPr>
              <w:t>2</w:t>
            </w:r>
            <w:r w:rsidR="0076363D" w:rsidRPr="009657BA">
              <w:rPr>
                <w:b/>
                <w:sz w:val="22"/>
                <w:szCs w:val="22"/>
              </w:rPr>
              <w:t xml:space="preserve"> pkt </w:t>
            </w:r>
            <w:r w:rsidR="00260358">
              <w:rPr>
                <w:b/>
                <w:sz w:val="22"/>
                <w:szCs w:val="22"/>
              </w:rPr>
              <w:t>5</w:t>
            </w:r>
            <w:r w:rsidR="0076363D"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83" w:type="pct"/>
            <w:shd w:val="clear" w:color="auto" w:fill="auto"/>
          </w:tcPr>
          <w:p w14:paraId="1A974659" w14:textId="0D1A3D0C" w:rsidR="00260358" w:rsidRPr="00260358" w:rsidRDefault="00CE365B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260358" w:rsidRPr="00260358">
              <w:rPr>
                <w:rFonts w:ascii="Times New Roman" w:hAnsi="Times New Roman" w:cs="Times New Roman"/>
                <w:sz w:val="22"/>
                <w:szCs w:val="22"/>
              </w:rPr>
              <w:t>becnemu pkt 5 proponuje się</w:t>
            </w:r>
            <w:r w:rsidR="002603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0358" w:rsidRPr="00260358">
              <w:rPr>
                <w:rFonts w:ascii="Times New Roman" w:hAnsi="Times New Roman" w:cs="Times New Roman"/>
                <w:sz w:val="22"/>
                <w:szCs w:val="22"/>
              </w:rPr>
              <w:t>nadać brzmienie:</w:t>
            </w:r>
          </w:p>
          <w:p w14:paraId="27D56F29" w14:textId="426A27B0" w:rsidR="00260358" w:rsidRPr="00346A39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”5) elektronicznym potwierdzeniu odbioru - rozumie się przez to dokument elektroniczny stanowiący potwierdzenie doręczenia doręczanego pisma albo zawierający informację, że doręczane pismo uznaje się za doręczone w trybie art. 133a § 3 ustawy z dnia 6</w:t>
            </w:r>
            <w:r w:rsidR="006D7F3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 </w:t>
            </w: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czerwca 1997 r. – Kodeks postępowania karnego, zwanym dalej „k.p.k.”;</w:t>
            </w:r>
          </w:p>
          <w:p w14:paraId="1758BAEC" w14:textId="660A0EB9" w:rsidR="00450793" w:rsidRPr="009657BA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Proponowana zmiana jest konsekwencją zmian proponowanych w</w:t>
            </w:r>
            <w:r w:rsidR="006D7F3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innych definicjac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h.</w:t>
            </w:r>
          </w:p>
        </w:tc>
        <w:tc>
          <w:tcPr>
            <w:tcW w:w="519" w:type="pct"/>
            <w:shd w:val="clear" w:color="auto" w:fill="auto"/>
          </w:tcPr>
          <w:p w14:paraId="4207B950" w14:textId="2D5FBB7F" w:rsidR="00D83B53" w:rsidRPr="009657BA" w:rsidRDefault="00260358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60358">
              <w:rPr>
                <w:b/>
                <w:sz w:val="22"/>
                <w:szCs w:val="22"/>
              </w:rPr>
              <w:t>Ministerstwo Cyfryzacji</w:t>
            </w:r>
          </w:p>
        </w:tc>
        <w:tc>
          <w:tcPr>
            <w:tcW w:w="1542" w:type="pct"/>
            <w:shd w:val="clear" w:color="auto" w:fill="auto"/>
          </w:tcPr>
          <w:p w14:paraId="3D5D1A23" w14:textId="6DDCCAD1" w:rsidR="00260358" w:rsidRPr="009657BA" w:rsidRDefault="00C8420D" w:rsidP="00F60579">
            <w:pPr>
              <w:jc w:val="both"/>
              <w:rPr>
                <w:sz w:val="22"/>
                <w:szCs w:val="22"/>
              </w:rPr>
            </w:pPr>
            <w:r w:rsidRPr="00C8420D">
              <w:rPr>
                <w:sz w:val="22"/>
                <w:szCs w:val="22"/>
              </w:rPr>
              <w:t xml:space="preserve">Konsekwencją nieuwzględnienia uwag </w:t>
            </w:r>
            <w:r w:rsidR="00F00E34">
              <w:rPr>
                <w:sz w:val="22"/>
                <w:szCs w:val="22"/>
              </w:rPr>
              <w:t>z pkt 5 i 6</w:t>
            </w:r>
            <w:r w:rsidRPr="00C8420D">
              <w:rPr>
                <w:sz w:val="22"/>
                <w:szCs w:val="22"/>
              </w:rPr>
              <w:t xml:space="preserve">, brak jest możliwości przyjęcia propozycji.  </w:t>
            </w:r>
          </w:p>
        </w:tc>
      </w:tr>
      <w:tr w:rsidR="003513AD" w:rsidRPr="009657BA" w14:paraId="3A12C744" w14:textId="77777777" w:rsidTr="00573671">
        <w:trPr>
          <w:trHeight w:val="1278"/>
        </w:trPr>
        <w:tc>
          <w:tcPr>
            <w:tcW w:w="193" w:type="pct"/>
            <w:shd w:val="clear" w:color="auto" w:fill="auto"/>
          </w:tcPr>
          <w:p w14:paraId="123186A5" w14:textId="77777777" w:rsidR="002953CC" w:rsidRPr="009657BA" w:rsidRDefault="002953CC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1107302D" w14:textId="7CCB24FB" w:rsidR="002953CC" w:rsidRPr="009657BA" w:rsidRDefault="002953CC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pkt. 5</w:t>
            </w:r>
          </w:p>
        </w:tc>
        <w:tc>
          <w:tcPr>
            <w:tcW w:w="2283" w:type="pct"/>
            <w:shd w:val="clear" w:color="auto" w:fill="auto"/>
          </w:tcPr>
          <w:p w14:paraId="5BCFE5B8" w14:textId="03D88A3B" w:rsidR="002953CC" w:rsidRDefault="002953CC" w:rsidP="002953CC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rzepis ten wymaga przeredagowania - w celu dostosowania do art. 133a § 3k.p.k. W art. 133a § 3 k.p.k. w zdaniu drugim, w odniesieniu do doręczenia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dokonywanego wskutek upływu 14 dni od wskazanej w nim daty, nie wskazano</w:t>
            </w:r>
            <w:r w:rsidR="00693FD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że pismo uznaje się wówczas za doręczone (jak zapisano to w § 2 pkt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projektu), ale że w takim przypadku „doręczenie uznaje się za skuteczne”.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Zauważenia także wymaga, iż o takim „zastępczym” doręczeniu stanowi jedynie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zdanie drugie w art. 133a § 3 k.p.k., natomiast zawarte w § 2 pkt 5 projektu odesłanie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odsyła ogólnie do „całości” trybu regulowanego w trybu w</w:t>
            </w:r>
            <w:r w:rsidR="003054B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art. 133 § 3 k.p.k.–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obejmującego także 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ręczenie dokonywane w</w:t>
            </w:r>
            <w:r w:rsidR="003054B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związku z uzyskaniem z portalu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53CC">
              <w:rPr>
                <w:rFonts w:ascii="Times New Roman" w:hAnsi="Times New Roman" w:cs="Times New Roman"/>
                <w:sz w:val="22"/>
                <w:szCs w:val="22"/>
              </w:rPr>
              <w:t>dokumentu potwierdzającego doręczenie.</w:t>
            </w:r>
          </w:p>
        </w:tc>
        <w:tc>
          <w:tcPr>
            <w:tcW w:w="519" w:type="pct"/>
            <w:shd w:val="clear" w:color="auto" w:fill="auto"/>
          </w:tcPr>
          <w:p w14:paraId="51ACA699" w14:textId="7FC44582" w:rsidR="002953CC" w:rsidRPr="00260358" w:rsidRDefault="002953CC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C43D0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678024DB" w14:textId="67079556" w:rsidR="002953CC" w:rsidRPr="00C8420D" w:rsidRDefault="002953CC" w:rsidP="003054B4">
            <w:pPr>
              <w:jc w:val="both"/>
              <w:rPr>
                <w:sz w:val="22"/>
                <w:szCs w:val="22"/>
              </w:rPr>
            </w:pPr>
            <w:r w:rsidRPr="002953CC">
              <w:rPr>
                <w:sz w:val="22"/>
                <w:szCs w:val="22"/>
              </w:rPr>
              <w:t>Uwaga uwzględniona, przeredagowano przepis, a nadto jest on tożsamy z regulacją</w:t>
            </w:r>
            <w:r w:rsidR="003054B4">
              <w:rPr>
                <w:sz w:val="22"/>
                <w:szCs w:val="22"/>
              </w:rPr>
              <w:t xml:space="preserve"> </w:t>
            </w:r>
            <w:r w:rsidRPr="002953CC">
              <w:rPr>
                <w:sz w:val="22"/>
                <w:szCs w:val="22"/>
              </w:rPr>
              <w:t xml:space="preserve">zawartą w projekcie rozporządzenia </w:t>
            </w:r>
            <w:r w:rsidRPr="00573671">
              <w:rPr>
                <w:i/>
                <w:iCs/>
                <w:sz w:val="22"/>
                <w:szCs w:val="22"/>
              </w:rPr>
              <w:t>w</w:t>
            </w:r>
            <w:r w:rsidR="003054B4" w:rsidRPr="00573671">
              <w:rPr>
                <w:i/>
                <w:iCs/>
                <w:sz w:val="22"/>
                <w:szCs w:val="22"/>
              </w:rPr>
              <w:t> </w:t>
            </w:r>
            <w:r w:rsidRPr="00573671">
              <w:rPr>
                <w:i/>
                <w:iCs/>
                <w:sz w:val="22"/>
                <w:szCs w:val="22"/>
              </w:rPr>
              <w:t>sprawie doręczania pism sądowych za</w:t>
            </w:r>
            <w:r w:rsidR="003054B4" w:rsidRPr="00573671">
              <w:rPr>
                <w:i/>
                <w:iCs/>
                <w:sz w:val="22"/>
                <w:szCs w:val="22"/>
              </w:rPr>
              <w:t xml:space="preserve"> </w:t>
            </w:r>
            <w:r w:rsidRPr="00573671">
              <w:rPr>
                <w:i/>
                <w:iCs/>
                <w:sz w:val="22"/>
                <w:szCs w:val="22"/>
              </w:rPr>
              <w:t>pośrednictwem portalu informacyjnego w</w:t>
            </w:r>
            <w:r w:rsidR="003054B4" w:rsidRPr="00573671">
              <w:rPr>
                <w:i/>
                <w:iCs/>
                <w:sz w:val="22"/>
                <w:szCs w:val="22"/>
              </w:rPr>
              <w:t> </w:t>
            </w:r>
            <w:r w:rsidRPr="00573671">
              <w:rPr>
                <w:i/>
                <w:iCs/>
                <w:sz w:val="22"/>
                <w:szCs w:val="22"/>
              </w:rPr>
              <w:t xml:space="preserve"> postępowaniu cywilnym</w:t>
            </w:r>
            <w:r w:rsidRPr="002953CC">
              <w:rPr>
                <w:sz w:val="22"/>
                <w:szCs w:val="22"/>
              </w:rPr>
              <w:t xml:space="preserve"> (A516).</w:t>
            </w:r>
          </w:p>
        </w:tc>
      </w:tr>
      <w:tr w:rsidR="003513AD" w:rsidRPr="009657BA" w14:paraId="630B184A" w14:textId="77777777" w:rsidTr="003513AD">
        <w:trPr>
          <w:trHeight w:val="645"/>
        </w:trPr>
        <w:tc>
          <w:tcPr>
            <w:tcW w:w="193" w:type="pct"/>
            <w:shd w:val="clear" w:color="auto" w:fill="auto"/>
          </w:tcPr>
          <w:p w14:paraId="4FBA391A" w14:textId="77777777" w:rsidR="002C09CB" w:rsidRPr="009657BA" w:rsidRDefault="002C09CB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3343FF6F" w14:textId="4CE7B0FA" w:rsidR="002C09CB" w:rsidRPr="009657BA" w:rsidRDefault="002C09CB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260358">
              <w:rPr>
                <w:b/>
                <w:sz w:val="22"/>
                <w:szCs w:val="22"/>
              </w:rPr>
              <w:t>3</w:t>
            </w:r>
            <w:r w:rsidR="0076363D" w:rsidRPr="009657BA">
              <w:rPr>
                <w:b/>
                <w:sz w:val="22"/>
                <w:szCs w:val="22"/>
              </w:rPr>
              <w:t xml:space="preserve"> </w:t>
            </w:r>
            <w:r w:rsidRPr="009657BA">
              <w:rPr>
                <w:b/>
                <w:sz w:val="22"/>
                <w:szCs w:val="22"/>
              </w:rPr>
              <w:t xml:space="preserve"> </w:t>
            </w:r>
            <w:r w:rsidR="004827F0">
              <w:rPr>
                <w:b/>
                <w:sz w:val="22"/>
                <w:szCs w:val="22"/>
              </w:rPr>
              <w:t>ust. 1-</w:t>
            </w:r>
            <w:r w:rsidR="003513AD">
              <w:rPr>
                <w:b/>
                <w:sz w:val="22"/>
                <w:szCs w:val="22"/>
              </w:rPr>
              <w:t>2</w:t>
            </w:r>
          </w:p>
          <w:p w14:paraId="362D8631" w14:textId="6B3033E6" w:rsidR="0076363D" w:rsidRPr="009657BA" w:rsidRDefault="0076363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83" w:type="pct"/>
            <w:shd w:val="clear" w:color="auto" w:fill="auto"/>
          </w:tcPr>
          <w:p w14:paraId="7E608313" w14:textId="42A4A0D1" w:rsidR="00260358" w:rsidRPr="00260358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§ 3 proponuje się</w:t>
            </w:r>
            <w:r w:rsidR="00CE36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nadać brzmienie:</w:t>
            </w:r>
          </w:p>
          <w:p w14:paraId="0095186C" w14:textId="0003478C" w:rsidR="00260358" w:rsidRPr="00346A39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„§ 3. 1. Doręczane pismo doręcza się poprzez jego umieszczenie na koncie adresata, w sposób umożliwiający uzyskanie, przez sąd i</w:t>
            </w:r>
            <w:r w:rsidR="006D7F3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 </w:t>
            </w: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użytkownika konta, elektronicznego potwierdzenia odbioru. </w:t>
            </w:r>
          </w:p>
          <w:p w14:paraId="2F169CFD" w14:textId="59BE4EC3" w:rsidR="00260358" w:rsidRPr="00346A39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2. Jeżeli adresat doręczanego pisma nie ma założonego konta doręczane pismo pozostawia się w aktach sprawy ze skutkiem doręczenia.”;</w:t>
            </w:r>
          </w:p>
          <w:p w14:paraId="31991FA2" w14:textId="29EFA1AA" w:rsidR="003513AD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Proponuje się nadanie przedmiotowej jednostce redakcyjnej powyższego brzmienia w szczególności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 xml:space="preserve">dostosowując treść tej jednostki do wyżej zaproponowanych zmian w projekcie.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W świetle zaproponowanych definicji „użytkownik konta” jest osobą lub podmiotem, dla którego założono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konto w portalu informacyjnym, stąd też w brzmieniu ust. 2 (dotychczasowego ust. 4) w odniesieniu</w:t>
            </w:r>
            <w:r w:rsidR="00445D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 xml:space="preserve">do osoby, która „nie ma założonego konta”, proponuje się zastąpienie frazy „użytkownik konta”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zwrotem „adresat doręczanego pisma”.</w:t>
            </w:r>
            <w:r w:rsidR="00445D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 xml:space="preserve">Doręczany dokument elektroniczny (pismo) powinien być opatrzony podpisem elektronicznym gwarantującym integralność tego dokumentu. Wobec powyższego nie ma znaczenia, czy będzie to plik edytowalny, czy nieedytowalny – co do zasady nie określa się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w</w:t>
            </w:r>
            <w:r w:rsidR="0057367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przepisach prawa tego aspektu doręczanego pisma. Stąd też zasadną jest rezygnacja z dotychczasowego ust. 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DF5638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1DEAB3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D0991B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99264E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FC95E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AA5CAF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306746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3D119C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5BE7A2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6E6CA6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96B9E9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A75BE0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60C20A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86A610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88B534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310605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CC944E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F2B155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292718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FBB9CF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438CF9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ECFA90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A85697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F68E35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B08F7B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0AC249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F6DD1E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D5FD96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BC020A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9618B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6B087A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C4340A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4C6D7F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119EB0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BD4E15" w14:textId="77777777" w:rsidR="003513AD" w:rsidRDefault="003513AD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929B10" w14:textId="3317EF2B" w:rsidR="004827F0" w:rsidRPr="009657BA" w:rsidRDefault="004827F0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</w:tcPr>
          <w:p w14:paraId="6BCD103A" w14:textId="3814AE0C" w:rsidR="002C09CB" w:rsidRDefault="00260358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60358">
              <w:rPr>
                <w:b/>
                <w:sz w:val="22"/>
                <w:szCs w:val="22"/>
              </w:rPr>
              <w:lastRenderedPageBreak/>
              <w:t>Ministerstwo Cyfryzacji</w:t>
            </w:r>
            <w:r w:rsidR="00573671">
              <w:rPr>
                <w:b/>
                <w:sz w:val="22"/>
                <w:szCs w:val="22"/>
              </w:rPr>
              <w:t xml:space="preserve"> </w:t>
            </w:r>
          </w:p>
          <w:p w14:paraId="1E8400A1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D7663A0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9B4E071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540509A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4C452E9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EE400D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98BDD88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C2B90CB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12F841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C9761E6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8628CA3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DF61E32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FB702A3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DCA903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3DD2168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8086967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E16FC67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616D673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5BDF861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DA9EED0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0341B8B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C7AD87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2D706C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ED31FB2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49F5E3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65523A3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E9FCA1A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C1DBA36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24CA032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4A2A8DD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2D934C3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E9005C8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7565A91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234A421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F6F31A6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C803BD5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00DC2F0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E274294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9E5B481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8126549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32FEDE7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A33D09A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D76B2C7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578F144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0B3BA22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699522F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1291FE6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06D39C6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B8D0E15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3971408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8B9EBBC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3D9A46B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DC07A72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1CD75DA" w14:textId="77777777" w:rsidR="004827F0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B02AE7C" w14:textId="3440735C" w:rsidR="003513AD" w:rsidRPr="009657BA" w:rsidRDefault="003513A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42" w:type="pct"/>
            <w:shd w:val="clear" w:color="auto" w:fill="auto"/>
          </w:tcPr>
          <w:p w14:paraId="6D87E977" w14:textId="2EB1A725" w:rsidR="00C8420D" w:rsidRPr="00C8420D" w:rsidRDefault="00C8420D" w:rsidP="00F60579">
            <w:pPr>
              <w:jc w:val="both"/>
              <w:rPr>
                <w:sz w:val="22"/>
                <w:szCs w:val="22"/>
              </w:rPr>
            </w:pPr>
            <w:r w:rsidRPr="00C8420D">
              <w:rPr>
                <w:sz w:val="22"/>
                <w:szCs w:val="22"/>
              </w:rPr>
              <w:lastRenderedPageBreak/>
              <w:t xml:space="preserve">Z uwagi na specyfikę </w:t>
            </w:r>
            <w:r w:rsidR="006D7F38">
              <w:rPr>
                <w:sz w:val="22"/>
                <w:szCs w:val="22"/>
              </w:rPr>
              <w:t>PI</w:t>
            </w:r>
            <w:r w:rsidRPr="00C8420D">
              <w:rPr>
                <w:sz w:val="22"/>
                <w:szCs w:val="22"/>
              </w:rPr>
              <w:t>, pisma dotyczące danej sprawy co do zasady udostępniane są w</w:t>
            </w:r>
            <w:r w:rsidR="006D7F38">
              <w:rPr>
                <w:sz w:val="22"/>
                <w:szCs w:val="22"/>
              </w:rPr>
              <w:t> </w:t>
            </w:r>
            <w:r w:rsidRPr="00C8420D">
              <w:rPr>
                <w:sz w:val="22"/>
                <w:szCs w:val="22"/>
              </w:rPr>
              <w:t>module „Dokumenty”. W danej sprawie może występować wiele podmiotów, każdy z</w:t>
            </w:r>
            <w:r w:rsidR="006D7F38">
              <w:rPr>
                <w:sz w:val="22"/>
                <w:szCs w:val="22"/>
              </w:rPr>
              <w:t> </w:t>
            </w:r>
            <w:r w:rsidRPr="00C8420D">
              <w:rPr>
                <w:sz w:val="22"/>
                <w:szCs w:val="22"/>
              </w:rPr>
              <w:t>nich może mieć dostęp do sprawy i</w:t>
            </w:r>
            <w:r w:rsidR="006D7F38">
              <w:rPr>
                <w:sz w:val="22"/>
                <w:szCs w:val="22"/>
              </w:rPr>
              <w:t> </w:t>
            </w:r>
            <w:r w:rsidRPr="00C8420D">
              <w:rPr>
                <w:sz w:val="22"/>
                <w:szCs w:val="22"/>
              </w:rPr>
              <w:t>zapoznawać się m.in. z treścią pism. Jedynie podmiotom wymienionym w art. 133a § 1 k.p.k., pisma doręcza się za pośrednictwem portalu. W celu wywołania skutku procesowego jaki wywołuje doręczenie pisma (lub uznanie za doręczone), zasadnym i</w:t>
            </w:r>
            <w:r w:rsidR="00573671">
              <w:rPr>
                <w:sz w:val="22"/>
                <w:szCs w:val="22"/>
              </w:rPr>
              <w:t> </w:t>
            </w:r>
            <w:r w:rsidRPr="00C8420D">
              <w:rPr>
                <w:sz w:val="22"/>
                <w:szCs w:val="22"/>
              </w:rPr>
              <w:t xml:space="preserve">koniecznym jest umieszczenie go na koncie użytkownika w module „Moje doręczenia”. Takie rozwiązanie eliminuje wątpliwości dotyczące biegu terminu do czynności procesowych i zważywszy na doniosłość skutków procesowych doręczenia, należy uznać je za właściwe. Dodać należy, że zostało wprowadzone w 2021 r. m.in. wskutek </w:t>
            </w:r>
            <w:r w:rsidRPr="00C8420D">
              <w:rPr>
                <w:sz w:val="22"/>
                <w:szCs w:val="22"/>
              </w:rPr>
              <w:lastRenderedPageBreak/>
              <w:t>postulatów pełnomocników procesowych i</w:t>
            </w:r>
            <w:r w:rsidR="00573671">
              <w:rPr>
                <w:sz w:val="22"/>
                <w:szCs w:val="22"/>
              </w:rPr>
              <w:t> </w:t>
            </w:r>
            <w:r w:rsidRPr="00C8420D">
              <w:rPr>
                <w:sz w:val="22"/>
                <w:szCs w:val="22"/>
              </w:rPr>
              <w:t>w</w:t>
            </w:r>
            <w:r w:rsidR="00573671">
              <w:t> </w:t>
            </w:r>
            <w:r w:rsidRPr="00C8420D">
              <w:rPr>
                <w:sz w:val="22"/>
                <w:szCs w:val="22"/>
              </w:rPr>
              <w:t xml:space="preserve">sposób prawidłowy funkcjonuje. </w:t>
            </w:r>
          </w:p>
          <w:p w14:paraId="10ECAF3B" w14:textId="4C6D7449" w:rsidR="00260358" w:rsidRPr="009657BA" w:rsidRDefault="00CF6439" w:rsidP="003513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Wskazać trzeba, że</w:t>
            </w:r>
            <w:r w:rsidR="00C8420D" w:rsidRPr="00C8420D">
              <w:rPr>
                <w:sz w:val="22"/>
                <w:szCs w:val="22"/>
              </w:rPr>
              <w:t xml:space="preserve"> doręczane za pośrednictwem </w:t>
            </w:r>
            <w:r w:rsidR="006D7F38">
              <w:rPr>
                <w:sz w:val="22"/>
                <w:szCs w:val="22"/>
              </w:rPr>
              <w:t xml:space="preserve">PI </w:t>
            </w:r>
            <w:r w:rsidR="00C8420D" w:rsidRPr="00C8420D">
              <w:rPr>
                <w:sz w:val="22"/>
                <w:szCs w:val="22"/>
              </w:rPr>
              <w:t xml:space="preserve">pisma, nie są opatrzone podpisem elektronicznym. Przyjęta w § 3 projektu konstrukcja jest efektem świadomego założenia, że zgodnie z treścią ustawy z dnia 7 lipca 2023 r. o zmianie ustawy – Kodeks postępowania </w:t>
            </w:r>
            <w:r w:rsidR="00C8420D" w:rsidRPr="00573671">
              <w:rPr>
                <w:i/>
                <w:iCs/>
                <w:sz w:val="22"/>
                <w:szCs w:val="22"/>
              </w:rPr>
              <w:t>cywilnego, ustawy – Prawo o ustroju sądów powszechnych, ustawy – Kodeks postępowania karnego oraz niektórych innych ustaw</w:t>
            </w:r>
            <w:r w:rsidR="00C8420D" w:rsidRPr="00C8420D">
              <w:rPr>
                <w:sz w:val="22"/>
                <w:szCs w:val="22"/>
              </w:rPr>
              <w:t xml:space="preserve"> (Dz. U. z 2023 r. poz. 1860), doręczeniu podlega treść pisma, a nie jego „odpis”. Pisma mogą być z tych względów udostępnienie w postaci pliku edytowalnego lub pliku do odczytu. Taka postać dokumentów – dokumentów niewymagających podpisu funkcjonuje również w ramach Systemu Centralnego Wydruku. Poza tym sam fakt doręczenia pisma za pośrednictwem</w:t>
            </w:r>
            <w:r w:rsidR="006D7F38">
              <w:rPr>
                <w:sz w:val="22"/>
                <w:szCs w:val="22"/>
              </w:rPr>
              <w:t xml:space="preserve"> PI</w:t>
            </w:r>
            <w:r w:rsidR="00C8420D" w:rsidRPr="00C8420D">
              <w:rPr>
                <w:sz w:val="22"/>
                <w:szCs w:val="22"/>
              </w:rPr>
              <w:t xml:space="preserve"> skutkuje tym, że nadawca jest dla użytkownika konta wiarygodny i</w:t>
            </w:r>
            <w:r w:rsidR="00573671">
              <w:rPr>
                <w:sz w:val="22"/>
                <w:szCs w:val="22"/>
              </w:rPr>
              <w:t> </w:t>
            </w:r>
            <w:r w:rsidR="00C8420D" w:rsidRPr="00C8420D">
              <w:rPr>
                <w:sz w:val="22"/>
                <w:szCs w:val="22"/>
              </w:rPr>
              <w:t>znany. Dodatkowo kwestie dotyczące możliwości wysyłania pism sądowych bez podpisu normują obecnie § 100a rozporządzenia Ministra Sprawiedliwości z</w:t>
            </w:r>
            <w:r w:rsidR="00573671">
              <w:t> </w:t>
            </w:r>
            <w:r w:rsidR="00C8420D" w:rsidRPr="00C8420D">
              <w:rPr>
                <w:sz w:val="22"/>
                <w:szCs w:val="22"/>
              </w:rPr>
              <w:t>dnia 18 czerwca 2019 r. – Regulamin urzędowania sądów powszechnych (Dz. U. z</w:t>
            </w:r>
            <w:r w:rsidR="00573671">
              <w:rPr>
                <w:sz w:val="22"/>
                <w:szCs w:val="22"/>
              </w:rPr>
              <w:t> </w:t>
            </w:r>
            <w:r w:rsidR="00C8420D" w:rsidRPr="00C8420D">
              <w:rPr>
                <w:sz w:val="22"/>
                <w:szCs w:val="22"/>
              </w:rPr>
              <w:t>2022 r. poz. 2514, z</w:t>
            </w:r>
            <w:r w:rsidR="006D7F38">
              <w:rPr>
                <w:sz w:val="22"/>
                <w:szCs w:val="22"/>
              </w:rPr>
              <w:t> </w:t>
            </w:r>
            <w:proofErr w:type="spellStart"/>
            <w:r w:rsidR="00C8420D" w:rsidRPr="00C8420D">
              <w:rPr>
                <w:sz w:val="22"/>
                <w:szCs w:val="22"/>
              </w:rPr>
              <w:t>późn</w:t>
            </w:r>
            <w:proofErr w:type="spellEnd"/>
            <w:r w:rsidR="00C8420D" w:rsidRPr="00C8420D">
              <w:rPr>
                <w:sz w:val="22"/>
                <w:szCs w:val="22"/>
              </w:rPr>
              <w:t>. zm.) oraz § 21 ust. 4 i 8 zarządzenia Ministra Sprawiedliwości z</w:t>
            </w:r>
            <w:r w:rsidR="00573671">
              <w:rPr>
                <w:sz w:val="22"/>
                <w:szCs w:val="22"/>
              </w:rPr>
              <w:t> </w:t>
            </w:r>
            <w:r w:rsidR="00C8420D" w:rsidRPr="00C8420D">
              <w:rPr>
                <w:sz w:val="22"/>
                <w:szCs w:val="22"/>
              </w:rPr>
              <w:t xml:space="preserve">dnia 19 czerwca 2019 r. w sprawie organizacji i zakresu działania sekretariatów sądowych oraz innych działów administracji sądowej (Dz. Urz. Min. </w:t>
            </w:r>
            <w:proofErr w:type="spellStart"/>
            <w:r w:rsidR="00C8420D" w:rsidRPr="00C8420D">
              <w:rPr>
                <w:sz w:val="22"/>
                <w:szCs w:val="22"/>
              </w:rPr>
              <w:t>Sprawiedl</w:t>
            </w:r>
            <w:proofErr w:type="spellEnd"/>
            <w:r w:rsidR="00C8420D" w:rsidRPr="00C8420D">
              <w:rPr>
                <w:sz w:val="22"/>
                <w:szCs w:val="22"/>
              </w:rPr>
              <w:t>. z 2019 r. poz. 138, z</w:t>
            </w:r>
            <w:r w:rsidR="006D7F38">
              <w:rPr>
                <w:sz w:val="22"/>
                <w:szCs w:val="22"/>
              </w:rPr>
              <w:t> </w:t>
            </w:r>
            <w:proofErr w:type="spellStart"/>
            <w:r w:rsidR="00C8420D" w:rsidRPr="00C8420D">
              <w:rPr>
                <w:sz w:val="22"/>
                <w:szCs w:val="22"/>
              </w:rPr>
              <w:t>późn</w:t>
            </w:r>
            <w:proofErr w:type="spellEnd"/>
            <w:r w:rsidR="00C8420D" w:rsidRPr="00C8420D">
              <w:rPr>
                <w:sz w:val="22"/>
                <w:szCs w:val="22"/>
              </w:rPr>
              <w:t xml:space="preserve">. zm.). </w:t>
            </w:r>
          </w:p>
        </w:tc>
      </w:tr>
      <w:tr w:rsidR="003513AD" w:rsidRPr="009657BA" w14:paraId="4165CFC4" w14:textId="77777777" w:rsidTr="00573671">
        <w:trPr>
          <w:trHeight w:val="1278"/>
        </w:trPr>
        <w:tc>
          <w:tcPr>
            <w:tcW w:w="193" w:type="pct"/>
            <w:shd w:val="clear" w:color="auto" w:fill="auto"/>
          </w:tcPr>
          <w:p w14:paraId="38DB057C" w14:textId="77777777" w:rsidR="003513AD" w:rsidRPr="009657BA" w:rsidRDefault="003513AD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456E39BE" w14:textId="6A444F3C" w:rsidR="003513AD" w:rsidRPr="009657BA" w:rsidRDefault="003513A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3513AD">
              <w:rPr>
                <w:b/>
                <w:sz w:val="22"/>
                <w:szCs w:val="22"/>
              </w:rPr>
              <w:t>§ 3 ust. 3</w:t>
            </w:r>
          </w:p>
        </w:tc>
        <w:tc>
          <w:tcPr>
            <w:tcW w:w="2283" w:type="pct"/>
            <w:shd w:val="clear" w:color="auto" w:fill="auto"/>
          </w:tcPr>
          <w:p w14:paraId="2EC034A7" w14:textId="32A08EE6" w:rsidR="003513AD" w:rsidRPr="003513AD" w:rsidRDefault="003513AD" w:rsidP="00445D2F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3513AD">
              <w:rPr>
                <w:rFonts w:ascii="Times New Roman" w:hAnsi="Times New Roman" w:cs="Times New Roman"/>
                <w:sz w:val="22"/>
                <w:szCs w:val="22"/>
              </w:rPr>
              <w:t>Odnosząc się do brzmienia dotychczasowego ust. 3 – Zaproponowano usunięcie przedmiotowej jednostki redakcyjnej. Zgodnie z</w:t>
            </w:r>
            <w:r w:rsidR="00445D2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3513AD">
              <w:rPr>
                <w:rFonts w:ascii="Times New Roman" w:hAnsi="Times New Roman" w:cs="Times New Roman"/>
                <w:sz w:val="22"/>
                <w:szCs w:val="22"/>
              </w:rPr>
              <w:t>brzmieniem upoważnienia ustawowego, na gruncie tego rozporządzenia mają być określone "tryb i sposób dokonywania doręczeń pism w postaci elektronicznej w postępowaniu karnym,…". W kontekście powyższego, wątpliwość budzi znaczenie wskazania na udostępnienie "sprawy, w której doręcza się pismo", bowiem wydaje się to wskazywać nie na „doręczenie pisma” ale na doręczanie całej teczki sprawy, tj. całego zbioru dokumentów dotyczących sprawy. Powyższe wydaje się być niespójne z brzmieniem wyżej cytowanego upoważnienia. Jeżeli w ocenie projektodawcy konieczne jest przywrócenie przedmiotowej jednostki, to zasadnym jest odpowiednie doprecyzowanie jej brzmienia względem cytowanego upoważnienia.</w:t>
            </w:r>
          </w:p>
          <w:p w14:paraId="1EB0BD78" w14:textId="77777777" w:rsidR="003513AD" w:rsidRPr="003513AD" w:rsidRDefault="003513AD" w:rsidP="003513AD">
            <w:pPr>
              <w:pStyle w:val="Style6"/>
              <w:tabs>
                <w:tab w:val="left" w:pos="830"/>
              </w:tabs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AA03BE" w14:textId="7D615B70" w:rsidR="003513AD" w:rsidRPr="00260358" w:rsidRDefault="003513AD" w:rsidP="003513AD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3513AD">
              <w:rPr>
                <w:rFonts w:ascii="Times New Roman" w:hAnsi="Times New Roman" w:cs="Times New Roman"/>
                <w:sz w:val="22"/>
                <w:szCs w:val="22"/>
              </w:rPr>
              <w:t>Wyjaśnienia wymaga, w jakim zakresie regulacja zawarta w § 3 ust. 3 stanowi wykonanie upoważnienia do wydania projektowanego rozporządzenia, które zgodnie z art. 133a § 5 k.p.k., ma określać „tryb i sposób dokonywania doręczeń pism w postaci elektronicznej w postępowaniu karnym” – projektowany przepis nie wydaje się bowiem dotyczyć kwestii doręczania pism, lecz raczej szerzej rozumianego „udostępnienia sprawy”.</w:t>
            </w:r>
          </w:p>
        </w:tc>
        <w:tc>
          <w:tcPr>
            <w:tcW w:w="519" w:type="pct"/>
            <w:shd w:val="clear" w:color="auto" w:fill="auto"/>
          </w:tcPr>
          <w:p w14:paraId="47A227C5" w14:textId="1325018C" w:rsidR="00F00E34" w:rsidRDefault="003513A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3513AD">
              <w:rPr>
                <w:b/>
                <w:sz w:val="22"/>
                <w:szCs w:val="22"/>
              </w:rPr>
              <w:t xml:space="preserve">Ministerstwo Cyfryzacji </w:t>
            </w:r>
          </w:p>
          <w:p w14:paraId="50971663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A85DB5B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BEA54A5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E9E13A1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C97C9EA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4BD48A7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9F30658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24C7EE1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A0B0415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DF5B032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6319139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0A8F132" w14:textId="77777777" w:rsidR="00F00E34" w:rsidRDefault="00F00E34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55E6213" w14:textId="7C39FDCD" w:rsidR="003513AD" w:rsidRPr="00260358" w:rsidRDefault="00CF6439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 w:rsidR="003513AD" w:rsidRPr="003513AD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10E52269" w14:textId="3B186C4C" w:rsidR="003513AD" w:rsidRPr="00C8420D" w:rsidRDefault="003513AD" w:rsidP="00F60579">
            <w:pPr>
              <w:jc w:val="both"/>
              <w:rPr>
                <w:sz w:val="22"/>
                <w:szCs w:val="22"/>
              </w:rPr>
            </w:pPr>
            <w:r w:rsidRPr="003513AD">
              <w:rPr>
                <w:sz w:val="22"/>
                <w:szCs w:val="22"/>
              </w:rPr>
              <w:t>Odnośnie uwag dotyczących wątpliwości w</w:t>
            </w:r>
            <w:r w:rsidR="00445D2F">
              <w:rPr>
                <w:sz w:val="22"/>
                <w:szCs w:val="22"/>
              </w:rPr>
              <w:t> </w:t>
            </w:r>
            <w:r w:rsidRPr="003513AD">
              <w:rPr>
                <w:sz w:val="22"/>
                <w:szCs w:val="22"/>
              </w:rPr>
              <w:t xml:space="preserve">zakresie wskazania na udostępnienie "sprawy, w której doręcza się pismo", należy zauważyć, że z istoty funkcjonalności PI, aby możliwe było doręczenie pisma w konkretnej sprawie, konieczne jest żeby sprawa ta była udostępniona użytkownikowi konta. Użytkownikowi konta doręcza się pismo, które jest umieszczane w module „Moje doręczenia”. Jednocześnie użytkownik konta (adresat pisma), jak i inne podmioty mające dostęp do sprawy, będą miały możliwość zapoznania się ze sprawą i znajdującymi się w niej pismami i dokumentami, co gwarantują przepisy kodeksu postepowania karnego.  </w:t>
            </w:r>
          </w:p>
        </w:tc>
      </w:tr>
      <w:tr w:rsidR="003513AD" w:rsidRPr="009657BA" w14:paraId="16C0BABF" w14:textId="77777777" w:rsidTr="00573671">
        <w:trPr>
          <w:trHeight w:val="503"/>
        </w:trPr>
        <w:tc>
          <w:tcPr>
            <w:tcW w:w="193" w:type="pct"/>
            <w:shd w:val="clear" w:color="auto" w:fill="auto"/>
          </w:tcPr>
          <w:p w14:paraId="1359657C" w14:textId="77777777" w:rsidR="004827F0" w:rsidRPr="009657BA" w:rsidRDefault="004827F0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67970296" w14:textId="3825ABA3" w:rsidR="004827F0" w:rsidRPr="009657BA" w:rsidRDefault="004827F0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3 ust. 4</w:t>
            </w:r>
          </w:p>
        </w:tc>
        <w:tc>
          <w:tcPr>
            <w:tcW w:w="2283" w:type="pct"/>
            <w:shd w:val="clear" w:color="auto" w:fill="auto"/>
          </w:tcPr>
          <w:p w14:paraId="274B2BB4" w14:textId="51DAA30C" w:rsidR="004827F0" w:rsidRPr="00260358" w:rsidRDefault="003C2F25" w:rsidP="00D07B51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rojektowany przepis reguluje konsekwencje braku realizacji obowiązku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ustawowego nałożonego na adwokatów, radców prawnych oraz Prokuratorię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Generalną Rzeczypospolitej Polskiej, w zakresie posiadania przez nich konta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portalu informacyjnym, o którym mowa w art. 53e § 1 ustawy z dnia 27 lipca 2001 r.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Prawo o ustroju sądów powszechnych. Uznanie w takim przypadku pisma za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doręczone (w sytuacji faktycznego braku jego doręczenia) wymaga jednak regulacji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ustawowej, a nie uregulowania jedynie na poziomie aktu wykonawczego. Przepis ten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27F0" w:rsidRPr="004827F0">
              <w:rPr>
                <w:rFonts w:ascii="Times New Roman" w:hAnsi="Times New Roman" w:cs="Times New Roman"/>
                <w:sz w:val="22"/>
                <w:szCs w:val="22"/>
              </w:rPr>
              <w:t>należy skreślić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9" w:type="pct"/>
            <w:shd w:val="clear" w:color="auto" w:fill="auto"/>
          </w:tcPr>
          <w:p w14:paraId="09D871DC" w14:textId="6A2E447E" w:rsidR="004827F0" w:rsidRPr="00260358" w:rsidRDefault="003C2F25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3C2F25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4F94B3C0" w14:textId="5493B9BD" w:rsidR="004827F0" w:rsidRPr="00C8420D" w:rsidRDefault="003C2F25" w:rsidP="00F605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Uwaga uwzględniona.</w:t>
            </w:r>
          </w:p>
        </w:tc>
      </w:tr>
      <w:tr w:rsidR="003513AD" w:rsidRPr="009657BA" w14:paraId="1EA78FF9" w14:textId="77777777" w:rsidTr="00573671">
        <w:trPr>
          <w:trHeight w:val="1212"/>
        </w:trPr>
        <w:tc>
          <w:tcPr>
            <w:tcW w:w="193" w:type="pct"/>
            <w:shd w:val="clear" w:color="auto" w:fill="auto"/>
          </w:tcPr>
          <w:p w14:paraId="6583C14F" w14:textId="77777777" w:rsidR="00DB45A3" w:rsidRPr="009657BA" w:rsidRDefault="00DB45A3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  <w:bookmarkStart w:id="1" w:name="_Hlk119402380"/>
          </w:p>
        </w:tc>
        <w:tc>
          <w:tcPr>
            <w:tcW w:w="463" w:type="pct"/>
            <w:shd w:val="clear" w:color="auto" w:fill="auto"/>
          </w:tcPr>
          <w:p w14:paraId="5BC7942F" w14:textId="6554BAC1" w:rsidR="00DB45A3" w:rsidRPr="009657BA" w:rsidRDefault="00DB45A3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260358">
              <w:rPr>
                <w:b/>
                <w:sz w:val="22"/>
                <w:szCs w:val="22"/>
              </w:rPr>
              <w:t>4</w:t>
            </w:r>
          </w:p>
          <w:p w14:paraId="0A9BF0FC" w14:textId="5204684F" w:rsidR="00D83B53" w:rsidRPr="009657BA" w:rsidRDefault="00D83B53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83" w:type="pct"/>
            <w:shd w:val="clear" w:color="auto" w:fill="auto"/>
          </w:tcPr>
          <w:p w14:paraId="14D4480B" w14:textId="5C1634DC" w:rsidR="00260358" w:rsidRPr="00260358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§ 4 proponuje się</w:t>
            </w:r>
            <w:r w:rsidR="00346A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nadać brzmienie:</w:t>
            </w:r>
          </w:p>
          <w:p w14:paraId="74283099" w14:textId="4597A02B" w:rsidR="00260358" w:rsidRPr="00346A39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„§ 4. 1. Po odbiorze doręczanego pisma, przez użytkownika konta, na koncie jest prezentowana data odbioru, a w przypadku nieodebrania doręczanego pisma w terminie 14 dni od daty umieszczenia tego pisma na koncie – data w której upłynął 14-dniowy termin, o którym mowa w</w:t>
            </w:r>
            <w:r w:rsidR="00A0768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 </w:t>
            </w: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art. 133a § 3 k.p.k. Jeżeli data, w której upłynął 14-dniowy termin, o którym mowa w art. 133a § 3 k.p.k., przypada na dzień uznany przez </w:t>
            </w: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ustawę za dzień wolny od pracy lub na sobotę, stosuje się przepis art. 123 § 3 k.p.k.</w:t>
            </w:r>
          </w:p>
          <w:p w14:paraId="446EEDAC" w14:textId="53BAA7C2" w:rsidR="00260358" w:rsidRPr="00346A39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2. Elektroniczne potwierdzenie odbioru jest automatycznie generowane i przekazywane do sądu za pośrednictwem portalu informacyjnego, o którym mowa w art. 53e § 1 ustawy z dnia 27 lipca 2001 r. – Prawo o ustroju sądów powszechnych.</w:t>
            </w:r>
          </w:p>
          <w:p w14:paraId="2F9BE9DA" w14:textId="10973201" w:rsidR="00260358" w:rsidRPr="00346A39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3. Elektroniczne potwierdzenie odbioru korespondencji zawiera w</w:t>
            </w:r>
            <w:r w:rsidR="00D9638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 </w:t>
            </w:r>
            <w:r w:rsidRPr="00346A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szczególności oznaczenie doręczonego pisma, czas jego odbioru, dane identyfikujące użytkownika konta, któremu doręczono to pismo, albo – jeżeli doręczane pismo nie zostało odebrane – dane o czasie umieszczenia doręczanego pisma na koncie wraz z  oznaczeniem tego pisma oraz danymi identyfikującymi użytkownika konta.”.</w:t>
            </w:r>
          </w:p>
          <w:p w14:paraId="1B789BA3" w14:textId="45DF237A" w:rsidR="00D5745B" w:rsidRPr="009657BA" w:rsidRDefault="00260358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 xml:space="preserve">Jednocześnie, w kontekście proponowanego brzmienia § 4 ust. 1, zasadnym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 xml:space="preserve">jest rozważanie przez projektodawcę, czy ma znaczenie, jaka data będzie wyświetlana na koncie,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skoro niezależnie od tego, czy adresat pismo odbierze, czy nie, system wygeneruje elektroniczne potwierdzenie odbioru, w którym zamieszczona będzie właściwa data – patrz wyżej brzmienie ust. 3 – i adresat pisma (jak można rozumieć) zawsze otrzyma takie potwierdzenie z taką datą. Wydaje się,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że bardziej zasadnym byłoby zrezygnowanie z tej jednostki redakcyjnej oraz doprecyzowanie, jaka data ma być zmieszczona w</w:t>
            </w:r>
            <w:r w:rsidR="00A076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260358">
              <w:rPr>
                <w:rFonts w:ascii="Times New Roman" w:hAnsi="Times New Roman" w:cs="Times New Roman"/>
                <w:sz w:val="22"/>
                <w:szCs w:val="22"/>
              </w:rPr>
              <w:t>elektronicznym potwierdzeniu odbioru</w:t>
            </w:r>
          </w:p>
        </w:tc>
        <w:tc>
          <w:tcPr>
            <w:tcW w:w="519" w:type="pct"/>
            <w:shd w:val="clear" w:color="auto" w:fill="auto"/>
          </w:tcPr>
          <w:p w14:paraId="7CF77681" w14:textId="63C09D82" w:rsidR="00D5745B" w:rsidRPr="009657BA" w:rsidRDefault="00260358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60358">
              <w:rPr>
                <w:b/>
                <w:sz w:val="22"/>
                <w:szCs w:val="22"/>
              </w:rPr>
              <w:lastRenderedPageBreak/>
              <w:t>Ministerstwo Cyfryzacji</w:t>
            </w:r>
          </w:p>
        </w:tc>
        <w:tc>
          <w:tcPr>
            <w:tcW w:w="1542" w:type="pct"/>
            <w:shd w:val="clear" w:color="auto" w:fill="auto"/>
          </w:tcPr>
          <w:p w14:paraId="4AA8EC21" w14:textId="77777777" w:rsidR="00CD4E0C" w:rsidRDefault="00693A30" w:rsidP="00811F3A">
            <w:pPr>
              <w:jc w:val="both"/>
              <w:rPr>
                <w:sz w:val="22"/>
                <w:szCs w:val="22"/>
              </w:rPr>
            </w:pPr>
            <w:r w:rsidRPr="00693A30">
              <w:rPr>
                <w:sz w:val="22"/>
                <w:szCs w:val="22"/>
              </w:rPr>
              <w:t xml:space="preserve">Zasadnym jest pozostawienie proponowanego brzmienia § 4 projektu rozporządzenia. Wskazać należy, że </w:t>
            </w:r>
            <w:r w:rsidR="00D96386">
              <w:rPr>
                <w:sz w:val="22"/>
                <w:szCs w:val="22"/>
              </w:rPr>
              <w:t xml:space="preserve">PI </w:t>
            </w:r>
            <w:r w:rsidRPr="00693A30">
              <w:rPr>
                <w:sz w:val="22"/>
                <w:szCs w:val="22"/>
              </w:rPr>
              <w:t>funkcjonuje od wielu lat, a na podstawie 15zzs</w:t>
            </w:r>
            <w:r w:rsidRPr="00D96386">
              <w:rPr>
                <w:sz w:val="22"/>
                <w:szCs w:val="22"/>
                <w:vertAlign w:val="superscript"/>
              </w:rPr>
              <w:t>9</w:t>
            </w:r>
            <w:r w:rsidRPr="00693A30">
              <w:rPr>
                <w:sz w:val="22"/>
                <w:szCs w:val="22"/>
              </w:rPr>
              <w:t xml:space="preserve"> ustawy z dnia 2</w:t>
            </w:r>
            <w:r w:rsidR="00A07688">
              <w:rPr>
                <w:sz w:val="22"/>
                <w:szCs w:val="22"/>
              </w:rPr>
              <w:t> </w:t>
            </w:r>
            <w:r w:rsidRPr="00693A30">
              <w:rPr>
                <w:sz w:val="22"/>
                <w:szCs w:val="22"/>
              </w:rPr>
              <w:t xml:space="preserve">marca 2020 r. </w:t>
            </w:r>
            <w:r w:rsidRPr="00F60579">
              <w:rPr>
                <w:i/>
                <w:iCs/>
                <w:sz w:val="22"/>
                <w:szCs w:val="22"/>
              </w:rPr>
              <w:t>o</w:t>
            </w:r>
            <w:r w:rsidR="00D96386" w:rsidRPr="00F60579">
              <w:rPr>
                <w:i/>
                <w:iCs/>
                <w:sz w:val="22"/>
                <w:szCs w:val="22"/>
              </w:rPr>
              <w:t> </w:t>
            </w:r>
            <w:r w:rsidRPr="00F60579">
              <w:rPr>
                <w:i/>
                <w:iCs/>
                <w:sz w:val="22"/>
                <w:szCs w:val="22"/>
              </w:rPr>
              <w:t>szczególnych rozwiązaniach związanych z</w:t>
            </w:r>
            <w:r w:rsidR="00D96386" w:rsidRPr="00F60579">
              <w:rPr>
                <w:i/>
                <w:iCs/>
                <w:sz w:val="22"/>
                <w:szCs w:val="22"/>
              </w:rPr>
              <w:t> </w:t>
            </w:r>
            <w:r w:rsidRPr="00F60579">
              <w:rPr>
                <w:i/>
                <w:iCs/>
                <w:sz w:val="22"/>
                <w:szCs w:val="22"/>
              </w:rPr>
              <w:t>zapobieganiem, przeciwdziałaniem i</w:t>
            </w:r>
            <w:r w:rsidR="00D96386" w:rsidRPr="00F60579">
              <w:rPr>
                <w:i/>
                <w:iCs/>
                <w:sz w:val="22"/>
                <w:szCs w:val="22"/>
              </w:rPr>
              <w:t> </w:t>
            </w:r>
            <w:r w:rsidRPr="00F60579">
              <w:rPr>
                <w:i/>
                <w:iCs/>
                <w:sz w:val="22"/>
                <w:szCs w:val="22"/>
              </w:rPr>
              <w:t xml:space="preserve">zwalczaniem COVID-19, </w:t>
            </w:r>
            <w:r w:rsidRPr="00F60579">
              <w:rPr>
                <w:i/>
                <w:iCs/>
                <w:sz w:val="22"/>
                <w:szCs w:val="22"/>
              </w:rPr>
              <w:lastRenderedPageBreak/>
              <w:t>innych chorób zakaźnych oraz wywołanych nimi sytuacji kryzysowych</w:t>
            </w:r>
            <w:r w:rsidRPr="00693A30">
              <w:rPr>
                <w:sz w:val="22"/>
                <w:szCs w:val="22"/>
              </w:rPr>
              <w:t xml:space="preserve"> (Dz. U. z 2023 r. poz. 1327 z</w:t>
            </w:r>
            <w:r w:rsidR="00D96386">
              <w:rPr>
                <w:sz w:val="22"/>
                <w:szCs w:val="22"/>
              </w:rPr>
              <w:t> </w:t>
            </w:r>
            <w:proofErr w:type="spellStart"/>
            <w:r w:rsidRPr="00693A30">
              <w:rPr>
                <w:sz w:val="22"/>
                <w:szCs w:val="22"/>
              </w:rPr>
              <w:t>późn</w:t>
            </w:r>
            <w:proofErr w:type="spellEnd"/>
            <w:r w:rsidRPr="00693A30">
              <w:rPr>
                <w:sz w:val="22"/>
                <w:szCs w:val="22"/>
              </w:rPr>
              <w:t xml:space="preserve">. zm.), wprowadzone zostały doręczenia pism za pośrednictwem </w:t>
            </w:r>
            <w:r w:rsidR="00811F3A">
              <w:rPr>
                <w:sz w:val="22"/>
                <w:szCs w:val="22"/>
              </w:rPr>
              <w:t>PI</w:t>
            </w:r>
            <w:r w:rsidRPr="00693A30">
              <w:rPr>
                <w:sz w:val="22"/>
                <w:szCs w:val="22"/>
              </w:rPr>
              <w:t>, przy czym ten sposób doręczeń ograniczony został do spraw cywilnych. Zaproponowane w</w:t>
            </w:r>
            <w:r w:rsidR="00811F3A">
              <w:rPr>
                <w:sz w:val="22"/>
                <w:szCs w:val="22"/>
              </w:rPr>
              <w:t> </w:t>
            </w:r>
            <w:r w:rsidRPr="00693A30">
              <w:rPr>
                <w:sz w:val="22"/>
                <w:szCs w:val="22"/>
              </w:rPr>
              <w:t>projekcie rozwiązania sprawdziły się.  W</w:t>
            </w:r>
            <w:r w:rsidR="00811F3A">
              <w:rPr>
                <w:sz w:val="22"/>
                <w:szCs w:val="22"/>
              </w:rPr>
              <w:t> </w:t>
            </w:r>
            <w:r w:rsidRPr="00693A30">
              <w:rPr>
                <w:sz w:val="22"/>
                <w:szCs w:val="22"/>
              </w:rPr>
              <w:t>zakresie wątpliwości zgłaszanych w tym punkcie co do tego czy ma znaczenie jaka data będzie wyświetlana na koncie, należy wskazać, że kwestia ta ma istotne znaczenie z</w:t>
            </w:r>
            <w:r w:rsidR="00811F3A">
              <w:rPr>
                <w:sz w:val="22"/>
                <w:szCs w:val="22"/>
              </w:rPr>
              <w:t> </w:t>
            </w:r>
            <w:r w:rsidRPr="00693A30">
              <w:rPr>
                <w:sz w:val="22"/>
                <w:szCs w:val="22"/>
              </w:rPr>
              <w:t>uwagi na konsekwencje procesowe związane z</w:t>
            </w:r>
            <w:r w:rsidR="00D96386">
              <w:rPr>
                <w:sz w:val="22"/>
                <w:szCs w:val="22"/>
              </w:rPr>
              <w:t> </w:t>
            </w:r>
            <w:r w:rsidRPr="00693A30">
              <w:rPr>
                <w:sz w:val="22"/>
                <w:szCs w:val="22"/>
              </w:rPr>
              <w:t xml:space="preserve">doręczeniem pism (w szczególności podlegających zaskarżeniu). Warto także zaznaczyć, że w trakcie prac nad przedmiotowym rozporządzeniem, treść § 4 konsultowana była z Departamentem Legislacyjnym Prawa Cywilnego, który proceduje tożsamy projekt rozporządzenia </w:t>
            </w:r>
            <w:r w:rsidRPr="00F60579">
              <w:rPr>
                <w:i/>
                <w:iCs/>
                <w:sz w:val="22"/>
                <w:szCs w:val="22"/>
              </w:rPr>
              <w:t>w</w:t>
            </w:r>
            <w:r w:rsidR="00D96386" w:rsidRPr="00F60579">
              <w:rPr>
                <w:i/>
                <w:iCs/>
                <w:sz w:val="22"/>
                <w:szCs w:val="22"/>
              </w:rPr>
              <w:t> </w:t>
            </w:r>
            <w:r w:rsidRPr="00F60579">
              <w:rPr>
                <w:i/>
                <w:iCs/>
                <w:sz w:val="22"/>
                <w:szCs w:val="22"/>
              </w:rPr>
              <w:t>sprawie szczegółowego trybu i sposobu doręczania pism sądowych za pośrednictwem portalu informacyjnego w postepowaniu cywilnym</w:t>
            </w:r>
            <w:r w:rsidRPr="00693A30">
              <w:rPr>
                <w:sz w:val="22"/>
                <w:szCs w:val="22"/>
              </w:rPr>
              <w:t xml:space="preserve"> (nr w wykazie 516). </w:t>
            </w:r>
          </w:p>
          <w:p w14:paraId="3C8A3F34" w14:textId="773C92D0" w:rsidR="00811F3A" w:rsidRPr="009657BA" w:rsidRDefault="00811F3A" w:rsidP="00811F3A">
            <w:pPr>
              <w:jc w:val="both"/>
              <w:rPr>
                <w:sz w:val="22"/>
                <w:szCs w:val="22"/>
              </w:rPr>
            </w:pPr>
          </w:p>
        </w:tc>
      </w:tr>
      <w:tr w:rsidR="003513AD" w:rsidRPr="009657BA" w14:paraId="57408417" w14:textId="77777777" w:rsidTr="00573671">
        <w:trPr>
          <w:trHeight w:val="1212"/>
        </w:trPr>
        <w:tc>
          <w:tcPr>
            <w:tcW w:w="193" w:type="pct"/>
            <w:shd w:val="clear" w:color="auto" w:fill="auto"/>
          </w:tcPr>
          <w:p w14:paraId="3B3986D0" w14:textId="77777777" w:rsidR="00D07B51" w:rsidRPr="009657BA" w:rsidRDefault="00D07B51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28F5AE02" w14:textId="1F7631AF" w:rsidR="00D07B51" w:rsidRPr="009657BA" w:rsidRDefault="00D07B51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4 ust. 1</w:t>
            </w:r>
          </w:p>
        </w:tc>
        <w:tc>
          <w:tcPr>
            <w:tcW w:w="2283" w:type="pct"/>
            <w:shd w:val="clear" w:color="auto" w:fill="auto"/>
          </w:tcPr>
          <w:p w14:paraId="74215166" w14:textId="40529546" w:rsidR="00D07B51" w:rsidRPr="00260358" w:rsidRDefault="00D07B51" w:rsidP="00D07B51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st. 1 zdanie drugie – projektowany przepis przewiduje, że „Jeżeli data, w której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upłynął 14-dniowy termin, o którym mowa w art. 133a § 3 k.p.k., przypada na dzień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uznany przez ustawę za dzień wolny od pracy lub na sobotę, stosuje się przepis art.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123 § 3 k.p.k.”. Wskazany art. 123 § 3 k.p.k. reguluje zasady liczenia terminów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postępowaniu karnym, i tym samym nawet bez zamieszczania w projekcie ww.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zapisu znajdzie w przedmiotowym przypadku zastosowanie; ww. regulacja wydaje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się więc zbędna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9" w:type="pct"/>
            <w:shd w:val="clear" w:color="auto" w:fill="auto"/>
          </w:tcPr>
          <w:p w14:paraId="3D3CAB9E" w14:textId="05053B0D" w:rsidR="00D07B51" w:rsidRPr="00260358" w:rsidRDefault="00D07B51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D07B51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5B90A616" w14:textId="2BD0967A" w:rsidR="00D07B51" w:rsidRPr="00693A30" w:rsidRDefault="00D07B51" w:rsidP="00D07B51">
            <w:pPr>
              <w:jc w:val="both"/>
              <w:rPr>
                <w:sz w:val="22"/>
                <w:szCs w:val="22"/>
              </w:rPr>
            </w:pPr>
            <w:r w:rsidRPr="00D07B51">
              <w:rPr>
                <w:sz w:val="22"/>
                <w:szCs w:val="22"/>
              </w:rPr>
              <w:t>Zmieniono treść przepisu, a nadto jest on tożsamy z regulacją zawartą w projekcie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 xml:space="preserve">rozporządzenia </w:t>
            </w:r>
            <w:r w:rsidRPr="00811F3A">
              <w:rPr>
                <w:i/>
                <w:iCs/>
                <w:sz w:val="22"/>
                <w:szCs w:val="22"/>
              </w:rPr>
              <w:t>w sprawie doręczania pism sądowych za pośrednictwem portalu informacyjnego w postępowaniu cywilnym</w:t>
            </w:r>
            <w:r w:rsidRPr="00D07B51">
              <w:rPr>
                <w:sz w:val="22"/>
                <w:szCs w:val="22"/>
              </w:rPr>
              <w:t xml:space="preserve"> (A516). Na marginesie należy dodać, że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powyższa kwestia została uregulowana wskutek wątpliwości zgłaszanych co do ustalania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terminu w związku z doręczaniem pism za pośrednictwem portalu informacyjnego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w postępowaniach cywilnych, który funkcjonuje na podstawie 15zzs</w:t>
            </w:r>
            <w:r w:rsidRPr="00A07688">
              <w:rPr>
                <w:sz w:val="22"/>
                <w:szCs w:val="22"/>
                <w:vertAlign w:val="superscript"/>
              </w:rPr>
              <w:t>9</w:t>
            </w:r>
            <w:r w:rsidRPr="00D07B51">
              <w:rPr>
                <w:sz w:val="22"/>
                <w:szCs w:val="22"/>
              </w:rPr>
              <w:t xml:space="preserve"> ustawy z dnia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2 marca 2020 r. o szczególnych rozwiązaniach związanych z zapobieganiem,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lastRenderedPageBreak/>
              <w:t>przeciwdziałaniem i zwalczaniem COVID-19, innych chorób zakaźnych oraz wywołanych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nimi sytuacji kryzysowych.</w:t>
            </w:r>
          </w:p>
        </w:tc>
      </w:tr>
      <w:tr w:rsidR="003513AD" w:rsidRPr="009657BA" w14:paraId="40616137" w14:textId="77777777" w:rsidTr="00573671">
        <w:trPr>
          <w:trHeight w:val="1212"/>
        </w:trPr>
        <w:tc>
          <w:tcPr>
            <w:tcW w:w="193" w:type="pct"/>
            <w:shd w:val="clear" w:color="auto" w:fill="auto"/>
          </w:tcPr>
          <w:p w14:paraId="322EDC2F" w14:textId="77777777" w:rsidR="00D07B51" w:rsidRPr="009657BA" w:rsidRDefault="00D07B51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4AC1D136" w14:textId="7C89275B" w:rsidR="00D07B51" w:rsidRDefault="00D07B51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4 ust. 3</w:t>
            </w:r>
          </w:p>
        </w:tc>
        <w:tc>
          <w:tcPr>
            <w:tcW w:w="2283" w:type="pct"/>
            <w:shd w:val="clear" w:color="auto" w:fill="auto"/>
          </w:tcPr>
          <w:p w14:paraId="2CFD1D75" w14:textId="63B6CF8B" w:rsidR="00D07B51" w:rsidRPr="00D07B51" w:rsidRDefault="00D07B51" w:rsidP="00D07B51">
            <w:pPr>
              <w:pStyle w:val="Style6"/>
              <w:tabs>
                <w:tab w:val="left" w:pos="830"/>
              </w:tabs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akres danych zawartych w elektronicznym potwierdzeniu odbioru</w:t>
            </w:r>
          </w:p>
          <w:p w14:paraId="0883F22B" w14:textId="7744F962" w:rsidR="00D07B51" w:rsidRDefault="00D07B51" w:rsidP="00D07B51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D07B51">
              <w:rPr>
                <w:rFonts w:ascii="Times New Roman" w:hAnsi="Times New Roman" w:cs="Times New Roman"/>
                <w:sz w:val="22"/>
                <w:szCs w:val="22"/>
              </w:rPr>
              <w:t>korespondencji powinien być określony w formie katalogu zamkniętego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9" w:type="pct"/>
            <w:shd w:val="clear" w:color="auto" w:fill="auto"/>
          </w:tcPr>
          <w:p w14:paraId="48EDFE2A" w14:textId="32E699D7" w:rsidR="00D07B51" w:rsidRPr="00D07B51" w:rsidRDefault="00D07B51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D07B51">
              <w:rPr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542" w:type="pct"/>
            <w:shd w:val="clear" w:color="auto" w:fill="auto"/>
          </w:tcPr>
          <w:p w14:paraId="6D3C60FB" w14:textId="4AF8F33A" w:rsidR="00D07B51" w:rsidRPr="00D07B51" w:rsidRDefault="00D07B51" w:rsidP="00D07B51">
            <w:pPr>
              <w:jc w:val="both"/>
              <w:rPr>
                <w:sz w:val="22"/>
                <w:szCs w:val="22"/>
              </w:rPr>
            </w:pPr>
            <w:r w:rsidRPr="00D07B51">
              <w:rPr>
                <w:sz w:val="22"/>
                <w:szCs w:val="22"/>
              </w:rPr>
              <w:t>Zakres danych zawartych w elektronicznym potwierdzeniu odbioru korespondencji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 xml:space="preserve">jest szerszy, niż informacje mające znaczenie dla uznania </w:t>
            </w:r>
            <w:r w:rsidR="00811F3A">
              <w:rPr>
                <w:sz w:val="22"/>
                <w:szCs w:val="22"/>
              </w:rPr>
              <w:t xml:space="preserve">doręczenia pisma za skuteczne </w:t>
            </w:r>
            <w:r w:rsidRPr="00D07B51">
              <w:rPr>
                <w:sz w:val="22"/>
                <w:szCs w:val="22"/>
              </w:rPr>
              <w:t>(w</w:t>
            </w:r>
            <w:r w:rsidR="00811F3A">
              <w:rPr>
                <w:sz w:val="22"/>
                <w:szCs w:val="22"/>
              </w:rPr>
              <w:t> </w:t>
            </w:r>
            <w:r w:rsidRPr="00D07B51">
              <w:rPr>
                <w:sz w:val="22"/>
                <w:szCs w:val="22"/>
              </w:rPr>
              <w:t>szczególności zawiera inne dane informatyczne i techniczne). Nadto, w związku ze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zmianami technologicznymi w systemach informatycznych, zakres znajdujących się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danych może ulegać zmianom, z tych względów nie może stanowić katalogu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zamkniętego. Podkreślić należy, że dla doręczeń za pośrednictwem portalu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>informacyjnego znaczenie mają dane wskazane w przepisie. Nadto przepis jest tożsamy</w:t>
            </w:r>
            <w:r>
              <w:rPr>
                <w:sz w:val="22"/>
                <w:szCs w:val="22"/>
              </w:rPr>
              <w:t xml:space="preserve"> </w:t>
            </w:r>
            <w:r w:rsidRPr="00D07B51">
              <w:rPr>
                <w:sz w:val="22"/>
                <w:szCs w:val="22"/>
              </w:rPr>
              <w:t xml:space="preserve">z regulacją zawartą w projekcie rozporządzenia </w:t>
            </w:r>
            <w:r w:rsidRPr="00A07688">
              <w:rPr>
                <w:i/>
                <w:iCs/>
                <w:sz w:val="22"/>
                <w:szCs w:val="22"/>
              </w:rPr>
              <w:t>w sprawie doręczania pism sądowych za pośrednictwem portalu informacyjnego w postępowaniu cywilnym</w:t>
            </w:r>
            <w:r w:rsidRPr="00D07B51">
              <w:rPr>
                <w:sz w:val="22"/>
                <w:szCs w:val="22"/>
              </w:rPr>
              <w:t xml:space="preserve"> (A516).</w:t>
            </w:r>
          </w:p>
        </w:tc>
      </w:tr>
      <w:tr w:rsidR="003513AD" w:rsidRPr="009657BA" w14:paraId="155FDE66" w14:textId="77777777" w:rsidTr="00573671">
        <w:trPr>
          <w:trHeight w:val="1020"/>
        </w:trPr>
        <w:tc>
          <w:tcPr>
            <w:tcW w:w="193" w:type="pct"/>
            <w:shd w:val="clear" w:color="auto" w:fill="auto"/>
          </w:tcPr>
          <w:p w14:paraId="547F187C" w14:textId="77777777" w:rsidR="002C09CB" w:rsidRPr="009657BA" w:rsidRDefault="002C09CB" w:rsidP="00F6057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auto"/>
          </w:tcPr>
          <w:p w14:paraId="549CAD3F" w14:textId="15B5A6D1" w:rsidR="00AB0883" w:rsidRPr="009657BA" w:rsidRDefault="00B941E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Uwaga ogólna</w:t>
            </w:r>
          </w:p>
          <w:p w14:paraId="2ADB42FC" w14:textId="4614139B" w:rsidR="00FC62BE" w:rsidRPr="009657BA" w:rsidRDefault="00FC62BE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83" w:type="pct"/>
            <w:shd w:val="clear" w:color="auto" w:fill="auto"/>
          </w:tcPr>
          <w:p w14:paraId="38A593A4" w14:textId="2DC7B8C7" w:rsidR="00CB40FC" w:rsidRPr="009657BA" w:rsidRDefault="00D96386" w:rsidP="00F6057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B941ED" w:rsidRPr="00B941ED">
              <w:rPr>
                <w:rFonts w:ascii="Times New Roman" w:hAnsi="Times New Roman" w:cs="Times New Roman"/>
                <w:sz w:val="22"/>
                <w:szCs w:val="22"/>
              </w:rPr>
              <w:t>od rozwagę wprowadzenie rozwiązania</w:t>
            </w:r>
            <w:r w:rsidR="00B941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941ED" w:rsidRPr="00B941ED">
              <w:rPr>
                <w:rFonts w:ascii="Times New Roman" w:hAnsi="Times New Roman" w:cs="Times New Roman"/>
                <w:sz w:val="22"/>
                <w:szCs w:val="22"/>
              </w:rPr>
              <w:t>umożliwiającego</w:t>
            </w:r>
            <w:r w:rsidR="00B941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941ED" w:rsidRPr="00B941ED">
              <w:rPr>
                <w:rFonts w:ascii="Times New Roman" w:hAnsi="Times New Roman" w:cs="Times New Roman"/>
                <w:sz w:val="22"/>
                <w:szCs w:val="22"/>
              </w:rPr>
              <w:t>integrację portalu Ministra Sprawiedliwości z systemem doręczeń elektronicznych, o którym mowa w przepisach ustawy z dnia 18 listopada 2020 r. o doręczeniach elektronicznych (Dz. U. z 2023 r. poz. 285, z późn.zm.)</w:t>
            </w:r>
          </w:p>
        </w:tc>
        <w:tc>
          <w:tcPr>
            <w:tcW w:w="519" w:type="pct"/>
            <w:shd w:val="clear" w:color="auto" w:fill="auto"/>
          </w:tcPr>
          <w:p w14:paraId="431DC91A" w14:textId="43685D5B" w:rsidR="002C09CB" w:rsidRPr="009657BA" w:rsidRDefault="00B941ED" w:rsidP="00F6057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B941ED">
              <w:rPr>
                <w:b/>
                <w:sz w:val="22"/>
                <w:szCs w:val="22"/>
              </w:rPr>
              <w:t>Ministerstwo Cyfryzacji</w:t>
            </w:r>
          </w:p>
        </w:tc>
        <w:tc>
          <w:tcPr>
            <w:tcW w:w="1542" w:type="pct"/>
            <w:shd w:val="clear" w:color="auto" w:fill="auto"/>
          </w:tcPr>
          <w:p w14:paraId="68B8D212" w14:textId="6AF8DFE9" w:rsidR="00B941ED" w:rsidRPr="009657BA" w:rsidRDefault="00693A30" w:rsidP="00F60579">
            <w:pPr>
              <w:jc w:val="both"/>
              <w:rPr>
                <w:sz w:val="22"/>
                <w:szCs w:val="22"/>
              </w:rPr>
            </w:pPr>
            <w:r w:rsidRPr="00693A30">
              <w:rPr>
                <w:sz w:val="22"/>
                <w:szCs w:val="22"/>
              </w:rPr>
              <w:t>Postulat nie ma wpływu na treść rozporządzenia.</w:t>
            </w:r>
          </w:p>
        </w:tc>
      </w:tr>
      <w:bookmarkEnd w:id="1"/>
    </w:tbl>
    <w:p w14:paraId="18C06A01" w14:textId="5FDB4774" w:rsidR="00DA54CE" w:rsidRPr="009657BA" w:rsidRDefault="00DA54CE" w:rsidP="00F60579">
      <w:pPr>
        <w:rPr>
          <w:sz w:val="22"/>
          <w:szCs w:val="22"/>
        </w:rPr>
      </w:pPr>
    </w:p>
    <w:sectPr w:rsidR="00DA54CE" w:rsidRPr="009657BA" w:rsidSect="003066DD">
      <w:footerReference w:type="default" r:id="rId8"/>
      <w:pgSz w:w="16838" w:h="11906" w:orient="landscape" w:code="9"/>
      <w:pgMar w:top="567" w:right="1418" w:bottom="567" w:left="1418" w:header="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51865" w14:textId="77777777" w:rsidR="003066DD" w:rsidRDefault="003066DD" w:rsidP="00CD71E4">
      <w:r>
        <w:separator/>
      </w:r>
    </w:p>
  </w:endnote>
  <w:endnote w:type="continuationSeparator" w:id="0">
    <w:p w14:paraId="3000E4D8" w14:textId="77777777" w:rsidR="003066DD" w:rsidRDefault="003066DD" w:rsidP="00CD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5AA6" w14:textId="77777777" w:rsidR="00B24B01" w:rsidRDefault="00B24B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90AAD">
      <w:rPr>
        <w:noProof/>
      </w:rPr>
      <w:t>1</w:t>
    </w:r>
    <w:r>
      <w:fldChar w:fldCharType="end"/>
    </w:r>
  </w:p>
  <w:p w14:paraId="568B4B66" w14:textId="77777777" w:rsidR="00B24B01" w:rsidRDefault="00B24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09C3" w14:textId="77777777" w:rsidR="003066DD" w:rsidRDefault="003066DD" w:rsidP="00CD71E4">
      <w:r>
        <w:separator/>
      </w:r>
    </w:p>
  </w:footnote>
  <w:footnote w:type="continuationSeparator" w:id="0">
    <w:p w14:paraId="172E1E93" w14:textId="77777777" w:rsidR="003066DD" w:rsidRDefault="003066DD" w:rsidP="00CD7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" w15:restartNumberingAfterBreak="0">
    <w:nsid w:val="000272CB"/>
    <w:multiLevelType w:val="hybridMultilevel"/>
    <w:tmpl w:val="416E6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508D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715D0"/>
    <w:multiLevelType w:val="hybridMultilevel"/>
    <w:tmpl w:val="702A5DC0"/>
    <w:lvl w:ilvl="0" w:tplc="A3B03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C11EF"/>
    <w:multiLevelType w:val="hybridMultilevel"/>
    <w:tmpl w:val="42E49158"/>
    <w:lvl w:ilvl="0" w:tplc="5BCABA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4BB4"/>
    <w:multiLevelType w:val="hybridMultilevel"/>
    <w:tmpl w:val="D62293F8"/>
    <w:lvl w:ilvl="0" w:tplc="497A5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E38B5"/>
    <w:multiLevelType w:val="hybridMultilevel"/>
    <w:tmpl w:val="6C94F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63BE4"/>
    <w:multiLevelType w:val="hybridMultilevel"/>
    <w:tmpl w:val="C8749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1313A"/>
    <w:multiLevelType w:val="hybridMultilevel"/>
    <w:tmpl w:val="88C8C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E63EE"/>
    <w:multiLevelType w:val="hybridMultilevel"/>
    <w:tmpl w:val="D0C6E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6E285F"/>
    <w:multiLevelType w:val="hybridMultilevel"/>
    <w:tmpl w:val="BCB28F68"/>
    <w:lvl w:ilvl="0" w:tplc="A86809F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34F26790"/>
    <w:multiLevelType w:val="hybridMultilevel"/>
    <w:tmpl w:val="8CA28B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44D71"/>
    <w:multiLevelType w:val="hybridMultilevel"/>
    <w:tmpl w:val="6644A370"/>
    <w:lvl w:ilvl="0" w:tplc="497A5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D6C76"/>
    <w:multiLevelType w:val="hybridMultilevel"/>
    <w:tmpl w:val="014E8A90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3E602D1D"/>
    <w:multiLevelType w:val="hybridMultilevel"/>
    <w:tmpl w:val="E2184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151C2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56279A9"/>
    <w:multiLevelType w:val="hybridMultilevel"/>
    <w:tmpl w:val="CEC4BF60"/>
    <w:lvl w:ilvl="0" w:tplc="D8F6DD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64104"/>
    <w:multiLevelType w:val="hybridMultilevel"/>
    <w:tmpl w:val="F65833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683036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055B5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A15AB"/>
    <w:multiLevelType w:val="hybridMultilevel"/>
    <w:tmpl w:val="0B08B360"/>
    <w:lvl w:ilvl="0" w:tplc="DCE4CF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F6578"/>
    <w:multiLevelType w:val="hybridMultilevel"/>
    <w:tmpl w:val="61603CB4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612E7021"/>
    <w:multiLevelType w:val="hybridMultilevel"/>
    <w:tmpl w:val="C7BAC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34607"/>
    <w:multiLevelType w:val="hybridMultilevel"/>
    <w:tmpl w:val="563ED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0B77EC"/>
    <w:multiLevelType w:val="hybridMultilevel"/>
    <w:tmpl w:val="546AC8DE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6" w15:restartNumberingAfterBreak="0">
    <w:nsid w:val="6C095B55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FE74929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0041E87"/>
    <w:multiLevelType w:val="hybridMultilevel"/>
    <w:tmpl w:val="F69C5ECA"/>
    <w:lvl w:ilvl="0" w:tplc="3E0A54DE">
      <w:start w:val="1"/>
      <w:numFmt w:val="decimal"/>
      <w:lvlText w:val="%1."/>
      <w:lvlJc w:val="left"/>
      <w:pPr>
        <w:ind w:left="720" w:hanging="360"/>
      </w:pPr>
      <w:rPr>
        <w:rFonts w:ascii="Palatino" w:hAnsi="Palatino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4443E"/>
    <w:multiLevelType w:val="hybridMultilevel"/>
    <w:tmpl w:val="7840B942"/>
    <w:lvl w:ilvl="0" w:tplc="D8F6DD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65980"/>
    <w:multiLevelType w:val="singleLevel"/>
    <w:tmpl w:val="A9F6D37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AC827DB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88455">
    <w:abstractNumId w:val="0"/>
  </w:num>
  <w:num w:numId="2" w16cid:durableId="1349797505">
    <w:abstractNumId w:val="1"/>
  </w:num>
  <w:num w:numId="3" w16cid:durableId="1985773498">
    <w:abstractNumId w:val="7"/>
  </w:num>
  <w:num w:numId="4" w16cid:durableId="1522429500">
    <w:abstractNumId w:val="18"/>
  </w:num>
  <w:num w:numId="5" w16cid:durableId="1684162376">
    <w:abstractNumId w:val="8"/>
  </w:num>
  <w:num w:numId="6" w16cid:durableId="726029512">
    <w:abstractNumId w:val="31"/>
  </w:num>
  <w:num w:numId="7" w16cid:durableId="576942889">
    <w:abstractNumId w:val="21"/>
  </w:num>
  <w:num w:numId="8" w16cid:durableId="120341068">
    <w:abstractNumId w:val="28"/>
  </w:num>
  <w:num w:numId="9" w16cid:durableId="1860704893">
    <w:abstractNumId w:val="15"/>
  </w:num>
  <w:num w:numId="10" w16cid:durableId="460611999">
    <w:abstractNumId w:val="17"/>
  </w:num>
  <w:num w:numId="11" w16cid:durableId="822234879">
    <w:abstractNumId w:val="24"/>
  </w:num>
  <w:num w:numId="12" w16cid:durableId="810631349">
    <w:abstractNumId w:val="29"/>
  </w:num>
  <w:num w:numId="13" w16cid:durableId="1353646190">
    <w:abstractNumId w:val="12"/>
  </w:num>
  <w:num w:numId="14" w16cid:durableId="1764178290">
    <w:abstractNumId w:val="2"/>
  </w:num>
  <w:num w:numId="15" w16cid:durableId="1749419322">
    <w:abstractNumId w:val="4"/>
  </w:num>
  <w:num w:numId="16" w16cid:durableId="423261186">
    <w:abstractNumId w:val="11"/>
  </w:num>
  <w:num w:numId="17" w16cid:durableId="32388256">
    <w:abstractNumId w:val="20"/>
  </w:num>
  <w:num w:numId="18" w16cid:durableId="483470522">
    <w:abstractNumId w:val="19"/>
  </w:num>
  <w:num w:numId="19" w16cid:durableId="1048798075">
    <w:abstractNumId w:val="3"/>
  </w:num>
  <w:num w:numId="20" w16cid:durableId="1809585287">
    <w:abstractNumId w:val="5"/>
  </w:num>
  <w:num w:numId="21" w16cid:durableId="198514232">
    <w:abstractNumId w:val="13"/>
  </w:num>
  <w:num w:numId="22" w16cid:durableId="1963799330">
    <w:abstractNumId w:val="6"/>
  </w:num>
  <w:num w:numId="23" w16cid:durableId="1381055978">
    <w:abstractNumId w:val="25"/>
  </w:num>
  <w:num w:numId="24" w16cid:durableId="2021077927">
    <w:abstractNumId w:val="22"/>
  </w:num>
  <w:num w:numId="25" w16cid:durableId="1937593717">
    <w:abstractNumId w:val="14"/>
  </w:num>
  <w:num w:numId="26" w16cid:durableId="879316950">
    <w:abstractNumId w:val="9"/>
  </w:num>
  <w:num w:numId="27" w16cid:durableId="1807577722">
    <w:abstractNumId w:val="23"/>
  </w:num>
  <w:num w:numId="28" w16cid:durableId="1497576359">
    <w:abstractNumId w:val="30"/>
  </w:num>
  <w:num w:numId="29" w16cid:durableId="2106344160">
    <w:abstractNumId w:val="26"/>
  </w:num>
  <w:num w:numId="30" w16cid:durableId="1218929116">
    <w:abstractNumId w:val="16"/>
  </w:num>
  <w:num w:numId="31" w16cid:durableId="1516841620">
    <w:abstractNumId w:val="27"/>
  </w:num>
  <w:num w:numId="32" w16cid:durableId="1350445573">
    <w:abstractNumId w:val="26"/>
    <w:lvlOverride w:ilvl="0">
      <w:lvl w:ilvl="0">
        <w:start w:val="4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 w16cid:durableId="13319556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3B"/>
    <w:rsid w:val="00000757"/>
    <w:rsid w:val="000011F1"/>
    <w:rsid w:val="00006543"/>
    <w:rsid w:val="00006A25"/>
    <w:rsid w:val="000109C1"/>
    <w:rsid w:val="00010AD3"/>
    <w:rsid w:val="00010C16"/>
    <w:rsid w:val="000305D0"/>
    <w:rsid w:val="0003447A"/>
    <w:rsid w:val="0003462D"/>
    <w:rsid w:val="000379CD"/>
    <w:rsid w:val="00040512"/>
    <w:rsid w:val="0004345B"/>
    <w:rsid w:val="00045942"/>
    <w:rsid w:val="0004639C"/>
    <w:rsid w:val="00050604"/>
    <w:rsid w:val="00052678"/>
    <w:rsid w:val="000609B9"/>
    <w:rsid w:val="00060AF0"/>
    <w:rsid w:val="00062EC2"/>
    <w:rsid w:val="00066633"/>
    <w:rsid w:val="000668C6"/>
    <w:rsid w:val="00071898"/>
    <w:rsid w:val="00085618"/>
    <w:rsid w:val="00085E0B"/>
    <w:rsid w:val="00086E52"/>
    <w:rsid w:val="0008776D"/>
    <w:rsid w:val="000913F1"/>
    <w:rsid w:val="000920F1"/>
    <w:rsid w:val="00096DA2"/>
    <w:rsid w:val="00097FDB"/>
    <w:rsid w:val="000A1EDE"/>
    <w:rsid w:val="000A29D8"/>
    <w:rsid w:val="000A5711"/>
    <w:rsid w:val="000A5B8C"/>
    <w:rsid w:val="000A7C58"/>
    <w:rsid w:val="000B4322"/>
    <w:rsid w:val="000B772A"/>
    <w:rsid w:val="000B7D38"/>
    <w:rsid w:val="000C0813"/>
    <w:rsid w:val="000C0A2A"/>
    <w:rsid w:val="000C1B0E"/>
    <w:rsid w:val="000C278D"/>
    <w:rsid w:val="000C3C85"/>
    <w:rsid w:val="000C43D0"/>
    <w:rsid w:val="000D0CF3"/>
    <w:rsid w:val="000D390F"/>
    <w:rsid w:val="000D3D3F"/>
    <w:rsid w:val="000E4D46"/>
    <w:rsid w:val="000F0F16"/>
    <w:rsid w:val="000F2C2F"/>
    <w:rsid w:val="000F2F50"/>
    <w:rsid w:val="000F416F"/>
    <w:rsid w:val="000F4F0E"/>
    <w:rsid w:val="001028D8"/>
    <w:rsid w:val="00102CB8"/>
    <w:rsid w:val="00102EE8"/>
    <w:rsid w:val="00103352"/>
    <w:rsid w:val="00104855"/>
    <w:rsid w:val="00104879"/>
    <w:rsid w:val="001064A9"/>
    <w:rsid w:val="001069E5"/>
    <w:rsid w:val="00107454"/>
    <w:rsid w:val="00107BAB"/>
    <w:rsid w:val="00116DB8"/>
    <w:rsid w:val="00123EF9"/>
    <w:rsid w:val="001242EC"/>
    <w:rsid w:val="00124CDD"/>
    <w:rsid w:val="001310B8"/>
    <w:rsid w:val="00132B8B"/>
    <w:rsid w:val="00132D16"/>
    <w:rsid w:val="00140F63"/>
    <w:rsid w:val="00140FD7"/>
    <w:rsid w:val="00143E09"/>
    <w:rsid w:val="001524A3"/>
    <w:rsid w:val="00154660"/>
    <w:rsid w:val="00155169"/>
    <w:rsid w:val="001553FB"/>
    <w:rsid w:val="001555A3"/>
    <w:rsid w:val="00155B24"/>
    <w:rsid w:val="001572DF"/>
    <w:rsid w:val="00157391"/>
    <w:rsid w:val="0016028A"/>
    <w:rsid w:val="0016582A"/>
    <w:rsid w:val="0016596F"/>
    <w:rsid w:val="00167FC3"/>
    <w:rsid w:val="001714E9"/>
    <w:rsid w:val="00173740"/>
    <w:rsid w:val="00173C13"/>
    <w:rsid w:val="00174BA7"/>
    <w:rsid w:val="0017797A"/>
    <w:rsid w:val="00180686"/>
    <w:rsid w:val="00187EEF"/>
    <w:rsid w:val="00195B51"/>
    <w:rsid w:val="0019781C"/>
    <w:rsid w:val="001A1FC8"/>
    <w:rsid w:val="001A24E1"/>
    <w:rsid w:val="001A2849"/>
    <w:rsid w:val="001A3DB7"/>
    <w:rsid w:val="001B0AAE"/>
    <w:rsid w:val="001B2EA2"/>
    <w:rsid w:val="001B6403"/>
    <w:rsid w:val="001B64BB"/>
    <w:rsid w:val="001C1B36"/>
    <w:rsid w:val="001C1C73"/>
    <w:rsid w:val="001C2B5C"/>
    <w:rsid w:val="001D0036"/>
    <w:rsid w:val="001D02B2"/>
    <w:rsid w:val="001D3FC3"/>
    <w:rsid w:val="001D5043"/>
    <w:rsid w:val="001D5190"/>
    <w:rsid w:val="001D5AF1"/>
    <w:rsid w:val="001D7808"/>
    <w:rsid w:val="001E12A6"/>
    <w:rsid w:val="001E30AD"/>
    <w:rsid w:val="001E5910"/>
    <w:rsid w:val="001E5BBF"/>
    <w:rsid w:val="001E7926"/>
    <w:rsid w:val="001F5B15"/>
    <w:rsid w:val="00201702"/>
    <w:rsid w:val="00201E1D"/>
    <w:rsid w:val="00202084"/>
    <w:rsid w:val="0020567A"/>
    <w:rsid w:val="00205850"/>
    <w:rsid w:val="0020655F"/>
    <w:rsid w:val="00216CAE"/>
    <w:rsid w:val="00222D8F"/>
    <w:rsid w:val="002300EB"/>
    <w:rsid w:val="00230EA1"/>
    <w:rsid w:val="00235B88"/>
    <w:rsid w:val="0024263A"/>
    <w:rsid w:val="0024450C"/>
    <w:rsid w:val="00253BAD"/>
    <w:rsid w:val="002541A0"/>
    <w:rsid w:val="002569A8"/>
    <w:rsid w:val="00260358"/>
    <w:rsid w:val="00260C5E"/>
    <w:rsid w:val="002637D5"/>
    <w:rsid w:val="00264BE2"/>
    <w:rsid w:val="0026602E"/>
    <w:rsid w:val="002718A3"/>
    <w:rsid w:val="00273296"/>
    <w:rsid w:val="00273897"/>
    <w:rsid w:val="00274884"/>
    <w:rsid w:val="00274AFC"/>
    <w:rsid w:val="00275A1B"/>
    <w:rsid w:val="00277C9B"/>
    <w:rsid w:val="00280782"/>
    <w:rsid w:val="00280CEF"/>
    <w:rsid w:val="002810A9"/>
    <w:rsid w:val="00282974"/>
    <w:rsid w:val="002872C2"/>
    <w:rsid w:val="00287BB8"/>
    <w:rsid w:val="00287FDE"/>
    <w:rsid w:val="00290AAD"/>
    <w:rsid w:val="00292FAC"/>
    <w:rsid w:val="002953CC"/>
    <w:rsid w:val="002A0E3F"/>
    <w:rsid w:val="002A3A30"/>
    <w:rsid w:val="002A65FE"/>
    <w:rsid w:val="002B129D"/>
    <w:rsid w:val="002B1ED3"/>
    <w:rsid w:val="002B29D3"/>
    <w:rsid w:val="002C09CB"/>
    <w:rsid w:val="002C5A46"/>
    <w:rsid w:val="002D1A4D"/>
    <w:rsid w:val="002D28FB"/>
    <w:rsid w:val="002D3276"/>
    <w:rsid w:val="002D523B"/>
    <w:rsid w:val="002D5EDE"/>
    <w:rsid w:val="002E1B31"/>
    <w:rsid w:val="002E2147"/>
    <w:rsid w:val="002E3D1F"/>
    <w:rsid w:val="002F44B2"/>
    <w:rsid w:val="002F5C51"/>
    <w:rsid w:val="002F6053"/>
    <w:rsid w:val="003054B4"/>
    <w:rsid w:val="003066DD"/>
    <w:rsid w:val="003130D4"/>
    <w:rsid w:val="0031335D"/>
    <w:rsid w:val="0031647B"/>
    <w:rsid w:val="003219D8"/>
    <w:rsid w:val="003250AE"/>
    <w:rsid w:val="00326911"/>
    <w:rsid w:val="00327667"/>
    <w:rsid w:val="00342A57"/>
    <w:rsid w:val="00344A03"/>
    <w:rsid w:val="0034564D"/>
    <w:rsid w:val="0034574E"/>
    <w:rsid w:val="003465F4"/>
    <w:rsid w:val="00346A39"/>
    <w:rsid w:val="003513AD"/>
    <w:rsid w:val="00351B69"/>
    <w:rsid w:val="003536AF"/>
    <w:rsid w:val="00355F97"/>
    <w:rsid w:val="003623EB"/>
    <w:rsid w:val="0036469F"/>
    <w:rsid w:val="00367F56"/>
    <w:rsid w:val="0037309B"/>
    <w:rsid w:val="003730B5"/>
    <w:rsid w:val="00386842"/>
    <w:rsid w:val="0039024C"/>
    <w:rsid w:val="00394A17"/>
    <w:rsid w:val="00394B5B"/>
    <w:rsid w:val="003A3249"/>
    <w:rsid w:val="003A718B"/>
    <w:rsid w:val="003A799C"/>
    <w:rsid w:val="003A7EEA"/>
    <w:rsid w:val="003B41D1"/>
    <w:rsid w:val="003C2700"/>
    <w:rsid w:val="003C2F25"/>
    <w:rsid w:val="003C40DD"/>
    <w:rsid w:val="003C4809"/>
    <w:rsid w:val="003C4BD7"/>
    <w:rsid w:val="003D11B0"/>
    <w:rsid w:val="003D4B91"/>
    <w:rsid w:val="003D4C09"/>
    <w:rsid w:val="003D4E08"/>
    <w:rsid w:val="003E26F6"/>
    <w:rsid w:val="003E398A"/>
    <w:rsid w:val="003E5CA0"/>
    <w:rsid w:val="003F2BE4"/>
    <w:rsid w:val="003F4579"/>
    <w:rsid w:val="003F5B7C"/>
    <w:rsid w:val="004037ED"/>
    <w:rsid w:val="00403BEA"/>
    <w:rsid w:val="004057A8"/>
    <w:rsid w:val="004064B6"/>
    <w:rsid w:val="0041066F"/>
    <w:rsid w:val="004160AB"/>
    <w:rsid w:val="004204AD"/>
    <w:rsid w:val="00421372"/>
    <w:rsid w:val="00421BC2"/>
    <w:rsid w:val="00424716"/>
    <w:rsid w:val="00425D54"/>
    <w:rsid w:val="00430A2A"/>
    <w:rsid w:val="00431330"/>
    <w:rsid w:val="00432B1D"/>
    <w:rsid w:val="00435854"/>
    <w:rsid w:val="00445D2F"/>
    <w:rsid w:val="004468E5"/>
    <w:rsid w:val="004475F3"/>
    <w:rsid w:val="00450677"/>
    <w:rsid w:val="00450793"/>
    <w:rsid w:val="00451A90"/>
    <w:rsid w:val="00453BCC"/>
    <w:rsid w:val="00456BF4"/>
    <w:rsid w:val="00456E1A"/>
    <w:rsid w:val="004627FA"/>
    <w:rsid w:val="00474E51"/>
    <w:rsid w:val="00475096"/>
    <w:rsid w:val="00476556"/>
    <w:rsid w:val="004772B6"/>
    <w:rsid w:val="00480C37"/>
    <w:rsid w:val="00481D22"/>
    <w:rsid w:val="004827F0"/>
    <w:rsid w:val="00482A04"/>
    <w:rsid w:val="00484D38"/>
    <w:rsid w:val="00486183"/>
    <w:rsid w:val="00486D68"/>
    <w:rsid w:val="0048767B"/>
    <w:rsid w:val="004A7CC9"/>
    <w:rsid w:val="004B0913"/>
    <w:rsid w:val="004B2918"/>
    <w:rsid w:val="004B655D"/>
    <w:rsid w:val="004C0531"/>
    <w:rsid w:val="004C1636"/>
    <w:rsid w:val="004C4749"/>
    <w:rsid w:val="004C66F2"/>
    <w:rsid w:val="004D4175"/>
    <w:rsid w:val="004D432C"/>
    <w:rsid w:val="004D65FA"/>
    <w:rsid w:val="004E193D"/>
    <w:rsid w:val="004E2BAC"/>
    <w:rsid w:val="004E398B"/>
    <w:rsid w:val="004F0564"/>
    <w:rsid w:val="004F297F"/>
    <w:rsid w:val="004F673B"/>
    <w:rsid w:val="004F6DF7"/>
    <w:rsid w:val="004F768D"/>
    <w:rsid w:val="004F775B"/>
    <w:rsid w:val="00506E3B"/>
    <w:rsid w:val="00513657"/>
    <w:rsid w:val="00517F5F"/>
    <w:rsid w:val="00524CD6"/>
    <w:rsid w:val="0053141E"/>
    <w:rsid w:val="00534168"/>
    <w:rsid w:val="005353ED"/>
    <w:rsid w:val="005368CA"/>
    <w:rsid w:val="0054517D"/>
    <w:rsid w:val="00546FA4"/>
    <w:rsid w:val="005518BD"/>
    <w:rsid w:val="005546F2"/>
    <w:rsid w:val="00555326"/>
    <w:rsid w:val="00557C72"/>
    <w:rsid w:val="0056023B"/>
    <w:rsid w:val="005611EF"/>
    <w:rsid w:val="00561900"/>
    <w:rsid w:val="00563C2A"/>
    <w:rsid w:val="005644B4"/>
    <w:rsid w:val="005650A8"/>
    <w:rsid w:val="00570529"/>
    <w:rsid w:val="0057213F"/>
    <w:rsid w:val="00573671"/>
    <w:rsid w:val="00573A28"/>
    <w:rsid w:val="00574A86"/>
    <w:rsid w:val="00575DEF"/>
    <w:rsid w:val="0057707B"/>
    <w:rsid w:val="005829B4"/>
    <w:rsid w:val="0058352E"/>
    <w:rsid w:val="005840AE"/>
    <w:rsid w:val="00585A80"/>
    <w:rsid w:val="005867CC"/>
    <w:rsid w:val="0059039C"/>
    <w:rsid w:val="00592546"/>
    <w:rsid w:val="00596E61"/>
    <w:rsid w:val="0059790C"/>
    <w:rsid w:val="005A6407"/>
    <w:rsid w:val="005A738A"/>
    <w:rsid w:val="005B1D88"/>
    <w:rsid w:val="005B5509"/>
    <w:rsid w:val="005B641B"/>
    <w:rsid w:val="005B78FA"/>
    <w:rsid w:val="005C2F6D"/>
    <w:rsid w:val="005C697E"/>
    <w:rsid w:val="005C784F"/>
    <w:rsid w:val="005D2897"/>
    <w:rsid w:val="005D59D7"/>
    <w:rsid w:val="005D5B8C"/>
    <w:rsid w:val="005D72B3"/>
    <w:rsid w:val="005D79D3"/>
    <w:rsid w:val="005E68AB"/>
    <w:rsid w:val="005E6D74"/>
    <w:rsid w:val="005F46F7"/>
    <w:rsid w:val="005F61A9"/>
    <w:rsid w:val="005F6220"/>
    <w:rsid w:val="0060595E"/>
    <w:rsid w:val="006059A6"/>
    <w:rsid w:val="00605F45"/>
    <w:rsid w:val="006109F0"/>
    <w:rsid w:val="00610F33"/>
    <w:rsid w:val="006144E1"/>
    <w:rsid w:val="00620A2E"/>
    <w:rsid w:val="006259FF"/>
    <w:rsid w:val="00625C7E"/>
    <w:rsid w:val="006274C7"/>
    <w:rsid w:val="00632C4D"/>
    <w:rsid w:val="00640C02"/>
    <w:rsid w:val="00642573"/>
    <w:rsid w:val="0064670B"/>
    <w:rsid w:val="00646CDB"/>
    <w:rsid w:val="00655775"/>
    <w:rsid w:val="00660E68"/>
    <w:rsid w:val="0066576A"/>
    <w:rsid w:val="006728B1"/>
    <w:rsid w:val="0067766B"/>
    <w:rsid w:val="00677EF1"/>
    <w:rsid w:val="00680C10"/>
    <w:rsid w:val="006814DB"/>
    <w:rsid w:val="0068698E"/>
    <w:rsid w:val="00686EF2"/>
    <w:rsid w:val="00690F13"/>
    <w:rsid w:val="00693A30"/>
    <w:rsid w:val="00693FDA"/>
    <w:rsid w:val="006A1082"/>
    <w:rsid w:val="006A4086"/>
    <w:rsid w:val="006A5205"/>
    <w:rsid w:val="006A6640"/>
    <w:rsid w:val="006B0530"/>
    <w:rsid w:val="006B7B86"/>
    <w:rsid w:val="006C45E4"/>
    <w:rsid w:val="006C64F3"/>
    <w:rsid w:val="006D468B"/>
    <w:rsid w:val="006D5F02"/>
    <w:rsid w:val="006D7D12"/>
    <w:rsid w:val="006D7F38"/>
    <w:rsid w:val="006E0258"/>
    <w:rsid w:val="006E1C5B"/>
    <w:rsid w:val="006F12B9"/>
    <w:rsid w:val="006F4B39"/>
    <w:rsid w:val="0070153C"/>
    <w:rsid w:val="0071096E"/>
    <w:rsid w:val="00714F17"/>
    <w:rsid w:val="00715264"/>
    <w:rsid w:val="00715D83"/>
    <w:rsid w:val="00716BD4"/>
    <w:rsid w:val="00725E3F"/>
    <w:rsid w:val="0072620E"/>
    <w:rsid w:val="007334DF"/>
    <w:rsid w:val="00736895"/>
    <w:rsid w:val="00737F57"/>
    <w:rsid w:val="00740AB6"/>
    <w:rsid w:val="00751FF2"/>
    <w:rsid w:val="00754594"/>
    <w:rsid w:val="007557CF"/>
    <w:rsid w:val="0076363D"/>
    <w:rsid w:val="00775834"/>
    <w:rsid w:val="007863B6"/>
    <w:rsid w:val="007868A4"/>
    <w:rsid w:val="00792070"/>
    <w:rsid w:val="00792409"/>
    <w:rsid w:val="007925AF"/>
    <w:rsid w:val="00793DAB"/>
    <w:rsid w:val="007A168C"/>
    <w:rsid w:val="007A284B"/>
    <w:rsid w:val="007A4FDC"/>
    <w:rsid w:val="007A5D2B"/>
    <w:rsid w:val="007A6C7E"/>
    <w:rsid w:val="007B6117"/>
    <w:rsid w:val="007B6DE6"/>
    <w:rsid w:val="007B6F58"/>
    <w:rsid w:val="007D281D"/>
    <w:rsid w:val="007D3355"/>
    <w:rsid w:val="007D6261"/>
    <w:rsid w:val="007D71E9"/>
    <w:rsid w:val="007E79E7"/>
    <w:rsid w:val="007F06B8"/>
    <w:rsid w:val="007F10C2"/>
    <w:rsid w:val="007F12AD"/>
    <w:rsid w:val="007F41BB"/>
    <w:rsid w:val="00801C16"/>
    <w:rsid w:val="00804EA0"/>
    <w:rsid w:val="00810624"/>
    <w:rsid w:val="00811254"/>
    <w:rsid w:val="00811473"/>
    <w:rsid w:val="00811F3A"/>
    <w:rsid w:val="00811F7D"/>
    <w:rsid w:val="00817B95"/>
    <w:rsid w:val="008212E1"/>
    <w:rsid w:val="008223A4"/>
    <w:rsid w:val="008240AB"/>
    <w:rsid w:val="0082508F"/>
    <w:rsid w:val="008266A3"/>
    <w:rsid w:val="00830958"/>
    <w:rsid w:val="00835EAE"/>
    <w:rsid w:val="00837857"/>
    <w:rsid w:val="00840AB3"/>
    <w:rsid w:val="00844824"/>
    <w:rsid w:val="00844D46"/>
    <w:rsid w:val="008461CC"/>
    <w:rsid w:val="0084650E"/>
    <w:rsid w:val="00851958"/>
    <w:rsid w:val="00860575"/>
    <w:rsid w:val="00870B14"/>
    <w:rsid w:val="00870F06"/>
    <w:rsid w:val="008735CB"/>
    <w:rsid w:val="008765BC"/>
    <w:rsid w:val="00876D77"/>
    <w:rsid w:val="00881879"/>
    <w:rsid w:val="00883F5D"/>
    <w:rsid w:val="008862CA"/>
    <w:rsid w:val="00886A07"/>
    <w:rsid w:val="00894DAC"/>
    <w:rsid w:val="008A3947"/>
    <w:rsid w:val="008B04C9"/>
    <w:rsid w:val="008B658B"/>
    <w:rsid w:val="008C5B8D"/>
    <w:rsid w:val="008D008F"/>
    <w:rsid w:val="008D23CC"/>
    <w:rsid w:val="008D62AE"/>
    <w:rsid w:val="008E1DA6"/>
    <w:rsid w:val="008E328A"/>
    <w:rsid w:val="008E6614"/>
    <w:rsid w:val="008F2FEA"/>
    <w:rsid w:val="008F4D06"/>
    <w:rsid w:val="00903006"/>
    <w:rsid w:val="00904EB8"/>
    <w:rsid w:val="00913A1E"/>
    <w:rsid w:val="00914CB2"/>
    <w:rsid w:val="009174C5"/>
    <w:rsid w:val="00917592"/>
    <w:rsid w:val="00917712"/>
    <w:rsid w:val="00920B21"/>
    <w:rsid w:val="009236E7"/>
    <w:rsid w:val="009277E2"/>
    <w:rsid w:val="00936643"/>
    <w:rsid w:val="00940F38"/>
    <w:rsid w:val="00941063"/>
    <w:rsid w:val="00941BEE"/>
    <w:rsid w:val="00941FD8"/>
    <w:rsid w:val="00950502"/>
    <w:rsid w:val="00957A43"/>
    <w:rsid w:val="009612B7"/>
    <w:rsid w:val="00961F01"/>
    <w:rsid w:val="009657BA"/>
    <w:rsid w:val="00967473"/>
    <w:rsid w:val="00970FAE"/>
    <w:rsid w:val="009715B9"/>
    <w:rsid w:val="00972B8A"/>
    <w:rsid w:val="009743E0"/>
    <w:rsid w:val="00976114"/>
    <w:rsid w:val="009804F9"/>
    <w:rsid w:val="00981C43"/>
    <w:rsid w:val="009835BA"/>
    <w:rsid w:val="00984D07"/>
    <w:rsid w:val="00986E94"/>
    <w:rsid w:val="00997302"/>
    <w:rsid w:val="00997368"/>
    <w:rsid w:val="009A77B0"/>
    <w:rsid w:val="009B7F17"/>
    <w:rsid w:val="009C17D7"/>
    <w:rsid w:val="009C1B80"/>
    <w:rsid w:val="009C43BB"/>
    <w:rsid w:val="009C7DA3"/>
    <w:rsid w:val="009D0470"/>
    <w:rsid w:val="009D07DC"/>
    <w:rsid w:val="009D22A0"/>
    <w:rsid w:val="009D63C4"/>
    <w:rsid w:val="009D6E72"/>
    <w:rsid w:val="009D731A"/>
    <w:rsid w:val="009D7B71"/>
    <w:rsid w:val="009F1013"/>
    <w:rsid w:val="009F27C2"/>
    <w:rsid w:val="009F2947"/>
    <w:rsid w:val="009F4DB1"/>
    <w:rsid w:val="009F793C"/>
    <w:rsid w:val="00A0378E"/>
    <w:rsid w:val="00A07688"/>
    <w:rsid w:val="00A13C12"/>
    <w:rsid w:val="00A21EC2"/>
    <w:rsid w:val="00A2323D"/>
    <w:rsid w:val="00A23404"/>
    <w:rsid w:val="00A26B0A"/>
    <w:rsid w:val="00A27B3B"/>
    <w:rsid w:val="00A27F4A"/>
    <w:rsid w:val="00A359A5"/>
    <w:rsid w:val="00A4015D"/>
    <w:rsid w:val="00A4017D"/>
    <w:rsid w:val="00A41002"/>
    <w:rsid w:val="00A42128"/>
    <w:rsid w:val="00A430DC"/>
    <w:rsid w:val="00A430E1"/>
    <w:rsid w:val="00A4337E"/>
    <w:rsid w:val="00A4522F"/>
    <w:rsid w:val="00A45304"/>
    <w:rsid w:val="00A51AE9"/>
    <w:rsid w:val="00A53847"/>
    <w:rsid w:val="00A54480"/>
    <w:rsid w:val="00A556AB"/>
    <w:rsid w:val="00A606BE"/>
    <w:rsid w:val="00A62FD8"/>
    <w:rsid w:val="00A648F4"/>
    <w:rsid w:val="00A70A22"/>
    <w:rsid w:val="00A71B1D"/>
    <w:rsid w:val="00A7264D"/>
    <w:rsid w:val="00A74575"/>
    <w:rsid w:val="00A808A6"/>
    <w:rsid w:val="00A814C8"/>
    <w:rsid w:val="00A87D7B"/>
    <w:rsid w:val="00A90415"/>
    <w:rsid w:val="00A91668"/>
    <w:rsid w:val="00A91C71"/>
    <w:rsid w:val="00A93250"/>
    <w:rsid w:val="00AA221D"/>
    <w:rsid w:val="00AA31CB"/>
    <w:rsid w:val="00AA4500"/>
    <w:rsid w:val="00AA47A5"/>
    <w:rsid w:val="00AA7298"/>
    <w:rsid w:val="00AB0883"/>
    <w:rsid w:val="00AB1D2A"/>
    <w:rsid w:val="00AB41F3"/>
    <w:rsid w:val="00AB51AE"/>
    <w:rsid w:val="00AB5776"/>
    <w:rsid w:val="00AB7CDA"/>
    <w:rsid w:val="00AC1EBF"/>
    <w:rsid w:val="00AC4BF3"/>
    <w:rsid w:val="00AC5A50"/>
    <w:rsid w:val="00AD0426"/>
    <w:rsid w:val="00AD1FC2"/>
    <w:rsid w:val="00AD3906"/>
    <w:rsid w:val="00AD5AB9"/>
    <w:rsid w:val="00AD7766"/>
    <w:rsid w:val="00AE3186"/>
    <w:rsid w:val="00AE31CC"/>
    <w:rsid w:val="00AE3763"/>
    <w:rsid w:val="00AE630B"/>
    <w:rsid w:val="00AE721B"/>
    <w:rsid w:val="00AF041D"/>
    <w:rsid w:val="00AF4474"/>
    <w:rsid w:val="00AF516E"/>
    <w:rsid w:val="00AF703E"/>
    <w:rsid w:val="00B04586"/>
    <w:rsid w:val="00B05A9C"/>
    <w:rsid w:val="00B10A65"/>
    <w:rsid w:val="00B1328F"/>
    <w:rsid w:val="00B15364"/>
    <w:rsid w:val="00B15497"/>
    <w:rsid w:val="00B16365"/>
    <w:rsid w:val="00B1788E"/>
    <w:rsid w:val="00B20070"/>
    <w:rsid w:val="00B2081B"/>
    <w:rsid w:val="00B20CFC"/>
    <w:rsid w:val="00B2107D"/>
    <w:rsid w:val="00B22D66"/>
    <w:rsid w:val="00B24B01"/>
    <w:rsid w:val="00B26FE1"/>
    <w:rsid w:val="00B30ED4"/>
    <w:rsid w:val="00B347AA"/>
    <w:rsid w:val="00B3761B"/>
    <w:rsid w:val="00B41B40"/>
    <w:rsid w:val="00B539FB"/>
    <w:rsid w:val="00B54A6B"/>
    <w:rsid w:val="00B61134"/>
    <w:rsid w:val="00B62C82"/>
    <w:rsid w:val="00B6565D"/>
    <w:rsid w:val="00B65A9E"/>
    <w:rsid w:val="00B67CBD"/>
    <w:rsid w:val="00B70344"/>
    <w:rsid w:val="00B71BAA"/>
    <w:rsid w:val="00B734E7"/>
    <w:rsid w:val="00B74470"/>
    <w:rsid w:val="00B8065E"/>
    <w:rsid w:val="00B80839"/>
    <w:rsid w:val="00B81629"/>
    <w:rsid w:val="00B86B3A"/>
    <w:rsid w:val="00B91437"/>
    <w:rsid w:val="00B941ED"/>
    <w:rsid w:val="00B9706B"/>
    <w:rsid w:val="00BA09CC"/>
    <w:rsid w:val="00BA555A"/>
    <w:rsid w:val="00BA6332"/>
    <w:rsid w:val="00BA6DF2"/>
    <w:rsid w:val="00BB1A78"/>
    <w:rsid w:val="00BB5B1B"/>
    <w:rsid w:val="00BB7AE6"/>
    <w:rsid w:val="00BC6E86"/>
    <w:rsid w:val="00BC7AF5"/>
    <w:rsid w:val="00BD0186"/>
    <w:rsid w:val="00BD1816"/>
    <w:rsid w:val="00BD2034"/>
    <w:rsid w:val="00BD20D3"/>
    <w:rsid w:val="00BD4B47"/>
    <w:rsid w:val="00BD7E1F"/>
    <w:rsid w:val="00BE0D5B"/>
    <w:rsid w:val="00BE23EC"/>
    <w:rsid w:val="00BE29F6"/>
    <w:rsid w:val="00BE430F"/>
    <w:rsid w:val="00BF2682"/>
    <w:rsid w:val="00BF3342"/>
    <w:rsid w:val="00BF34EE"/>
    <w:rsid w:val="00BF3C77"/>
    <w:rsid w:val="00BF71A3"/>
    <w:rsid w:val="00C00BE3"/>
    <w:rsid w:val="00C03FCA"/>
    <w:rsid w:val="00C13F0C"/>
    <w:rsid w:val="00C14A40"/>
    <w:rsid w:val="00C212AC"/>
    <w:rsid w:val="00C226CE"/>
    <w:rsid w:val="00C2354E"/>
    <w:rsid w:val="00C24C50"/>
    <w:rsid w:val="00C2517C"/>
    <w:rsid w:val="00C25D6E"/>
    <w:rsid w:val="00C26874"/>
    <w:rsid w:val="00C35BF5"/>
    <w:rsid w:val="00C36688"/>
    <w:rsid w:val="00C36D0A"/>
    <w:rsid w:val="00C371AF"/>
    <w:rsid w:val="00C40228"/>
    <w:rsid w:val="00C40B9D"/>
    <w:rsid w:val="00C4255E"/>
    <w:rsid w:val="00C425C1"/>
    <w:rsid w:val="00C4517C"/>
    <w:rsid w:val="00C521F6"/>
    <w:rsid w:val="00C5572E"/>
    <w:rsid w:val="00C56CEF"/>
    <w:rsid w:val="00C64F5C"/>
    <w:rsid w:val="00C65171"/>
    <w:rsid w:val="00C66377"/>
    <w:rsid w:val="00C6641B"/>
    <w:rsid w:val="00C67031"/>
    <w:rsid w:val="00C6770D"/>
    <w:rsid w:val="00C73FAE"/>
    <w:rsid w:val="00C76E13"/>
    <w:rsid w:val="00C807C8"/>
    <w:rsid w:val="00C812F7"/>
    <w:rsid w:val="00C8420D"/>
    <w:rsid w:val="00C9263A"/>
    <w:rsid w:val="00C93DD6"/>
    <w:rsid w:val="00C953A0"/>
    <w:rsid w:val="00C957B2"/>
    <w:rsid w:val="00C96D50"/>
    <w:rsid w:val="00CA5953"/>
    <w:rsid w:val="00CA628C"/>
    <w:rsid w:val="00CA7A98"/>
    <w:rsid w:val="00CB40FC"/>
    <w:rsid w:val="00CB483D"/>
    <w:rsid w:val="00CC0AC9"/>
    <w:rsid w:val="00CC3B6D"/>
    <w:rsid w:val="00CC42E0"/>
    <w:rsid w:val="00CC5FC3"/>
    <w:rsid w:val="00CC61D4"/>
    <w:rsid w:val="00CC62B8"/>
    <w:rsid w:val="00CD1F26"/>
    <w:rsid w:val="00CD4072"/>
    <w:rsid w:val="00CD4E0C"/>
    <w:rsid w:val="00CD71E4"/>
    <w:rsid w:val="00CE03CD"/>
    <w:rsid w:val="00CE1921"/>
    <w:rsid w:val="00CE365B"/>
    <w:rsid w:val="00CE4397"/>
    <w:rsid w:val="00CE5BB8"/>
    <w:rsid w:val="00CF053B"/>
    <w:rsid w:val="00CF13DA"/>
    <w:rsid w:val="00CF2EBE"/>
    <w:rsid w:val="00CF6439"/>
    <w:rsid w:val="00D01E23"/>
    <w:rsid w:val="00D01EB9"/>
    <w:rsid w:val="00D06240"/>
    <w:rsid w:val="00D06441"/>
    <w:rsid w:val="00D06B00"/>
    <w:rsid w:val="00D07B51"/>
    <w:rsid w:val="00D11D6E"/>
    <w:rsid w:val="00D12B6D"/>
    <w:rsid w:val="00D2127C"/>
    <w:rsid w:val="00D2128C"/>
    <w:rsid w:val="00D22555"/>
    <w:rsid w:val="00D234F8"/>
    <w:rsid w:val="00D23E9A"/>
    <w:rsid w:val="00D24F79"/>
    <w:rsid w:val="00D318D6"/>
    <w:rsid w:val="00D33482"/>
    <w:rsid w:val="00D33CAC"/>
    <w:rsid w:val="00D33E0C"/>
    <w:rsid w:val="00D34025"/>
    <w:rsid w:val="00D3710E"/>
    <w:rsid w:val="00D51D72"/>
    <w:rsid w:val="00D5745B"/>
    <w:rsid w:val="00D6130D"/>
    <w:rsid w:val="00D62A95"/>
    <w:rsid w:val="00D65FB8"/>
    <w:rsid w:val="00D67C1E"/>
    <w:rsid w:val="00D76BCB"/>
    <w:rsid w:val="00D80225"/>
    <w:rsid w:val="00D80676"/>
    <w:rsid w:val="00D82545"/>
    <w:rsid w:val="00D83B53"/>
    <w:rsid w:val="00D91588"/>
    <w:rsid w:val="00D93CCF"/>
    <w:rsid w:val="00D96386"/>
    <w:rsid w:val="00D965EC"/>
    <w:rsid w:val="00D9713B"/>
    <w:rsid w:val="00D97ADB"/>
    <w:rsid w:val="00DA54CE"/>
    <w:rsid w:val="00DA786B"/>
    <w:rsid w:val="00DA79C1"/>
    <w:rsid w:val="00DB00DD"/>
    <w:rsid w:val="00DB0516"/>
    <w:rsid w:val="00DB177B"/>
    <w:rsid w:val="00DB2F83"/>
    <w:rsid w:val="00DB45A3"/>
    <w:rsid w:val="00DB76F6"/>
    <w:rsid w:val="00DB7A78"/>
    <w:rsid w:val="00DC0D3A"/>
    <w:rsid w:val="00DC18AA"/>
    <w:rsid w:val="00DC7A61"/>
    <w:rsid w:val="00DD470F"/>
    <w:rsid w:val="00DD5CFB"/>
    <w:rsid w:val="00DF36FC"/>
    <w:rsid w:val="00DF6097"/>
    <w:rsid w:val="00DF6217"/>
    <w:rsid w:val="00E02440"/>
    <w:rsid w:val="00E037AC"/>
    <w:rsid w:val="00E05CFF"/>
    <w:rsid w:val="00E07CD4"/>
    <w:rsid w:val="00E133F3"/>
    <w:rsid w:val="00E14530"/>
    <w:rsid w:val="00E211B9"/>
    <w:rsid w:val="00E24976"/>
    <w:rsid w:val="00E278C4"/>
    <w:rsid w:val="00E44E73"/>
    <w:rsid w:val="00E46CCD"/>
    <w:rsid w:val="00E54ED9"/>
    <w:rsid w:val="00E54FFF"/>
    <w:rsid w:val="00E6246D"/>
    <w:rsid w:val="00E6281D"/>
    <w:rsid w:val="00E646E6"/>
    <w:rsid w:val="00E71825"/>
    <w:rsid w:val="00E77FB3"/>
    <w:rsid w:val="00E83A76"/>
    <w:rsid w:val="00E871BB"/>
    <w:rsid w:val="00E972F0"/>
    <w:rsid w:val="00EA1E4D"/>
    <w:rsid w:val="00EB1177"/>
    <w:rsid w:val="00EB1FA8"/>
    <w:rsid w:val="00EB318C"/>
    <w:rsid w:val="00EB50C3"/>
    <w:rsid w:val="00EB5EB8"/>
    <w:rsid w:val="00EB673B"/>
    <w:rsid w:val="00EC0B13"/>
    <w:rsid w:val="00EC2023"/>
    <w:rsid w:val="00EC5624"/>
    <w:rsid w:val="00EC573D"/>
    <w:rsid w:val="00ED33EB"/>
    <w:rsid w:val="00ED5892"/>
    <w:rsid w:val="00EE4A36"/>
    <w:rsid w:val="00EE7527"/>
    <w:rsid w:val="00EE75AB"/>
    <w:rsid w:val="00EE78EB"/>
    <w:rsid w:val="00EF655C"/>
    <w:rsid w:val="00F00E34"/>
    <w:rsid w:val="00F027DC"/>
    <w:rsid w:val="00F06493"/>
    <w:rsid w:val="00F106A1"/>
    <w:rsid w:val="00F10A99"/>
    <w:rsid w:val="00F15BF4"/>
    <w:rsid w:val="00F16D3A"/>
    <w:rsid w:val="00F2604C"/>
    <w:rsid w:val="00F26AE0"/>
    <w:rsid w:val="00F32BAD"/>
    <w:rsid w:val="00F354A2"/>
    <w:rsid w:val="00F3603A"/>
    <w:rsid w:val="00F41FD1"/>
    <w:rsid w:val="00F4330F"/>
    <w:rsid w:val="00F434BB"/>
    <w:rsid w:val="00F45346"/>
    <w:rsid w:val="00F4645D"/>
    <w:rsid w:val="00F47F1B"/>
    <w:rsid w:val="00F500B1"/>
    <w:rsid w:val="00F507AD"/>
    <w:rsid w:val="00F508BC"/>
    <w:rsid w:val="00F53312"/>
    <w:rsid w:val="00F56F62"/>
    <w:rsid w:val="00F60579"/>
    <w:rsid w:val="00F60594"/>
    <w:rsid w:val="00F64A93"/>
    <w:rsid w:val="00F71A68"/>
    <w:rsid w:val="00F72E3E"/>
    <w:rsid w:val="00F82882"/>
    <w:rsid w:val="00F82BA2"/>
    <w:rsid w:val="00F855DC"/>
    <w:rsid w:val="00F85FB5"/>
    <w:rsid w:val="00F86042"/>
    <w:rsid w:val="00F86635"/>
    <w:rsid w:val="00F876C9"/>
    <w:rsid w:val="00F965E7"/>
    <w:rsid w:val="00FA30BA"/>
    <w:rsid w:val="00FB0066"/>
    <w:rsid w:val="00FB0137"/>
    <w:rsid w:val="00FB03FF"/>
    <w:rsid w:val="00FB0C06"/>
    <w:rsid w:val="00FB16A3"/>
    <w:rsid w:val="00FB2709"/>
    <w:rsid w:val="00FB7790"/>
    <w:rsid w:val="00FB7A37"/>
    <w:rsid w:val="00FC14AE"/>
    <w:rsid w:val="00FC2E2E"/>
    <w:rsid w:val="00FC3F0B"/>
    <w:rsid w:val="00FC55B0"/>
    <w:rsid w:val="00FC62BE"/>
    <w:rsid w:val="00FD065C"/>
    <w:rsid w:val="00FD06AE"/>
    <w:rsid w:val="00FD3087"/>
    <w:rsid w:val="00FD7011"/>
    <w:rsid w:val="00FE1BE9"/>
    <w:rsid w:val="00FE7B53"/>
    <w:rsid w:val="00FE7E3E"/>
    <w:rsid w:val="00FF132A"/>
    <w:rsid w:val="00F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AD7A8"/>
  <w15:docId w15:val="{0FB6F26B-DC9B-4B33-8598-29F5D908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6D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agwek1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CD71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7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D72B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D72B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72B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8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68A4"/>
    <w:rPr>
      <w:rFonts w:ascii="Tahoma" w:hAnsi="Tahoma" w:cs="Tahoma"/>
      <w:sz w:val="16"/>
      <w:szCs w:val="16"/>
      <w:lang w:eastAsia="ar-SA"/>
    </w:rPr>
  </w:style>
  <w:style w:type="character" w:customStyle="1" w:styleId="FontStyle34">
    <w:name w:val="Font Style34"/>
    <w:basedOn w:val="Domylnaczcionkaakapitu"/>
    <w:uiPriority w:val="99"/>
    <w:rsid w:val="000C3C85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9D22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">
    <w:name w:val="Font Style36"/>
    <w:basedOn w:val="Domylnaczcionkaakapitu"/>
    <w:uiPriority w:val="99"/>
    <w:rsid w:val="009D22A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Normalny"/>
    <w:uiPriority w:val="99"/>
    <w:rsid w:val="009D22A0"/>
    <w:pPr>
      <w:widowControl w:val="0"/>
      <w:suppressAutoHyphens w:val="0"/>
      <w:autoSpaceDE w:val="0"/>
      <w:autoSpaceDN w:val="0"/>
      <w:adjustRightInd w:val="0"/>
      <w:spacing w:line="396" w:lineRule="exact"/>
      <w:ind w:hanging="245"/>
      <w:jc w:val="both"/>
    </w:pPr>
    <w:rPr>
      <w:rFonts w:ascii="Arial Narrow" w:eastAsiaTheme="minorEastAsia" w:hAnsi="Arial Narrow" w:cstheme="minorBidi"/>
      <w:lang w:eastAsia="pl-PL"/>
    </w:rPr>
  </w:style>
  <w:style w:type="character" w:customStyle="1" w:styleId="FontStyle37">
    <w:name w:val="Font Style37"/>
    <w:basedOn w:val="Domylnaczcionkaakapitu"/>
    <w:uiPriority w:val="99"/>
    <w:rsid w:val="00A70A2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Normalny"/>
    <w:uiPriority w:val="99"/>
    <w:rsid w:val="00F64A93"/>
    <w:pPr>
      <w:widowControl w:val="0"/>
      <w:suppressAutoHyphens w:val="0"/>
      <w:autoSpaceDE w:val="0"/>
      <w:autoSpaceDN w:val="0"/>
      <w:adjustRightInd w:val="0"/>
      <w:jc w:val="both"/>
    </w:pPr>
    <w:rPr>
      <w:rFonts w:eastAsiaTheme="minorEastAsia"/>
      <w:lang w:eastAsia="pl-PL"/>
    </w:rPr>
  </w:style>
  <w:style w:type="paragraph" w:customStyle="1" w:styleId="Style11">
    <w:name w:val="Style11"/>
    <w:basedOn w:val="Normalny"/>
    <w:uiPriority w:val="99"/>
    <w:rsid w:val="00F64A93"/>
    <w:pPr>
      <w:widowControl w:val="0"/>
      <w:suppressAutoHyphens w:val="0"/>
      <w:autoSpaceDE w:val="0"/>
      <w:autoSpaceDN w:val="0"/>
      <w:adjustRightInd w:val="0"/>
      <w:spacing w:line="389" w:lineRule="exact"/>
      <w:ind w:hanging="360"/>
      <w:jc w:val="both"/>
    </w:pPr>
    <w:rPr>
      <w:rFonts w:eastAsiaTheme="minorEastAsia"/>
      <w:lang w:eastAsia="pl-PL"/>
    </w:rPr>
  </w:style>
  <w:style w:type="character" w:customStyle="1" w:styleId="FontStyle27">
    <w:name w:val="Font Style27"/>
    <w:basedOn w:val="Domylnaczcionkaakapitu"/>
    <w:uiPriority w:val="99"/>
    <w:rsid w:val="00F64A9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F64A93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277C9B"/>
    <w:pPr>
      <w:widowControl w:val="0"/>
      <w:suppressAutoHyphens w:val="0"/>
      <w:autoSpaceDE w:val="0"/>
      <w:autoSpaceDN w:val="0"/>
      <w:adjustRightInd w:val="0"/>
      <w:spacing w:line="389" w:lineRule="exact"/>
      <w:jc w:val="both"/>
    </w:pPr>
    <w:rPr>
      <w:rFonts w:eastAsiaTheme="minorEastAsia"/>
      <w:lang w:eastAsia="pl-PL"/>
    </w:rPr>
  </w:style>
  <w:style w:type="character" w:customStyle="1" w:styleId="FontStyle23">
    <w:name w:val="Font Style23"/>
    <w:basedOn w:val="Domylnaczcionkaakapitu"/>
    <w:uiPriority w:val="99"/>
    <w:rsid w:val="00920B21"/>
    <w:rPr>
      <w:rFonts w:ascii="Calibri" w:hAnsi="Calibri" w:cs="Calibri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80C10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680C10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rFonts w:eastAsiaTheme="minorEastAsia"/>
      <w:lang w:eastAsia="pl-PL"/>
    </w:rPr>
  </w:style>
  <w:style w:type="paragraph" w:customStyle="1" w:styleId="Style6">
    <w:name w:val="Style6"/>
    <w:basedOn w:val="Normalny"/>
    <w:uiPriority w:val="99"/>
    <w:rsid w:val="00A93250"/>
    <w:pPr>
      <w:widowControl w:val="0"/>
      <w:suppressAutoHyphens w:val="0"/>
      <w:autoSpaceDE w:val="0"/>
      <w:autoSpaceDN w:val="0"/>
      <w:adjustRightInd w:val="0"/>
      <w:spacing w:line="292" w:lineRule="exact"/>
      <w:jc w:val="both"/>
    </w:pPr>
    <w:rPr>
      <w:rFonts w:ascii="Calibri" w:eastAsiaTheme="minorEastAsia" w:hAnsi="Calibri" w:cstheme="minorBidi"/>
      <w:lang w:eastAsia="pl-PL"/>
    </w:rPr>
  </w:style>
  <w:style w:type="character" w:customStyle="1" w:styleId="FontStyle14">
    <w:name w:val="Font Style14"/>
    <w:basedOn w:val="Domylnaczcionkaakapitu"/>
    <w:uiPriority w:val="99"/>
    <w:rsid w:val="00A93250"/>
    <w:rPr>
      <w:rFonts w:ascii="Calibri" w:hAnsi="Calibri" w:cs="Calibri" w:hint="default"/>
      <w:b/>
      <w:bCs/>
      <w:spacing w:val="-20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A93250"/>
    <w:rPr>
      <w:rFonts w:ascii="Calibri" w:hAnsi="Calibri" w:cs="Calibri" w:hint="default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EE4A36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EE4A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ormalny"/>
    <w:uiPriority w:val="99"/>
    <w:rsid w:val="00690F13"/>
    <w:pPr>
      <w:widowControl w:val="0"/>
      <w:suppressAutoHyphens w:val="0"/>
      <w:autoSpaceDE w:val="0"/>
      <w:autoSpaceDN w:val="0"/>
      <w:adjustRightInd w:val="0"/>
      <w:spacing w:line="338" w:lineRule="exact"/>
    </w:pPr>
    <w:rPr>
      <w:rFonts w:ascii="Calibri" w:eastAsiaTheme="minorEastAsia" w:hAnsi="Calibri" w:cs="Calibri"/>
      <w:lang w:eastAsia="pl-PL"/>
    </w:rPr>
  </w:style>
  <w:style w:type="character" w:customStyle="1" w:styleId="FontStyle13">
    <w:name w:val="Font Style13"/>
    <w:basedOn w:val="Domylnaczcionkaakapitu"/>
    <w:uiPriority w:val="99"/>
    <w:rsid w:val="00690F13"/>
    <w:rPr>
      <w:rFonts w:ascii="Calibri" w:hAnsi="Calibri" w:cs="Calibri"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690F13"/>
    <w:rPr>
      <w:rFonts w:ascii="Calibri" w:hAnsi="Calibri" w:cs="Calibri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2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22F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2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5FB5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3E398A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82974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xt-justify">
    <w:name w:val="text-justify"/>
    <w:basedOn w:val="Domylnaczcionkaakapitu"/>
    <w:rsid w:val="00282974"/>
  </w:style>
  <w:style w:type="paragraph" w:styleId="Bezodstpw">
    <w:name w:val="No Spacing"/>
    <w:uiPriority w:val="1"/>
    <w:qFormat/>
    <w:rsid w:val="00C8420D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1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8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271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6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1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5349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0946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033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0B55-2F0F-4CAF-BAB0-3F6FCF20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2990</Words>
  <Characters>17945</Characters>
  <Application>Microsoft Office Word</Application>
  <DocSecurity>0</DocSecurity>
  <Lines>149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UWAGI O POSTULATY DE LEGE FERENDA DOT</vt:lpstr>
      <vt:lpstr>UWAGI O POSTULATY DE LEGE FERENDA DOT</vt:lpstr>
    </vt:vector>
  </TitlesOfParts>
  <Company>MS</Company>
  <LinksUpToDate>false</LinksUpToDate>
  <CharactersWithSpaces>20894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O POSTULATY DE LEGE FERENDA DOT</dc:title>
  <dc:subject/>
  <dc:creator>grazyna.nauka</dc:creator>
  <cp:keywords/>
  <cp:lastModifiedBy>Sokołowska Bogumiła  (DLPK)</cp:lastModifiedBy>
  <cp:revision>2</cp:revision>
  <cp:lastPrinted>2024-02-26T09:53:00Z</cp:lastPrinted>
  <dcterms:created xsi:type="dcterms:W3CDTF">2024-02-28T13:34:00Z</dcterms:created>
  <dcterms:modified xsi:type="dcterms:W3CDTF">2024-02-28T13:34:00Z</dcterms:modified>
</cp:coreProperties>
</file>