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2BA3" w:rsidRDefault="00675C84">
      <w:pPr>
        <w:jc w:val="center"/>
        <w:rPr>
          <w:b/>
        </w:rPr>
      </w:pPr>
      <w:r>
        <w:rPr>
          <w:b/>
        </w:rPr>
        <w:t xml:space="preserve"> Raport końcowy z realizacji projektu informatycznego</w:t>
      </w:r>
      <w:r>
        <w:rPr>
          <w:b/>
        </w:rPr>
        <w:br/>
      </w:r>
    </w:p>
    <w:tbl>
      <w:tblPr>
        <w:tblStyle w:val="af1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0"/>
        <w:gridCol w:w="2350"/>
        <w:gridCol w:w="6232"/>
      </w:tblGrid>
      <w:tr w:rsidR="00D72BA3">
        <w:tc>
          <w:tcPr>
            <w:tcW w:w="480" w:type="dxa"/>
          </w:tcPr>
          <w:p w:rsidR="00D72BA3" w:rsidRDefault="00675C8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350" w:type="dxa"/>
          </w:tcPr>
          <w:p w:rsidR="00D72BA3" w:rsidRDefault="00675C8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Wyszczególnienie</w:t>
            </w:r>
          </w:p>
        </w:tc>
        <w:tc>
          <w:tcPr>
            <w:tcW w:w="6232" w:type="dxa"/>
          </w:tcPr>
          <w:p w:rsidR="00D72BA3" w:rsidRDefault="00675C8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Opis</w:t>
            </w:r>
          </w:p>
        </w:tc>
      </w:tr>
      <w:tr w:rsidR="00D72BA3">
        <w:tc>
          <w:tcPr>
            <w:tcW w:w="480" w:type="dxa"/>
          </w:tcPr>
          <w:p w:rsidR="00D72BA3" w:rsidRDefault="00D72BA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350" w:type="dxa"/>
          </w:tcPr>
          <w:p w:rsidR="00D72BA3" w:rsidRDefault="00675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Tytuł projektu</w:t>
            </w:r>
          </w:p>
        </w:tc>
        <w:tc>
          <w:tcPr>
            <w:tcW w:w="6232" w:type="dxa"/>
            <w:vAlign w:val="center"/>
          </w:tcPr>
          <w:p w:rsidR="00D72BA3" w:rsidRDefault="00675C84">
            <w:pPr>
              <w:spacing w:line="276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Prowadzenie i rozwój Zintegrowanego Rejestru Kwalifikacji (etap 2)</w:t>
            </w:r>
          </w:p>
        </w:tc>
      </w:tr>
      <w:tr w:rsidR="00D72BA3">
        <w:trPr>
          <w:trHeight w:val="265"/>
        </w:trPr>
        <w:tc>
          <w:tcPr>
            <w:tcW w:w="480" w:type="dxa"/>
          </w:tcPr>
          <w:p w:rsidR="00D72BA3" w:rsidRDefault="00D72BA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350" w:type="dxa"/>
          </w:tcPr>
          <w:p w:rsidR="00D72BA3" w:rsidRDefault="00675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Beneficjent projektu </w:t>
            </w:r>
          </w:p>
        </w:tc>
        <w:tc>
          <w:tcPr>
            <w:tcW w:w="6232" w:type="dxa"/>
            <w:vAlign w:val="center"/>
          </w:tcPr>
          <w:p w:rsidR="00D72BA3" w:rsidRDefault="00675C84">
            <w:pPr>
              <w:spacing w:line="276" w:lineRule="auto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Minister Edukacji Narodowej </w:t>
            </w:r>
          </w:p>
        </w:tc>
      </w:tr>
      <w:tr w:rsidR="00D72BA3">
        <w:tc>
          <w:tcPr>
            <w:tcW w:w="480" w:type="dxa"/>
          </w:tcPr>
          <w:p w:rsidR="00D72BA3" w:rsidRDefault="00D72BA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350" w:type="dxa"/>
          </w:tcPr>
          <w:p w:rsidR="00D72BA3" w:rsidRDefault="00675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Partnerzy </w:t>
            </w:r>
          </w:p>
        </w:tc>
        <w:tc>
          <w:tcPr>
            <w:tcW w:w="6232" w:type="dxa"/>
          </w:tcPr>
          <w:p w:rsidR="00D72BA3" w:rsidRDefault="00675C84">
            <w:pPr>
              <w:jc w:val="both"/>
              <w:rPr>
                <w:i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nd</w:t>
            </w:r>
            <w:proofErr w:type="spellEnd"/>
            <w:r>
              <w:rPr>
                <w:i/>
                <w:sz w:val="18"/>
                <w:szCs w:val="18"/>
              </w:rPr>
              <w:t xml:space="preserve"> </w:t>
            </w:r>
          </w:p>
        </w:tc>
      </w:tr>
      <w:tr w:rsidR="00D72BA3">
        <w:tc>
          <w:tcPr>
            <w:tcW w:w="480" w:type="dxa"/>
          </w:tcPr>
          <w:p w:rsidR="00D72BA3" w:rsidRDefault="00D72BA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350" w:type="dxa"/>
          </w:tcPr>
          <w:p w:rsidR="00D72BA3" w:rsidRDefault="00675C8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Postęp finansowy</w:t>
            </w:r>
          </w:p>
        </w:tc>
        <w:tc>
          <w:tcPr>
            <w:tcW w:w="6232" w:type="dxa"/>
          </w:tcPr>
          <w:p w:rsidR="00D72BA3" w:rsidRDefault="00675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Pierwotny budżet projektu wynosił 30 362 077,79 zł</w:t>
            </w:r>
          </w:p>
          <w:p w:rsidR="00D72BA3" w:rsidRDefault="00675C84">
            <w:r>
              <w:rPr>
                <w:sz w:val="18"/>
                <w:szCs w:val="18"/>
              </w:rPr>
              <w:t xml:space="preserve">Ostatni planowany koszt realizacji projektu: 33 292 077,79 zł     </w:t>
            </w:r>
            <w:r>
              <w:t xml:space="preserve">     </w:t>
            </w:r>
          </w:p>
          <w:p w:rsidR="00D72BA3" w:rsidRDefault="00675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Faktyczny koszt projektu: 33 219 237,39 zł</w:t>
            </w:r>
          </w:p>
          <w:p w:rsidR="00D72BA3" w:rsidRDefault="00675C8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Poziom realizacji kosztów w stosunku do ostatniego planu</w:t>
            </w:r>
            <w:r>
              <w:rPr>
                <w:b/>
                <w:sz w:val="18"/>
                <w:szCs w:val="18"/>
              </w:rPr>
              <w:t xml:space="preserve">: </w:t>
            </w:r>
            <w:r>
              <w:rPr>
                <w:sz w:val="18"/>
                <w:szCs w:val="18"/>
              </w:rPr>
              <w:t>99,78%</w:t>
            </w:r>
          </w:p>
          <w:p w:rsidR="00D72BA3" w:rsidRDefault="00675C84">
            <w:pPr>
              <w:rPr>
                <w:sz w:val="18"/>
                <w:szCs w:val="18"/>
              </w:rPr>
            </w:pPr>
            <w:bookmarkStart w:id="0" w:name="_heading=h.gjdgxs" w:colFirst="0" w:colLast="0"/>
            <w:bookmarkEnd w:id="0"/>
            <w:r>
              <w:rPr>
                <w:sz w:val="18"/>
                <w:szCs w:val="18"/>
              </w:rPr>
              <w:t>Niewydatkowane środki w p</w:t>
            </w:r>
            <w:r>
              <w:rPr>
                <w:sz w:val="18"/>
                <w:szCs w:val="18"/>
              </w:rPr>
              <w:t>rojekcie to 72 840,40 zł co stanowi 0,22%</w:t>
            </w:r>
          </w:p>
          <w:p w:rsidR="00D72BA3" w:rsidRDefault="00675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wartości projektu. </w:t>
            </w:r>
          </w:p>
          <w:p w:rsidR="00D72BA3" w:rsidRDefault="00D72BA3">
            <w:pPr>
              <w:rPr>
                <w:sz w:val="18"/>
                <w:szCs w:val="18"/>
              </w:rPr>
            </w:pPr>
          </w:p>
          <w:p w:rsidR="00D72BA3" w:rsidRDefault="00675C84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Oszczędności </w:t>
            </w:r>
            <w:r>
              <w:rPr>
                <w:sz w:val="18"/>
                <w:szCs w:val="18"/>
              </w:rPr>
              <w:t>zostały wygenerowane w projekcie głównie na kosztach personelu (w związku z problemami z zatrudnieniem specjalistów IT), działalności informacyjno-promocyjnej (w związku z pandemią</w:t>
            </w:r>
            <w:r>
              <w:rPr>
                <w:sz w:val="18"/>
                <w:szCs w:val="18"/>
              </w:rPr>
              <w:t xml:space="preserve"> Covid-19 działania zostały zrealizowane w innej formie niż planowano - online, streamingu), drobnych pozycjach dotyczących infrastruktury (różnice w planowanych i realnych kosztach zakupu).</w:t>
            </w:r>
          </w:p>
          <w:p w:rsidR="00D72BA3" w:rsidRDefault="00D72BA3">
            <w:pPr>
              <w:rPr>
                <w:sz w:val="18"/>
                <w:szCs w:val="18"/>
              </w:rPr>
            </w:pPr>
          </w:p>
          <w:p w:rsidR="00D72BA3" w:rsidRDefault="00675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dzień 30.11.2023 r. kwota dofinansowania dotychczas rozliczonego w ramach projektu (kwota dotychczas zatwierdzonych wniosków o płatność przez Instytucję Pośredniczącą - Ministerstwo Edukacji Narodowej za okres 10.2020-08.2023 r.) to 30 475 493,78 zł, co</w:t>
            </w:r>
            <w:r>
              <w:rPr>
                <w:sz w:val="18"/>
                <w:szCs w:val="18"/>
              </w:rPr>
              <w:t xml:space="preserve"> stanowi 91,54% wartości projektu. Na dzień 05.02.2024 r. kwota dofinansowania rozliczonego w ramach projektu to: 33 219 237,39 zł, co stanowi 99,78% wartości projektu.</w:t>
            </w:r>
          </w:p>
          <w:p w:rsidR="00D72BA3" w:rsidRDefault="00675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projekcie nie odnotowano kosztów niekwalifikowalnych. </w:t>
            </w:r>
          </w:p>
          <w:p w:rsidR="00D72BA3" w:rsidRDefault="00D72BA3">
            <w:pPr>
              <w:rPr>
                <w:sz w:val="18"/>
                <w:szCs w:val="18"/>
              </w:rPr>
            </w:pPr>
          </w:p>
        </w:tc>
      </w:tr>
      <w:tr w:rsidR="00D72BA3">
        <w:tc>
          <w:tcPr>
            <w:tcW w:w="480" w:type="dxa"/>
          </w:tcPr>
          <w:p w:rsidR="00D72BA3" w:rsidRDefault="00D72BA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350" w:type="dxa"/>
          </w:tcPr>
          <w:p w:rsidR="00D72BA3" w:rsidRDefault="00675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Postęp rzeczowy</w:t>
            </w:r>
          </w:p>
        </w:tc>
        <w:tc>
          <w:tcPr>
            <w:tcW w:w="6232" w:type="dxa"/>
          </w:tcPr>
          <w:p w:rsidR="00D72BA3" w:rsidRDefault="00675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Pierwotna p</w:t>
            </w:r>
            <w:r>
              <w:rPr>
                <w:sz w:val="18"/>
                <w:szCs w:val="18"/>
              </w:rPr>
              <w:t>lanowana data rozpoczęcia realizacji projektu: 01.10.2020 r.</w:t>
            </w:r>
          </w:p>
          <w:p w:rsidR="00D72BA3" w:rsidRDefault="00675C8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Faktyczna data rozpoczęcia realizacji projektu: 01.10.2020 r.</w:t>
            </w:r>
          </w:p>
          <w:p w:rsidR="00D72BA3" w:rsidRDefault="00675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Pierwotna planowana data zakończenia realizacji projektu: 31.03.2023 r.</w:t>
            </w:r>
          </w:p>
          <w:p w:rsidR="00D72BA3" w:rsidRDefault="00675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Ostatnia planowana data zakończenia realizacji projektu: 31.1</w:t>
            </w:r>
            <w:r>
              <w:rPr>
                <w:sz w:val="18"/>
                <w:szCs w:val="18"/>
              </w:rPr>
              <w:t>0.2023 r.</w:t>
            </w:r>
          </w:p>
          <w:p w:rsidR="00D72BA3" w:rsidRDefault="00675C8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Faktyczna data zakończenia realizacji projektu: 31.10.2023 r.</w:t>
            </w:r>
          </w:p>
          <w:p w:rsidR="00D72BA3" w:rsidRDefault="00675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D72BA3" w:rsidRDefault="00675C8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Status realizacji zadań na zakończenie projektu:</w:t>
            </w:r>
          </w:p>
          <w:p w:rsidR="00D72BA3" w:rsidRDefault="00675C8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9443"/>
                <w:sz w:val="18"/>
                <w:szCs w:val="18"/>
                <w:u w:val="single"/>
              </w:rPr>
              <w:t>Zadanie 1</w:t>
            </w:r>
            <w:r>
              <w:rPr>
                <w:color w:val="000000"/>
                <w:sz w:val="18"/>
                <w:szCs w:val="18"/>
                <w:u w:val="single"/>
              </w:rPr>
              <w:t xml:space="preserve"> - Realizacja ustawowych zadań związanych z prowadzeniem Zintegrowanego Rejestru Kwalifikacji</w:t>
            </w:r>
          </w:p>
          <w:p w:rsidR="00D72BA3" w:rsidRDefault="00675C8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ramach zadania zapewniono realizację ustawowych zadań związanych z prowadzeniem Rejestru w sposób w pełni zgodny z obowiązującymi regulacjami prawnymi i jednocześnie ukierunkowany na rozwój ZRK zgodnie z potrzebami różnych partnerów ZRK, którymi są m.in.</w:t>
            </w:r>
            <w:r>
              <w:rPr>
                <w:sz w:val="18"/>
                <w:szCs w:val="18"/>
              </w:rPr>
              <w:t xml:space="preserve"> podmioty:</w:t>
            </w:r>
          </w:p>
          <w:p w:rsidR="00D72BA3" w:rsidRDefault="00675C84">
            <w:pPr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wnioskujące o włączenie kwalifikacji do ZSK,</w:t>
            </w:r>
          </w:p>
          <w:p w:rsidR="00D72BA3" w:rsidRDefault="00675C84">
            <w:pPr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aplikujące o nadanie uprawnień instytucji certyfikującej (IC),</w:t>
            </w:r>
          </w:p>
          <w:p w:rsidR="00D72BA3" w:rsidRDefault="00675C84">
            <w:pPr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podmioty zewnętrznego zapewniania jakości (PZZJ), </w:t>
            </w:r>
          </w:p>
          <w:p w:rsidR="00D72BA3" w:rsidRDefault="00675C84">
            <w:pPr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decydujące o włączeniu kwalifikacji i odpowiedzialne za ich funkcjonowanie w ZSK,</w:t>
            </w:r>
          </w:p>
          <w:p w:rsidR="00D72BA3" w:rsidRDefault="00675C84">
            <w:pPr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użyt</w:t>
            </w:r>
            <w:r>
              <w:rPr>
                <w:sz w:val="18"/>
                <w:szCs w:val="18"/>
              </w:rPr>
              <w:t xml:space="preserve">kownicy zainteresowani informacjami gromadzonymi w Rejestrze. </w:t>
            </w:r>
          </w:p>
          <w:p w:rsidR="00D72BA3" w:rsidRDefault="00675C8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Ponadto, przygotowano 4 raporty z działań dotyczących realizacji ustawowych zadań związanych z prowadzeniem Zintegrowanego Rejestru Kwalifikacji (za 2020 r., 2021 r, 2022 r., I półrocze 2023 r.</w:t>
            </w:r>
            <w:r>
              <w:rPr>
                <w:sz w:val="18"/>
                <w:szCs w:val="18"/>
              </w:rPr>
              <w:t>). Opracowano nowatorską broszurę interaktywną "Kwalifikacje jutra. Przewodnik po ZRK".</w:t>
            </w:r>
          </w:p>
          <w:p w:rsidR="00D72BA3" w:rsidRDefault="00D72BA3">
            <w:pPr>
              <w:jc w:val="both"/>
              <w:rPr>
                <w:color w:val="4472C4"/>
                <w:sz w:val="18"/>
                <w:szCs w:val="18"/>
              </w:rPr>
            </w:pPr>
          </w:p>
          <w:tbl>
            <w:tblPr>
              <w:tblStyle w:val="af2"/>
              <w:tblW w:w="6005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500"/>
              <w:gridCol w:w="1501"/>
              <w:gridCol w:w="1502"/>
              <w:gridCol w:w="1502"/>
            </w:tblGrid>
            <w:tr w:rsidR="00D72BA3">
              <w:tc>
                <w:tcPr>
                  <w:tcW w:w="1500" w:type="dxa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Nazwa Kamienia milowego     </w:t>
                  </w:r>
                </w:p>
              </w:tc>
              <w:tc>
                <w:tcPr>
                  <w:tcW w:w="1501" w:type="dxa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Planowany termin osiągnięcia</w:t>
                  </w:r>
                </w:p>
              </w:tc>
              <w:tc>
                <w:tcPr>
                  <w:tcW w:w="1502" w:type="dxa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>Rzeczywisty termin osiągnięcia</w:t>
                  </w:r>
                </w:p>
              </w:tc>
              <w:tc>
                <w:tcPr>
                  <w:tcW w:w="1502" w:type="dxa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>Status realizacji kamienia milowego</w:t>
                  </w:r>
                </w:p>
              </w:tc>
            </w:tr>
            <w:tr w:rsidR="00D72BA3">
              <w:tc>
                <w:tcPr>
                  <w:tcW w:w="1500" w:type="dxa"/>
                  <w:vAlign w:val="center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Raport śródokresowy z działalności związa</w:t>
                  </w:r>
                  <w:r>
                    <w:rPr>
                      <w:sz w:val="16"/>
                      <w:szCs w:val="16"/>
                    </w:rPr>
                    <w:t>nej z prowadzeniem ZRK</w:t>
                  </w:r>
                </w:p>
              </w:tc>
              <w:tc>
                <w:tcPr>
                  <w:tcW w:w="1501" w:type="dxa"/>
                  <w:vAlign w:val="center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30.04.2022 r.</w:t>
                  </w:r>
                </w:p>
              </w:tc>
              <w:tc>
                <w:tcPr>
                  <w:tcW w:w="1502" w:type="dxa"/>
                  <w:vAlign w:val="center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30.04.2022 r.</w:t>
                  </w:r>
                </w:p>
              </w:tc>
              <w:tc>
                <w:tcPr>
                  <w:tcW w:w="1502" w:type="dxa"/>
                  <w:vAlign w:val="center"/>
                </w:tcPr>
                <w:p w:rsidR="00D72BA3" w:rsidRDefault="00675C84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Osiągnięty</w:t>
                  </w:r>
                </w:p>
              </w:tc>
            </w:tr>
          </w:tbl>
          <w:p w:rsidR="00D72BA3" w:rsidRDefault="00D72BA3">
            <w:pPr>
              <w:jc w:val="both"/>
              <w:rPr>
                <w:color w:val="4472C4"/>
                <w:sz w:val="18"/>
                <w:szCs w:val="18"/>
              </w:rPr>
            </w:pPr>
          </w:p>
          <w:p w:rsidR="00D72BA3" w:rsidRDefault="00675C8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9443"/>
                <w:sz w:val="18"/>
                <w:szCs w:val="18"/>
                <w:u w:val="single"/>
              </w:rPr>
              <w:t>Zadanie 2</w:t>
            </w:r>
            <w:r>
              <w:rPr>
                <w:color w:val="000000"/>
                <w:sz w:val="18"/>
                <w:szCs w:val="18"/>
                <w:u w:val="single"/>
              </w:rPr>
              <w:t xml:space="preserve"> - Monitorowanie Zintegrowanego Systemu Kwalifikacji</w:t>
            </w:r>
          </w:p>
          <w:p w:rsidR="00D72BA3" w:rsidRDefault="00675C8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ramach zadania wypracowano projekt systemu monitorowania ZSK oraz zbadano możliwości powiązania ZSK z różnymi inicjatywami w zakresie umiejętności, kwalifikacji i zawodów. Wykonano ekspertyzy, analizy własne, kwerendę badań i produktów innych projektów, </w:t>
            </w:r>
            <w:r>
              <w:rPr>
                <w:sz w:val="18"/>
                <w:szCs w:val="18"/>
              </w:rPr>
              <w:t>wypracowano rekomendacje.</w:t>
            </w:r>
          </w:p>
          <w:p w:rsidR="00D72BA3" w:rsidRDefault="00675C84">
            <w:pPr>
              <w:jc w:val="both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</w:rPr>
              <w:t xml:space="preserve">Przygotowano 3 raporty z gromadzonych od IC danych kwartalnych dot. wydanych certyfikatów (za 2020 r., 2021 r., 2022 r.), </w:t>
            </w:r>
            <w:r>
              <w:rPr>
                <w:sz w:val="18"/>
                <w:szCs w:val="18"/>
                <w:highlight w:val="white"/>
              </w:rPr>
              <w:t>Ekspertyzy – (1) przegląd sposobów monitorowania przez instytucje Unii Europejskiej systemów kwalifikacji ja</w:t>
            </w:r>
            <w:r>
              <w:rPr>
                <w:sz w:val="18"/>
                <w:szCs w:val="18"/>
                <w:highlight w:val="white"/>
              </w:rPr>
              <w:t>ko instrumentów polityki na rzecz uczenia się przez całe życie, (2) w zakresie krajowych rozwiązań stosowanych w monitorowaniu systemów oświaty i szkolnictwa wyższego, (3) dot. możliwości monitorowania losów osób, które zdobyły kwalifikacje rynkowe, (4) do</w:t>
            </w:r>
            <w:r>
              <w:rPr>
                <w:sz w:val="18"/>
                <w:szCs w:val="18"/>
                <w:highlight w:val="white"/>
              </w:rPr>
              <w:t xml:space="preserve">t. zmian w systemie finansowania zewnętrznego zapewniania jakości, (5) dot. przeglądu inicjatyw na rzecz </w:t>
            </w:r>
            <w:proofErr w:type="spellStart"/>
            <w:r>
              <w:rPr>
                <w:sz w:val="18"/>
                <w:szCs w:val="18"/>
                <w:highlight w:val="white"/>
              </w:rPr>
              <w:t>mikropoświadczeń</w:t>
            </w:r>
            <w:proofErr w:type="spellEnd"/>
            <w:r>
              <w:rPr>
                <w:sz w:val="18"/>
                <w:szCs w:val="18"/>
                <w:highlight w:val="white"/>
              </w:rPr>
              <w:t>; raporty: (1) z badania rozpoznawalności, dostępności oraz dopasowania rozwiązań w ZSK do potrzeb dorosłych i młodzieży, (2) z badań p</w:t>
            </w:r>
            <w:r>
              <w:rPr>
                <w:sz w:val="18"/>
                <w:szCs w:val="18"/>
                <w:highlight w:val="white"/>
              </w:rPr>
              <w:t>otrzeb i oczekiwań użytkowników ZRK, (3) z monitorowania ZSK w zakresie procedur ZRK, a także przygotowano projekt opisu systemu monitorowania ZSK. Wykonano także badania UX ZRK i udostępniającego go portalu.</w:t>
            </w:r>
          </w:p>
          <w:tbl>
            <w:tblPr>
              <w:tblStyle w:val="af3"/>
              <w:tblW w:w="6005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500"/>
              <w:gridCol w:w="1501"/>
              <w:gridCol w:w="1502"/>
              <w:gridCol w:w="1502"/>
            </w:tblGrid>
            <w:tr w:rsidR="00D72BA3">
              <w:tc>
                <w:tcPr>
                  <w:tcW w:w="1500" w:type="dxa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Nazwa Kamienia milowego     </w:t>
                  </w:r>
                </w:p>
              </w:tc>
              <w:tc>
                <w:tcPr>
                  <w:tcW w:w="1501" w:type="dxa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Planowany termin o</w:t>
                  </w:r>
                  <w:r>
                    <w:rPr>
                      <w:b/>
                      <w:sz w:val="16"/>
                      <w:szCs w:val="16"/>
                    </w:rPr>
                    <w:t>siągnięcia</w:t>
                  </w:r>
                </w:p>
              </w:tc>
              <w:tc>
                <w:tcPr>
                  <w:tcW w:w="1502" w:type="dxa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>Rzeczywisty termin osiągnięcia</w:t>
                  </w:r>
                </w:p>
              </w:tc>
              <w:tc>
                <w:tcPr>
                  <w:tcW w:w="1502" w:type="dxa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>Status realizacji kamienia milowego</w:t>
                  </w:r>
                </w:p>
              </w:tc>
            </w:tr>
            <w:tr w:rsidR="00D72BA3">
              <w:tc>
                <w:tcPr>
                  <w:tcW w:w="1500" w:type="dxa"/>
                  <w:vAlign w:val="center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Raport śródokresowy z działalności związanej z gromadzeniem danych o certyfikatach wydawanych przez instytucje certyfikujące</w:t>
                  </w:r>
                </w:p>
              </w:tc>
              <w:tc>
                <w:tcPr>
                  <w:tcW w:w="1501" w:type="dxa"/>
                  <w:vAlign w:val="center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30.04.2022 r.</w:t>
                  </w:r>
                </w:p>
              </w:tc>
              <w:tc>
                <w:tcPr>
                  <w:tcW w:w="1502" w:type="dxa"/>
                  <w:vAlign w:val="center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30.04.2022 r.</w:t>
                  </w:r>
                </w:p>
              </w:tc>
              <w:tc>
                <w:tcPr>
                  <w:tcW w:w="1502" w:type="dxa"/>
                  <w:vAlign w:val="center"/>
                </w:tcPr>
                <w:p w:rsidR="00D72BA3" w:rsidRDefault="00675C84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Osiągnięty</w:t>
                  </w:r>
                </w:p>
              </w:tc>
            </w:tr>
          </w:tbl>
          <w:p w:rsidR="00D72BA3" w:rsidRDefault="00D72BA3">
            <w:pPr>
              <w:jc w:val="both"/>
              <w:rPr>
                <w:color w:val="000000"/>
                <w:sz w:val="18"/>
                <w:szCs w:val="18"/>
                <w:u w:val="single"/>
              </w:rPr>
            </w:pPr>
          </w:p>
          <w:p w:rsidR="00D72BA3" w:rsidRDefault="00675C8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9443"/>
                <w:sz w:val="18"/>
                <w:szCs w:val="18"/>
                <w:u w:val="single"/>
              </w:rPr>
              <w:t>Zadanie 3</w:t>
            </w:r>
            <w:r>
              <w:rPr>
                <w:color w:val="000000"/>
                <w:sz w:val="18"/>
                <w:szCs w:val="18"/>
                <w:u w:val="single"/>
              </w:rPr>
              <w:t xml:space="preserve"> - Prowadzenie punktu kontaktowego dla interesariuszy ZSK i portalu Zintegrowanego Systemu Kwalifikacji, w tym części dot. rejestru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:rsidR="00D72BA3" w:rsidRDefault="00675C8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ramach zadania stworzono i prowadzono punkt kontaktowy dla interesariuszy ZSK i portalu Zintegrowanego Systemu Kwalifikac</w:t>
            </w:r>
            <w:r>
              <w:rPr>
                <w:sz w:val="18"/>
                <w:szCs w:val="18"/>
              </w:rPr>
              <w:t xml:space="preserve">ji, w tym części dot. rejestru. Prowadzono portal </w:t>
            </w:r>
            <w:hyperlink r:id="rId6">
              <w:r>
                <w:rPr>
                  <w:color w:val="000000"/>
                  <w:sz w:val="18"/>
                  <w:szCs w:val="18"/>
                  <w:u w:val="single"/>
                </w:rPr>
                <w:t>www.kwalifikacje.gov.pl</w:t>
              </w:r>
            </w:hyperlink>
            <w:r>
              <w:rPr>
                <w:sz w:val="18"/>
                <w:szCs w:val="18"/>
              </w:rPr>
              <w:t xml:space="preserve"> wraz z wersją angielską. Udzielano wsparcia interesariuszom ZSK w zakresie pozyskiwania informacji oraz ułatwiano dialog i współdzi</w:t>
            </w:r>
            <w:r>
              <w:rPr>
                <w:sz w:val="18"/>
                <w:szCs w:val="18"/>
              </w:rPr>
              <w:t>ałanie różnych interesariuszy ZSK, w tym w środowiskach branżowych, sektorowych i edukacyjnych. Nawiązano współpracę z przedstawicielami rejestrów z innych krajów europejskich. Współpracowano także z przedstawicielami KE w zakresie wymiany danych z powiąza</w:t>
            </w:r>
            <w:r>
              <w:rPr>
                <w:sz w:val="18"/>
                <w:szCs w:val="18"/>
              </w:rPr>
              <w:t xml:space="preserve">nymi inicjatywami w UE. Dokonano modernizacji </w:t>
            </w:r>
            <w:proofErr w:type="spellStart"/>
            <w:r>
              <w:rPr>
                <w:sz w:val="18"/>
                <w:szCs w:val="18"/>
              </w:rPr>
              <w:t>interkonektora</w:t>
            </w:r>
            <w:proofErr w:type="spellEnd"/>
            <w:r>
              <w:rPr>
                <w:sz w:val="18"/>
                <w:szCs w:val="18"/>
              </w:rPr>
              <w:t xml:space="preserve"> LOQ do wymiany danych z portalem Komisji Europejskiej.</w:t>
            </w:r>
          </w:p>
          <w:p w:rsidR="00D72BA3" w:rsidRDefault="00D72BA3">
            <w:pPr>
              <w:jc w:val="both"/>
              <w:rPr>
                <w:color w:val="4472C4"/>
                <w:sz w:val="18"/>
                <w:szCs w:val="18"/>
              </w:rPr>
            </w:pPr>
          </w:p>
          <w:tbl>
            <w:tblPr>
              <w:tblStyle w:val="af4"/>
              <w:tblW w:w="6005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500"/>
              <w:gridCol w:w="1501"/>
              <w:gridCol w:w="1502"/>
              <w:gridCol w:w="1502"/>
            </w:tblGrid>
            <w:tr w:rsidR="00D72BA3">
              <w:tc>
                <w:tcPr>
                  <w:tcW w:w="1500" w:type="dxa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Nazwa Kamienia milowego     </w:t>
                  </w:r>
                </w:p>
              </w:tc>
              <w:tc>
                <w:tcPr>
                  <w:tcW w:w="1501" w:type="dxa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Planowany termin osiągnięcia</w:t>
                  </w:r>
                </w:p>
              </w:tc>
              <w:tc>
                <w:tcPr>
                  <w:tcW w:w="1502" w:type="dxa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>Rzeczywisty termin osiągnięcia</w:t>
                  </w:r>
                </w:p>
              </w:tc>
              <w:tc>
                <w:tcPr>
                  <w:tcW w:w="1502" w:type="dxa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>Status realizacji kamienia milowego</w:t>
                  </w:r>
                </w:p>
              </w:tc>
            </w:tr>
            <w:tr w:rsidR="00D72BA3">
              <w:tc>
                <w:tcPr>
                  <w:tcW w:w="1500" w:type="dxa"/>
                  <w:vAlign w:val="center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Sprawozdanie śródokresowe ze współpracy w zakresie wymiany danych z powiązanymi inicjatywami w UE</w:t>
                  </w:r>
                </w:p>
              </w:tc>
              <w:tc>
                <w:tcPr>
                  <w:tcW w:w="1501" w:type="dxa"/>
                  <w:vAlign w:val="center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31.10.2021 r.</w:t>
                  </w:r>
                </w:p>
              </w:tc>
              <w:tc>
                <w:tcPr>
                  <w:tcW w:w="1502" w:type="dxa"/>
                  <w:vAlign w:val="center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31.03.2023 r.</w:t>
                  </w:r>
                </w:p>
              </w:tc>
              <w:tc>
                <w:tcPr>
                  <w:tcW w:w="1502" w:type="dxa"/>
                  <w:vAlign w:val="center"/>
                </w:tcPr>
                <w:p w:rsidR="00D72BA3" w:rsidRDefault="00675C84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Osiągnięty</w:t>
                  </w:r>
                </w:p>
              </w:tc>
            </w:tr>
          </w:tbl>
          <w:p w:rsidR="00D72BA3" w:rsidRDefault="00675C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Powód przesunięcia terminu osiągnięcia kamienia milowego wynika z opóźnień w pracach po stronie instytucji UE, których zakończenie było warunkiem realizacji prac po stronie projektu ZRK2. Dopiero w styczniu 2022 r. na poziomie Unii Europejskiej zakończyły </w:t>
            </w:r>
            <w:r>
              <w:rPr>
                <w:i/>
                <w:sz w:val="16"/>
                <w:szCs w:val="16"/>
              </w:rPr>
              <w:t xml:space="preserve">się wstępne prace dotyczące przeniesienia danych z portalu PLOTEUS (Portal on Learning </w:t>
            </w:r>
            <w:proofErr w:type="spellStart"/>
            <w:r>
              <w:rPr>
                <w:i/>
                <w:sz w:val="16"/>
                <w:szCs w:val="16"/>
              </w:rPr>
              <w:t>Opportunities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Throughout</w:t>
            </w:r>
            <w:proofErr w:type="spellEnd"/>
            <w:r>
              <w:rPr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</w:rPr>
              <w:t>European</w:t>
            </w:r>
            <w:proofErr w:type="spellEnd"/>
            <w:r>
              <w:rPr>
                <w:i/>
                <w:sz w:val="16"/>
                <w:szCs w:val="16"/>
              </w:rPr>
              <w:t xml:space="preserve"> Space) na platformę EUROPASS.EU ( nowe rozwiązanie było modyfikowane w wyniku testów wdrożeniowych). Po finalnym zakończeniu tych prac </w:t>
            </w:r>
            <w:r>
              <w:rPr>
                <w:i/>
                <w:sz w:val="16"/>
                <w:szCs w:val="16"/>
              </w:rPr>
              <w:t>potrzebny był czas na analizę nowego rozwiązania od strony technologicznej i merytorycznej, testy oraz modernizację narzędzia LOQ (</w:t>
            </w:r>
            <w:proofErr w:type="spellStart"/>
            <w:r>
              <w:rPr>
                <w:i/>
                <w:sz w:val="16"/>
                <w:szCs w:val="16"/>
              </w:rPr>
              <w:t>interkonektora</w:t>
            </w:r>
            <w:proofErr w:type="spellEnd"/>
            <w:r>
              <w:rPr>
                <w:i/>
                <w:sz w:val="16"/>
                <w:szCs w:val="16"/>
              </w:rPr>
              <w:t>) przeznaczonego do zmian w sposobie zapisu informacji o kwalifikacjach w ESCO i umożliwiającego migrację danyc</w:t>
            </w:r>
            <w:r>
              <w:rPr>
                <w:i/>
                <w:sz w:val="16"/>
                <w:szCs w:val="16"/>
              </w:rPr>
              <w:t>h z ZRK. Konieczne były także konsultacje z przedstawicielami KE.</w:t>
            </w:r>
          </w:p>
          <w:p w:rsidR="00D72BA3" w:rsidRDefault="00D72BA3">
            <w:pPr>
              <w:tabs>
                <w:tab w:val="left" w:pos="1970"/>
              </w:tabs>
              <w:jc w:val="both"/>
              <w:rPr>
                <w:color w:val="000000"/>
                <w:sz w:val="16"/>
                <w:szCs w:val="16"/>
              </w:rPr>
            </w:pPr>
          </w:p>
          <w:p w:rsidR="00D72BA3" w:rsidRDefault="00675C8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9443"/>
                <w:sz w:val="18"/>
                <w:szCs w:val="18"/>
                <w:u w:val="single"/>
              </w:rPr>
              <w:lastRenderedPageBreak/>
              <w:t xml:space="preserve">Zadanie 4 </w:t>
            </w:r>
            <w:r>
              <w:rPr>
                <w:color w:val="000000"/>
                <w:sz w:val="18"/>
                <w:szCs w:val="18"/>
                <w:u w:val="single"/>
              </w:rPr>
              <w:t>- Rozwój istniejących i tworzenie nowych narzędzi informatycznych wspierających interesariuszy systemu</w:t>
            </w:r>
          </w:p>
          <w:p w:rsidR="00D72BA3" w:rsidRDefault="00675C8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ramach zadania dbano o sprawne funkcjonowanie systemów informatycznych ZRK1 i ZRK2 oraz narzędzi wytworzonych w ZRK1 (wprowadzanie poprawek, usuwanie błędów, monitoring, pomoc użytkownikom). Zrealizowano następujące działania: </w:t>
            </w:r>
          </w:p>
          <w:p w:rsidR="00D72BA3" w:rsidRDefault="00675C84">
            <w:pPr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Funkcjonujący system infor</w:t>
            </w:r>
            <w:r>
              <w:rPr>
                <w:sz w:val="18"/>
                <w:szCs w:val="18"/>
              </w:rPr>
              <w:t xml:space="preserve">matyczny ZRK </w:t>
            </w:r>
          </w:p>
          <w:p w:rsidR="00D72BA3" w:rsidRDefault="00675C84">
            <w:pPr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Narzędzie do zbierania informacji nt. zapotrzebowania na kwalifikacje </w:t>
            </w:r>
          </w:p>
          <w:p w:rsidR="00D72BA3" w:rsidRDefault="00675C84">
            <w:pPr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Zmodernizowane Aktywne formularze </w:t>
            </w:r>
          </w:p>
          <w:p w:rsidR="00D72BA3" w:rsidRDefault="00675C84">
            <w:pPr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Narzędzie "Mapy kwalifikacji" </w:t>
            </w:r>
          </w:p>
          <w:p w:rsidR="00D72BA3" w:rsidRDefault="00675C84">
            <w:pPr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Narzędzie "Wiem co umiem" </w:t>
            </w:r>
          </w:p>
          <w:p w:rsidR="00D72BA3" w:rsidRDefault="00675C84">
            <w:pPr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Portal "Małe ZRK" </w:t>
            </w:r>
          </w:p>
          <w:p w:rsidR="00D72BA3" w:rsidRDefault="00675C84">
            <w:pPr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Przeglądarka ram kwalifikacji (PRK, SRK) </w:t>
            </w:r>
          </w:p>
          <w:p w:rsidR="00D72BA3" w:rsidRDefault="00675C84">
            <w:pPr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Zmodernizowany </w:t>
            </w:r>
            <w:proofErr w:type="spellStart"/>
            <w:r>
              <w:rPr>
                <w:sz w:val="18"/>
                <w:szCs w:val="18"/>
              </w:rPr>
              <w:t>in</w:t>
            </w:r>
            <w:r>
              <w:rPr>
                <w:sz w:val="18"/>
                <w:szCs w:val="18"/>
              </w:rPr>
              <w:t>terkonektor</w:t>
            </w:r>
            <w:proofErr w:type="spellEnd"/>
            <w:r>
              <w:rPr>
                <w:sz w:val="18"/>
                <w:szCs w:val="18"/>
              </w:rPr>
              <w:t xml:space="preserve"> POL-on </w:t>
            </w:r>
          </w:p>
          <w:p w:rsidR="00D72BA3" w:rsidRDefault="00D72BA3">
            <w:pPr>
              <w:jc w:val="both"/>
              <w:rPr>
                <w:color w:val="4472C4"/>
                <w:sz w:val="18"/>
                <w:szCs w:val="18"/>
              </w:rPr>
            </w:pPr>
            <w:bookmarkStart w:id="1" w:name="_heading=h.1fob9te" w:colFirst="0" w:colLast="0"/>
            <w:bookmarkEnd w:id="1"/>
          </w:p>
          <w:tbl>
            <w:tblPr>
              <w:tblStyle w:val="af5"/>
              <w:tblW w:w="6005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500"/>
              <w:gridCol w:w="1501"/>
              <w:gridCol w:w="1502"/>
              <w:gridCol w:w="1502"/>
            </w:tblGrid>
            <w:tr w:rsidR="00D72BA3">
              <w:tc>
                <w:tcPr>
                  <w:tcW w:w="1500" w:type="dxa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Nazwa Kamienia milowego     </w:t>
                  </w:r>
                </w:p>
              </w:tc>
              <w:tc>
                <w:tcPr>
                  <w:tcW w:w="1501" w:type="dxa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Planowany termin osiągnięcia</w:t>
                  </w:r>
                </w:p>
              </w:tc>
              <w:tc>
                <w:tcPr>
                  <w:tcW w:w="1502" w:type="dxa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>Rzeczywisty termin osiągnięcia</w:t>
                  </w:r>
                </w:p>
              </w:tc>
              <w:tc>
                <w:tcPr>
                  <w:tcW w:w="1502" w:type="dxa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>Status realizacji kamienia milowego</w:t>
                  </w:r>
                </w:p>
              </w:tc>
            </w:tr>
            <w:tr w:rsidR="00D72BA3">
              <w:tc>
                <w:tcPr>
                  <w:tcW w:w="1500" w:type="dxa"/>
                  <w:vAlign w:val="center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Określenie założeń funkcjonalnych dla przeglądarki ram kwalifikacji (PRK, SRK)</w:t>
                  </w:r>
                </w:p>
              </w:tc>
              <w:tc>
                <w:tcPr>
                  <w:tcW w:w="1501" w:type="dxa"/>
                  <w:vAlign w:val="center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31.05.2021 r.</w:t>
                  </w:r>
                </w:p>
              </w:tc>
              <w:tc>
                <w:tcPr>
                  <w:tcW w:w="1502" w:type="dxa"/>
                  <w:vAlign w:val="center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31.05.2021 r.</w:t>
                  </w:r>
                </w:p>
              </w:tc>
              <w:tc>
                <w:tcPr>
                  <w:tcW w:w="1502" w:type="dxa"/>
                  <w:vAlign w:val="center"/>
                </w:tcPr>
                <w:p w:rsidR="00D72BA3" w:rsidRDefault="00675C84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Osiągnięty</w:t>
                  </w:r>
                </w:p>
              </w:tc>
            </w:tr>
            <w:tr w:rsidR="00D72BA3">
              <w:tc>
                <w:tcPr>
                  <w:tcW w:w="1500" w:type="dxa"/>
                  <w:vAlign w:val="center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Uruchomienie przeglądarki ram kwalifikacji (PRK, SRK)</w:t>
                  </w:r>
                </w:p>
              </w:tc>
              <w:tc>
                <w:tcPr>
                  <w:tcW w:w="1501" w:type="dxa"/>
                  <w:vAlign w:val="center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31.12.2021 r.</w:t>
                  </w:r>
                </w:p>
              </w:tc>
              <w:tc>
                <w:tcPr>
                  <w:tcW w:w="1502" w:type="dxa"/>
                  <w:vAlign w:val="center"/>
                </w:tcPr>
                <w:p w:rsidR="00D72BA3" w:rsidRDefault="00675C84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31.12.2021 r.</w:t>
                  </w:r>
                </w:p>
              </w:tc>
              <w:tc>
                <w:tcPr>
                  <w:tcW w:w="1502" w:type="dxa"/>
                  <w:vAlign w:val="center"/>
                </w:tcPr>
                <w:p w:rsidR="00D72BA3" w:rsidRDefault="00675C84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Osiągnięty</w:t>
                  </w:r>
                </w:p>
              </w:tc>
            </w:tr>
          </w:tbl>
          <w:p w:rsidR="00D72BA3" w:rsidRDefault="00D72BA3">
            <w:pPr>
              <w:jc w:val="both"/>
              <w:rPr>
                <w:color w:val="4472C4"/>
                <w:sz w:val="18"/>
                <w:szCs w:val="18"/>
              </w:rPr>
            </w:pPr>
          </w:p>
          <w:p w:rsidR="00D72BA3" w:rsidRDefault="00675C8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9443"/>
                <w:sz w:val="18"/>
                <w:szCs w:val="18"/>
                <w:u w:val="single"/>
              </w:rPr>
              <w:t>Zadanie 5</w:t>
            </w:r>
            <w:r>
              <w:rPr>
                <w:sz w:val="18"/>
                <w:szCs w:val="18"/>
                <w:u w:val="single"/>
              </w:rPr>
              <w:t xml:space="preserve"> </w:t>
            </w:r>
            <w:r>
              <w:rPr>
                <w:color w:val="000000"/>
                <w:sz w:val="18"/>
                <w:szCs w:val="18"/>
                <w:u w:val="single"/>
              </w:rPr>
              <w:t xml:space="preserve">- Rozwój istniejących i tworzenie nowoczesnych narzędzi informatycznych wspierających interesariuszy systemu za pomocą technik tzw. sztucznej inteligencji (czyli maszynowego uczenia się i przetwarzania dużej ilości danych wspartego analizą lingwistyczną i </w:t>
            </w:r>
            <w:r>
              <w:rPr>
                <w:color w:val="000000"/>
                <w:sz w:val="18"/>
                <w:szCs w:val="18"/>
                <w:u w:val="single"/>
              </w:rPr>
              <w:t>statystyką), bazujących na rozwiązaniach wypracowanych w projekcie ZRK</w:t>
            </w:r>
          </w:p>
          <w:p w:rsidR="00D72BA3" w:rsidRDefault="00675C8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ramach zadania stworzono nowoczesne rozwiązania wykorzystujące m.in. AI, w tym: </w:t>
            </w:r>
          </w:p>
          <w:p w:rsidR="00D72BA3" w:rsidRDefault="00675C84">
            <w:pPr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Narzędzie do automatycznego wspomagania doradztwa – </w:t>
            </w:r>
            <w:proofErr w:type="spellStart"/>
            <w:r>
              <w:rPr>
                <w:sz w:val="18"/>
                <w:szCs w:val="18"/>
              </w:rPr>
              <w:t>czatbot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D72BA3" w:rsidRDefault="00675C84">
            <w:pPr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Aplikacja dla uprzywilejowanych użytkowni</w:t>
            </w:r>
            <w:r>
              <w:rPr>
                <w:sz w:val="18"/>
                <w:szCs w:val="18"/>
              </w:rPr>
              <w:t xml:space="preserve">ków ułatwiająca opisywanie kwalifikacji i przypisywanie im poziomu PRK </w:t>
            </w:r>
          </w:p>
          <w:p w:rsidR="00D72BA3" w:rsidRDefault="00675C84">
            <w:pPr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Narzędzie wspierające osoby z zespołów HR/firm HR oraz inne osoby podejmujące działania z obszaru HR </w:t>
            </w:r>
          </w:p>
          <w:p w:rsidR="00D72BA3" w:rsidRDefault="00675C84">
            <w:pPr>
              <w:numPr>
                <w:ilvl w:val="0"/>
                <w:numId w:val="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Aplikacja monitorująca i analizująca rynek ofert o pracę.</w:t>
            </w:r>
          </w:p>
          <w:p w:rsidR="00D72BA3" w:rsidRDefault="00675C8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Ponadto, zmodernizowano </w:t>
            </w:r>
            <w:r>
              <w:rPr>
                <w:sz w:val="18"/>
                <w:szCs w:val="18"/>
              </w:rPr>
              <w:t xml:space="preserve">aplikację "Ścieżki rozwoju" i aplikację Kompas i Kompas szkolnictwa branżowego. Zrealizowano badania potrzeb i oczekiwań odbiorców wybranych aplikacji i narzędzi (w tym badania UX), a także analizę językową treści wykorzystywanych przez </w:t>
            </w:r>
            <w:proofErr w:type="spellStart"/>
            <w:r>
              <w:rPr>
                <w:sz w:val="18"/>
                <w:szCs w:val="18"/>
              </w:rPr>
              <w:t>chatbot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D72BA3" w:rsidRDefault="00D72BA3">
            <w:pPr>
              <w:jc w:val="both"/>
              <w:rPr>
                <w:color w:val="4472C4"/>
                <w:sz w:val="18"/>
                <w:szCs w:val="18"/>
              </w:rPr>
            </w:pPr>
          </w:p>
          <w:tbl>
            <w:tblPr>
              <w:tblStyle w:val="af6"/>
              <w:tblW w:w="6005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500"/>
              <w:gridCol w:w="1501"/>
              <w:gridCol w:w="1502"/>
              <w:gridCol w:w="1502"/>
            </w:tblGrid>
            <w:tr w:rsidR="00D72BA3">
              <w:tc>
                <w:tcPr>
                  <w:tcW w:w="1500" w:type="dxa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>Nazwa Kam</w:t>
                  </w:r>
                  <w:r>
                    <w:rPr>
                      <w:b/>
                      <w:sz w:val="16"/>
                      <w:szCs w:val="16"/>
                    </w:rPr>
                    <w:t xml:space="preserve">ienia milowego     </w:t>
                  </w:r>
                </w:p>
              </w:tc>
              <w:tc>
                <w:tcPr>
                  <w:tcW w:w="1501" w:type="dxa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Planowany termin osiągnięcia</w:t>
                  </w:r>
                </w:p>
              </w:tc>
              <w:tc>
                <w:tcPr>
                  <w:tcW w:w="1502" w:type="dxa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>Rzeczywisty termin osiągnięcia</w:t>
                  </w:r>
                </w:p>
              </w:tc>
              <w:tc>
                <w:tcPr>
                  <w:tcW w:w="1502" w:type="dxa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>Status realizacji kamienia milowego</w:t>
                  </w:r>
                </w:p>
              </w:tc>
            </w:tr>
            <w:tr w:rsidR="00D72BA3">
              <w:tc>
                <w:tcPr>
                  <w:tcW w:w="1500" w:type="dxa"/>
                  <w:vAlign w:val="bottom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Wyłonienie wykonawcy narzędzia do automatycznego wspomagania doradztwa</w:t>
                  </w:r>
                </w:p>
              </w:tc>
              <w:tc>
                <w:tcPr>
                  <w:tcW w:w="1501" w:type="dxa"/>
                  <w:vAlign w:val="center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31.05.2021 r.</w:t>
                  </w:r>
                </w:p>
              </w:tc>
              <w:tc>
                <w:tcPr>
                  <w:tcW w:w="1502" w:type="dxa"/>
                  <w:vAlign w:val="center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31.12.2021 r.</w:t>
                  </w:r>
                </w:p>
              </w:tc>
              <w:tc>
                <w:tcPr>
                  <w:tcW w:w="1502" w:type="dxa"/>
                  <w:vAlign w:val="center"/>
                </w:tcPr>
                <w:p w:rsidR="00D72BA3" w:rsidRDefault="00675C84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Osiągnięty</w:t>
                  </w:r>
                </w:p>
              </w:tc>
            </w:tr>
            <w:tr w:rsidR="00D72BA3">
              <w:tc>
                <w:tcPr>
                  <w:tcW w:w="1500" w:type="dxa"/>
                  <w:vAlign w:val="bottom"/>
                </w:tcPr>
                <w:p w:rsidR="00D72BA3" w:rsidRDefault="00675C84">
                  <w:pPr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Uruchomienie automatycznego wspomagania doradztwa</w:t>
                  </w:r>
                </w:p>
              </w:tc>
              <w:tc>
                <w:tcPr>
                  <w:tcW w:w="1501" w:type="dxa"/>
                  <w:vAlign w:val="center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31.05.2022 r.</w:t>
                  </w:r>
                </w:p>
              </w:tc>
              <w:tc>
                <w:tcPr>
                  <w:tcW w:w="1502" w:type="dxa"/>
                  <w:vAlign w:val="center"/>
                </w:tcPr>
                <w:p w:rsidR="00D72BA3" w:rsidRDefault="00675C84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31.12.2022 r.</w:t>
                  </w:r>
                </w:p>
              </w:tc>
              <w:tc>
                <w:tcPr>
                  <w:tcW w:w="1502" w:type="dxa"/>
                  <w:vAlign w:val="center"/>
                </w:tcPr>
                <w:p w:rsidR="00D72BA3" w:rsidRDefault="00675C84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Osiągnięty</w:t>
                  </w:r>
                </w:p>
              </w:tc>
            </w:tr>
          </w:tbl>
          <w:p w:rsidR="00D72BA3" w:rsidRDefault="00675C84">
            <w:pPr>
              <w:rPr>
                <w:i/>
                <w:color w:val="222222"/>
                <w:sz w:val="16"/>
                <w:szCs w:val="16"/>
              </w:rPr>
            </w:pPr>
            <w:r>
              <w:rPr>
                <w:i/>
                <w:color w:val="222222"/>
                <w:sz w:val="16"/>
                <w:szCs w:val="16"/>
              </w:rPr>
              <w:t>Powodem przesunięcia terminu osiągnięcia kamieni milowych było złożenie odwołania do Krajowej Izby Odwoławczej przez jednego z oferentów w przetargu na wyłonienie wykonawcy narzędzia do automatycznego wspomagania doradztwa. KIO oddalił odwołanie dn. 7.12.2</w:t>
            </w:r>
            <w:r>
              <w:rPr>
                <w:i/>
                <w:color w:val="222222"/>
                <w:sz w:val="16"/>
                <w:szCs w:val="16"/>
              </w:rPr>
              <w:t xml:space="preserve">021 r. (sygn. akt KIO 3423/21), tym samym umowa z Wykonawcą została podpisana dn. 16.12.2021 r. W wyniku odwołania uruchomienie </w:t>
            </w:r>
            <w:proofErr w:type="spellStart"/>
            <w:r>
              <w:rPr>
                <w:i/>
                <w:color w:val="222222"/>
                <w:sz w:val="16"/>
                <w:szCs w:val="16"/>
              </w:rPr>
              <w:t>chatbota</w:t>
            </w:r>
            <w:proofErr w:type="spellEnd"/>
            <w:r>
              <w:rPr>
                <w:i/>
                <w:color w:val="222222"/>
                <w:sz w:val="16"/>
                <w:szCs w:val="16"/>
              </w:rPr>
              <w:t xml:space="preserve"> uległo opóźnieniu.</w:t>
            </w:r>
          </w:p>
          <w:p w:rsidR="00D72BA3" w:rsidRDefault="00D72BA3">
            <w:pPr>
              <w:jc w:val="both"/>
              <w:rPr>
                <w:color w:val="4472C4"/>
                <w:sz w:val="18"/>
                <w:szCs w:val="18"/>
              </w:rPr>
            </w:pPr>
          </w:p>
          <w:p w:rsidR="00D72BA3" w:rsidRDefault="00675C84">
            <w:pPr>
              <w:jc w:val="both"/>
              <w:rPr>
                <w:color w:val="000000"/>
                <w:sz w:val="18"/>
                <w:szCs w:val="18"/>
                <w:u w:val="single"/>
              </w:rPr>
            </w:pPr>
            <w:r>
              <w:rPr>
                <w:b/>
                <w:color w:val="009443"/>
                <w:sz w:val="18"/>
                <w:szCs w:val="18"/>
                <w:u w:val="single"/>
              </w:rPr>
              <w:t>Zadanie 6</w:t>
            </w:r>
            <w:r>
              <w:rPr>
                <w:color w:val="000000"/>
                <w:sz w:val="18"/>
                <w:szCs w:val="18"/>
                <w:u w:val="single"/>
              </w:rPr>
              <w:t xml:space="preserve"> - Prowadzenie działalności informacyjnej i edukacyjnej</w:t>
            </w:r>
          </w:p>
          <w:p w:rsidR="00D72BA3" w:rsidRDefault="00675C8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W ramach zadania przygotowano publikację dot. AI pt. „Sztuczna inteligencja (AI) jako </w:t>
            </w:r>
            <w:proofErr w:type="spellStart"/>
            <w:r>
              <w:rPr>
                <w:sz w:val="18"/>
                <w:szCs w:val="18"/>
              </w:rPr>
              <w:t>megatrend</w:t>
            </w:r>
            <w:proofErr w:type="spellEnd"/>
            <w:r>
              <w:rPr>
                <w:sz w:val="18"/>
                <w:szCs w:val="18"/>
              </w:rPr>
              <w:t xml:space="preserve"> kształtujący edukację. Jak przygotowywać się na szanse i wyzwania społeczno-gospodarcze związane ze sztuczną inteligencją?”, dla różnych interesariuszy zrealizo</w:t>
            </w:r>
            <w:r>
              <w:rPr>
                <w:sz w:val="18"/>
                <w:szCs w:val="18"/>
              </w:rPr>
              <w:t>wano warsztaty otwarte tematyczne (139) i komputerowe (17), przeprowadzono seminaria projektowe (10) we współpracy z innymi zadaniami projektu (w tym naukowo-informacyjne, Peer Learning Activity), przygotowano raporty z wizyt studyjnych (6), w których ucze</w:t>
            </w:r>
            <w:r>
              <w:rPr>
                <w:sz w:val="18"/>
                <w:szCs w:val="18"/>
              </w:rPr>
              <w:t>stniczyli pracownicy projektu w formule stacjonarnej i on-line, zorganizowano fora tematyczne (3) dla interesariuszy ZSK.</w:t>
            </w:r>
          </w:p>
          <w:tbl>
            <w:tblPr>
              <w:tblStyle w:val="af7"/>
              <w:tblW w:w="6005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500"/>
              <w:gridCol w:w="1501"/>
              <w:gridCol w:w="1502"/>
              <w:gridCol w:w="1502"/>
            </w:tblGrid>
            <w:tr w:rsidR="00D72BA3">
              <w:tc>
                <w:tcPr>
                  <w:tcW w:w="1500" w:type="dxa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Nazwa Kamienia milowego     </w:t>
                  </w:r>
                </w:p>
              </w:tc>
              <w:tc>
                <w:tcPr>
                  <w:tcW w:w="1501" w:type="dxa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Planowany termin osiągnięcia</w:t>
                  </w:r>
                </w:p>
              </w:tc>
              <w:tc>
                <w:tcPr>
                  <w:tcW w:w="1502" w:type="dxa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>Rzeczywisty termin osiągnięcia</w:t>
                  </w:r>
                </w:p>
              </w:tc>
              <w:tc>
                <w:tcPr>
                  <w:tcW w:w="1502" w:type="dxa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>Status realizacji kamienia milowego</w:t>
                  </w:r>
                </w:p>
              </w:tc>
            </w:tr>
            <w:tr w:rsidR="00D72BA3">
              <w:tc>
                <w:tcPr>
                  <w:tcW w:w="1500" w:type="dxa"/>
                  <w:vAlign w:val="center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Sprawozd</w:t>
                  </w:r>
                  <w:r>
                    <w:rPr>
                      <w:sz w:val="16"/>
                      <w:szCs w:val="16"/>
                    </w:rPr>
                    <w:t>anie śródokresowe z działalności informacyjnej i edukacyjnej</w:t>
                  </w:r>
                </w:p>
              </w:tc>
              <w:tc>
                <w:tcPr>
                  <w:tcW w:w="1501" w:type="dxa"/>
                  <w:vAlign w:val="center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30.04.2022 r.</w:t>
                  </w:r>
                </w:p>
              </w:tc>
              <w:tc>
                <w:tcPr>
                  <w:tcW w:w="1502" w:type="dxa"/>
                  <w:vAlign w:val="center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30.04.2022 r.</w:t>
                  </w:r>
                </w:p>
              </w:tc>
              <w:tc>
                <w:tcPr>
                  <w:tcW w:w="1502" w:type="dxa"/>
                  <w:vAlign w:val="center"/>
                </w:tcPr>
                <w:p w:rsidR="00D72BA3" w:rsidRDefault="00675C84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Osiągnięty</w:t>
                  </w:r>
                </w:p>
              </w:tc>
            </w:tr>
          </w:tbl>
          <w:p w:rsidR="00D72BA3" w:rsidRDefault="00D72BA3">
            <w:pPr>
              <w:jc w:val="both"/>
              <w:rPr>
                <w:color w:val="000000"/>
                <w:sz w:val="18"/>
                <w:szCs w:val="18"/>
              </w:rPr>
            </w:pPr>
          </w:p>
          <w:p w:rsidR="00D72BA3" w:rsidRDefault="00675C84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Projekt jest w trakcie końcowego rozliczania przez Ministerstwo Edukacji, prawdopodobna data zatwierdzenia wniosku o płatność końcową - I kw. 2024 r.</w:t>
            </w:r>
          </w:p>
          <w:p w:rsidR="00D72BA3" w:rsidRDefault="00675C84">
            <w:pPr>
              <w:jc w:val="both"/>
              <w:rPr>
                <w:color w:val="000000"/>
                <w:sz w:val="18"/>
                <w:szCs w:val="18"/>
              </w:rPr>
            </w:pPr>
            <w:r>
              <w:t xml:space="preserve">     </w:t>
            </w:r>
          </w:p>
          <w:p w:rsidR="00D72BA3" w:rsidRDefault="00675C8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9443"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>Zgodnie z OZPI</w:t>
            </w:r>
            <w:bookmarkStart w:id="2" w:name="bookmark=id.7zowpit0nf4d" w:colFirst="0" w:colLast="0"/>
            <w:bookmarkEnd w:id="2"/>
            <w:r>
              <w:rPr>
                <w:b/>
                <w:sz w:val="18"/>
                <w:szCs w:val="18"/>
              </w:rPr>
              <w:t xml:space="preserve"> w wyniku realizacji projektu powstał produkt:</w:t>
            </w:r>
          </w:p>
          <w:p w:rsidR="00D72BA3" w:rsidRDefault="00D72B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9443"/>
                <w:sz w:val="18"/>
                <w:szCs w:val="18"/>
                <w:u w:val="single"/>
              </w:rPr>
            </w:pPr>
          </w:p>
          <w:tbl>
            <w:tblPr>
              <w:tblStyle w:val="af8"/>
              <w:tblW w:w="6005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503"/>
              <w:gridCol w:w="1502"/>
            </w:tblGrid>
            <w:tr w:rsidR="00D72BA3">
              <w:trPr>
                <w:trHeight w:val="498"/>
              </w:trPr>
              <w:tc>
                <w:tcPr>
                  <w:tcW w:w="4503" w:type="dxa"/>
                  <w:vAlign w:val="center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>Nazwa produktu</w:t>
                  </w:r>
                </w:p>
              </w:tc>
              <w:tc>
                <w:tcPr>
                  <w:tcW w:w="1502" w:type="dxa"/>
                  <w:vAlign w:val="center"/>
                </w:tcPr>
                <w:p w:rsidR="00D72BA3" w:rsidRDefault="00675C84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Data </w:t>
                  </w:r>
                </w:p>
              </w:tc>
            </w:tr>
            <w:tr w:rsidR="00D72BA3">
              <w:tc>
                <w:tcPr>
                  <w:tcW w:w="4503" w:type="dxa"/>
                  <w:vAlign w:val="bottom"/>
                </w:tcPr>
                <w:p w:rsidR="00D72BA3" w:rsidRDefault="00675C84">
                  <w:pPr>
                    <w:numPr>
                      <w:ilvl w:val="0"/>
                      <w:numId w:val="3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60" w:line="259" w:lineRule="auto"/>
                    <w:ind w:left="340" w:hanging="283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Przeglądarka ram kwalifikacji (PRK, SRK) </w:t>
                  </w:r>
                </w:p>
              </w:tc>
              <w:tc>
                <w:tcPr>
                  <w:tcW w:w="1502" w:type="dxa"/>
                  <w:vAlign w:val="center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12/2021</w:t>
                  </w:r>
                </w:p>
              </w:tc>
            </w:tr>
          </w:tbl>
          <w:p w:rsidR="00D72BA3" w:rsidRDefault="00D72B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9443"/>
                <w:sz w:val="18"/>
                <w:szCs w:val="18"/>
                <w:u w:val="single"/>
              </w:rPr>
            </w:pPr>
          </w:p>
          <w:p w:rsidR="00D72BA3" w:rsidRDefault="00D72BA3">
            <w:pPr>
              <w:jc w:val="both"/>
              <w:rPr>
                <w:sz w:val="18"/>
                <w:szCs w:val="18"/>
              </w:rPr>
            </w:pPr>
          </w:p>
        </w:tc>
      </w:tr>
      <w:tr w:rsidR="00D72BA3">
        <w:tc>
          <w:tcPr>
            <w:tcW w:w="480" w:type="dxa"/>
          </w:tcPr>
          <w:p w:rsidR="00D72BA3" w:rsidRDefault="00D72BA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350" w:type="dxa"/>
          </w:tcPr>
          <w:p w:rsidR="00D72BA3" w:rsidRDefault="00675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E-usługi dla obywateli i przedsiębiorców</w:t>
            </w:r>
          </w:p>
        </w:tc>
        <w:tc>
          <w:tcPr>
            <w:tcW w:w="6232" w:type="dxa"/>
          </w:tcPr>
          <w:p w:rsidR="00D72BA3" w:rsidRDefault="00675C84">
            <w:pPr>
              <w:tabs>
                <w:tab w:val="left" w:pos="4005"/>
              </w:tabs>
              <w:spacing w:before="120" w:after="120" w:line="276" w:lineRule="auto"/>
              <w:jc w:val="both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E-usługi                                                                                                  Poziom dojrzałości</w:t>
            </w:r>
          </w:p>
          <w:p w:rsidR="00D72BA3" w:rsidRDefault="00675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Automatyczne wspomaganie doradztwa                                   „3” Transakcyjny</w:t>
            </w:r>
            <w:r>
              <w:rPr>
                <w:sz w:val="18"/>
                <w:szCs w:val="18"/>
              </w:rPr>
              <w:br/>
            </w:r>
          </w:p>
          <w:p w:rsidR="00D72BA3" w:rsidRDefault="00675C84">
            <w:pPr>
              <w:jc w:val="both"/>
              <w:rPr>
                <w:i/>
                <w:sz w:val="18"/>
                <w:szCs w:val="18"/>
              </w:rPr>
            </w:pPr>
            <w:proofErr w:type="spellStart"/>
            <w:r>
              <w:rPr>
                <w:i/>
                <w:sz w:val="18"/>
                <w:szCs w:val="18"/>
              </w:rPr>
              <w:t>Czatbot</w:t>
            </w:r>
            <w:proofErr w:type="spellEnd"/>
            <w:r>
              <w:rPr>
                <w:i/>
                <w:sz w:val="18"/>
                <w:szCs w:val="18"/>
              </w:rPr>
              <w:t xml:space="preserve"> pełni role: 1) przewodnika po ZRK</w:t>
            </w:r>
            <w:r>
              <w:rPr>
                <w:i/>
                <w:sz w:val="18"/>
                <w:szCs w:val="18"/>
              </w:rPr>
              <w:t>, 2) przewodnika po ZSK oraz 3) asystenta podstawowego doradztwa zawodowego ograniczonego dziedzinowo do zakresu ZRK. Wdrożenie usług wpłynęło na poprawę jakości obsługi interesariuszy w szybkim dostępie informacji o możliwościach rozwoju edukacyjno-zawodo</w:t>
            </w:r>
            <w:r>
              <w:rPr>
                <w:i/>
                <w:sz w:val="18"/>
                <w:szCs w:val="18"/>
              </w:rPr>
              <w:t>wego lepiej dopasowanej do potrzeb konkretnych osób, automatyzacji procesów. Lepsze wsparcie dla osób wykonujących zadania m.in. z zakresu doradztwa edukacyjno-zawodowego poprzez narzędzia powiązane z rejestrem ZRK wykorzystujące dane gromadzone w rejestrz</w:t>
            </w:r>
            <w:r>
              <w:rPr>
                <w:i/>
                <w:sz w:val="18"/>
                <w:szCs w:val="18"/>
              </w:rPr>
              <w:t>e ZRK i inne dane kontekstowe przydatne stale aktualizowane.</w:t>
            </w:r>
          </w:p>
          <w:p w:rsidR="00D72BA3" w:rsidRDefault="00675C84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Planowana data uruchomienia 05-2022, rzeczywista data uruchomienia: 12-2022. Terminy nie zostały przekroczone, zgodnie z obowiązującym </w:t>
            </w:r>
            <w:proofErr w:type="spellStart"/>
            <w:r>
              <w:rPr>
                <w:i/>
                <w:sz w:val="18"/>
                <w:szCs w:val="18"/>
              </w:rPr>
              <w:t>WoD</w:t>
            </w:r>
            <w:proofErr w:type="spellEnd"/>
            <w:r>
              <w:rPr>
                <w:i/>
                <w:sz w:val="18"/>
                <w:szCs w:val="18"/>
              </w:rPr>
              <w:t>. Opóźnienie prac wynikało ze złożenia do KIO odwołania j</w:t>
            </w:r>
            <w:r>
              <w:rPr>
                <w:i/>
                <w:sz w:val="18"/>
                <w:szCs w:val="18"/>
              </w:rPr>
              <w:t>ednego z oferentów zamówienia.</w:t>
            </w:r>
          </w:p>
          <w:p w:rsidR="00D72BA3" w:rsidRDefault="00D72BA3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D72BA3">
        <w:trPr>
          <w:trHeight w:val="8819"/>
        </w:trPr>
        <w:tc>
          <w:tcPr>
            <w:tcW w:w="480" w:type="dxa"/>
          </w:tcPr>
          <w:p w:rsidR="00D72BA3" w:rsidRDefault="00D72BA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350" w:type="dxa"/>
          </w:tcPr>
          <w:p w:rsidR="00D72BA3" w:rsidRDefault="00675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Postęp w realizacji strategicznych celów Państwa</w:t>
            </w:r>
          </w:p>
        </w:tc>
        <w:tc>
          <w:tcPr>
            <w:tcW w:w="6232" w:type="dxa"/>
          </w:tcPr>
          <w:p w:rsidR="00D72BA3" w:rsidRDefault="00675C84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Realizacja projektu wpisała się w szerszy kontekst podejmowanych przez Polskę i inne kraje europejskie zmian związanych z kwalifikacjami. Zaleceniem Parlamentu Europejskiego</w:t>
            </w:r>
            <w:r>
              <w:rPr>
                <w:i/>
                <w:sz w:val="18"/>
                <w:szCs w:val="18"/>
              </w:rPr>
              <w:t xml:space="preserve"> i Rady z dnia 23 kwietnia 2008 r. w sprawie ustanowienia europejskich ram kwalifikacji dla uczenia się przez całe życie (Zalecenie Rady z dnia 22 maja 2017 r. w sprawie europejskich ram kwalifikacji dla uczenia się przez całe życie) jest opracowanie przez</w:t>
            </w:r>
            <w:r>
              <w:rPr>
                <w:i/>
                <w:sz w:val="18"/>
                <w:szCs w:val="18"/>
              </w:rPr>
              <w:t xml:space="preserve"> kraje europejskie krajowych ram kwalifikacji, które miałyby być porównywalne z Europejską Ramą Kwalifikacji. Dzięki odniesieniu krajowych ram kwalifikacji do Europejskiej Ramy Kwalifikacji możliwe jest porównywanie kwalifikacji zdobytych w różnych państwa</w:t>
            </w:r>
            <w:r>
              <w:rPr>
                <w:i/>
                <w:sz w:val="18"/>
                <w:szCs w:val="18"/>
              </w:rPr>
              <w:t>ch. </w:t>
            </w:r>
          </w:p>
          <w:p w:rsidR="00D72BA3" w:rsidRDefault="00675C84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Wdrożenie Zintegrowanego Systemu Kwalifikacji, którego jednym z głównych narzędzi jest ZRK, stanowi projekt strategiczny Strategii na rzecz odpowiedzialnego rozwoju. Wdrażanie ramy kwalifikacji oraz rozwiązań integrujących krajowy system kwalifikacji dla w</w:t>
            </w:r>
            <w:r>
              <w:rPr>
                <w:i/>
                <w:sz w:val="18"/>
                <w:szCs w:val="18"/>
              </w:rPr>
              <w:t>iększej efektywności realizacji polityki na rzecz uczenia się przez całe życie w Polsce przewidywane jest też w takich dokumentach strategicznych, jak Długookresowa Strategia Rozwoju Kraju. Polska 2030; Strategia Innowacyjności i Efektywności Gospodarki; S</w:t>
            </w:r>
            <w:r>
              <w:rPr>
                <w:i/>
                <w:sz w:val="18"/>
                <w:szCs w:val="18"/>
              </w:rPr>
              <w:t>trategia Rozwoju Kapitału Ludzkiego; Strategia Rozwoju Kapitału Społecznego; Perspektywa uczenia się przez całe życie; Zintegrowana Strategia Umiejętności 2030 (część ogólna), priorytet 5.: Wypracowanie skutecznych i trwałych mechanizmów współpracy i koord</w:t>
            </w:r>
            <w:r>
              <w:rPr>
                <w:i/>
                <w:sz w:val="18"/>
                <w:szCs w:val="18"/>
              </w:rPr>
              <w:t>ynacji międzyresortowej oraz międzysektorowej w zakresie rozwoju umiejętności. Ponadto projekt wpisuje się w cele i kierunki interwencji ujęte w Programie Zintegrowanej Informatyzacji Państwa - cel szczegółowy: 4.2.1 Zwiększenie jakości oraz zakresu komuni</w:t>
            </w:r>
            <w:r>
              <w:rPr>
                <w:i/>
                <w:sz w:val="18"/>
                <w:szCs w:val="18"/>
              </w:rPr>
              <w:t xml:space="preserve">kacji między obywatelami i innymi interesariuszami a państwem, kierunek interwencji 4.2.3 Podniesienie poziomu kompetencji cyfrowych obywateli, specjalistów TIK oraz pracowników administracji publicznej  5.1 Reorientacja administracji publicznej na usługi </w:t>
            </w:r>
            <w:r>
              <w:rPr>
                <w:i/>
                <w:sz w:val="18"/>
                <w:szCs w:val="18"/>
              </w:rPr>
              <w:t>zorientowane wokół potrzeb obywatela.</w:t>
            </w:r>
          </w:p>
          <w:p w:rsidR="00D72BA3" w:rsidRDefault="00D72BA3">
            <w:pPr>
              <w:jc w:val="both"/>
              <w:rPr>
                <w:i/>
                <w:sz w:val="18"/>
                <w:szCs w:val="18"/>
              </w:rPr>
            </w:pPr>
          </w:p>
          <w:p w:rsidR="00D72BA3" w:rsidRDefault="00675C84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Projekt „Prowadzenie i rozwój Zintegrowanego Rejestru Kwalifikacji (etap 2)” był finansowany z Programu Operacyjnego Wiedza Edukacja Rozwój (PO WER), zgodnie z Działaniem 2.11 Szczegółowego Opisu Osi Priorytetowych Pr</w:t>
            </w:r>
            <w:r>
              <w:rPr>
                <w:i/>
                <w:sz w:val="18"/>
                <w:szCs w:val="18"/>
              </w:rPr>
              <w:t>ogramu Operacyjnego Wiedza Edukacja Rozwój 2014-2020 – Zapewnienie funkcjonowania Zintegrowanego Rejestru Kwalifikacji.</w:t>
            </w:r>
          </w:p>
          <w:p w:rsidR="00D72BA3" w:rsidRDefault="00D72BA3">
            <w:pPr>
              <w:jc w:val="both"/>
              <w:rPr>
                <w:i/>
                <w:sz w:val="18"/>
                <w:szCs w:val="18"/>
              </w:rPr>
            </w:pPr>
          </w:p>
          <w:p w:rsidR="00D72BA3" w:rsidRDefault="00675C84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Realizacja wskaźników efektywności projektu (KPI):</w:t>
            </w:r>
          </w:p>
          <w:tbl>
            <w:tblPr>
              <w:tblStyle w:val="af9"/>
              <w:tblW w:w="6005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500"/>
              <w:gridCol w:w="1501"/>
              <w:gridCol w:w="1502"/>
              <w:gridCol w:w="1502"/>
            </w:tblGrid>
            <w:tr w:rsidR="00D72BA3">
              <w:tc>
                <w:tcPr>
                  <w:tcW w:w="1500" w:type="dxa"/>
                  <w:vAlign w:val="center"/>
                </w:tcPr>
                <w:p w:rsidR="00D72BA3" w:rsidRDefault="00675C84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Nazwa</w:t>
                  </w:r>
                </w:p>
              </w:tc>
              <w:tc>
                <w:tcPr>
                  <w:tcW w:w="1501" w:type="dxa"/>
                  <w:vAlign w:val="center"/>
                </w:tcPr>
                <w:p w:rsidR="00D72BA3" w:rsidRDefault="00675C84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Wartość </w:t>
                  </w:r>
                </w:p>
                <w:p w:rsidR="00D72BA3" w:rsidRDefault="00675C84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docelowa</w:t>
                  </w:r>
                </w:p>
              </w:tc>
              <w:tc>
                <w:tcPr>
                  <w:tcW w:w="1502" w:type="dxa"/>
                  <w:vAlign w:val="center"/>
                </w:tcPr>
                <w:p w:rsidR="00D72BA3" w:rsidRDefault="00675C84">
                  <w:pPr>
                    <w:jc w:val="both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Planowany termin osiągnięcia</w:t>
                  </w:r>
                </w:p>
              </w:tc>
              <w:tc>
                <w:tcPr>
                  <w:tcW w:w="1502" w:type="dxa"/>
                  <w:vAlign w:val="center"/>
                </w:tcPr>
                <w:p w:rsidR="00D72BA3" w:rsidRDefault="00675C84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Wartość osiągnięta od początku </w:t>
                  </w:r>
                  <w:r>
                    <w:rPr>
                      <w:b/>
                      <w:sz w:val="16"/>
                      <w:szCs w:val="16"/>
                    </w:rPr>
                    <w:t>realizacji projektu (narastająco)</w:t>
                  </w:r>
                </w:p>
              </w:tc>
            </w:tr>
            <w:tr w:rsidR="00D72BA3">
              <w:tc>
                <w:tcPr>
                  <w:tcW w:w="1500" w:type="dxa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(1) Liczba wejść na stronę kwalifikacje.gov.pl</w:t>
                  </w:r>
                </w:p>
              </w:tc>
              <w:tc>
                <w:tcPr>
                  <w:tcW w:w="1501" w:type="dxa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1 150 000 szt.</w:t>
                  </w:r>
                </w:p>
              </w:tc>
              <w:tc>
                <w:tcPr>
                  <w:tcW w:w="1502" w:type="dxa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12-2022</w:t>
                  </w:r>
                </w:p>
              </w:tc>
              <w:tc>
                <w:tcPr>
                  <w:tcW w:w="1502" w:type="dxa"/>
                </w:tcPr>
                <w:p w:rsidR="00D72BA3" w:rsidRDefault="00675C84">
                  <w:pPr>
                    <w:ind w:left="34"/>
                  </w:pPr>
                  <w:r>
                    <w:rPr>
                      <w:sz w:val="16"/>
                      <w:szCs w:val="16"/>
                    </w:rPr>
                    <w:t>1 406 279</w:t>
                  </w:r>
                </w:p>
              </w:tc>
            </w:tr>
            <w:tr w:rsidR="00D72BA3">
              <w:tc>
                <w:tcPr>
                  <w:tcW w:w="1500" w:type="dxa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(2) Skrócenie czasu obsługi opisu kwalifikacji i przypisania poziomu PRK do kwalifikacji.</w:t>
                  </w:r>
                </w:p>
              </w:tc>
              <w:tc>
                <w:tcPr>
                  <w:tcW w:w="1501" w:type="dxa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85%</w:t>
                  </w:r>
                </w:p>
              </w:tc>
              <w:tc>
                <w:tcPr>
                  <w:tcW w:w="1502" w:type="dxa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10-2023</w:t>
                  </w:r>
                </w:p>
              </w:tc>
              <w:tc>
                <w:tcPr>
                  <w:tcW w:w="1502" w:type="dxa"/>
                </w:tcPr>
                <w:p w:rsidR="00D72BA3" w:rsidRDefault="00675C8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85%</w:t>
                  </w:r>
                </w:p>
              </w:tc>
            </w:tr>
          </w:tbl>
          <w:p w:rsidR="00D72BA3" w:rsidRDefault="00D72BA3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D72BA3">
        <w:tc>
          <w:tcPr>
            <w:tcW w:w="480" w:type="dxa"/>
          </w:tcPr>
          <w:p w:rsidR="00D72BA3" w:rsidRDefault="00D72BA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350" w:type="dxa"/>
          </w:tcPr>
          <w:p w:rsidR="00D72BA3" w:rsidRDefault="00675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Ryzyka i problemy</w:t>
            </w:r>
          </w:p>
        </w:tc>
        <w:tc>
          <w:tcPr>
            <w:tcW w:w="6232" w:type="dxa"/>
          </w:tcPr>
          <w:p w:rsidR="00D72BA3" w:rsidRDefault="00675C84">
            <w:pPr>
              <w:spacing w:before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Podczas realizacji projektu wystąpiły poniższe ryzyka:</w:t>
            </w:r>
          </w:p>
          <w:p w:rsidR="00D72BA3" w:rsidRDefault="00675C8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ind w:left="746" w:hanging="49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Ryzyko związane z niedotrzymaniem warunków umowy z wybranymi Wykonawcami.  Siła oddziaływania – średnia; Sposób zarządzania ryzykiem – monitorowanie i raportowanie postępu prac.</w:t>
            </w:r>
          </w:p>
          <w:p w:rsidR="00D72BA3" w:rsidRDefault="00675C8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ind w:left="746" w:hanging="49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Ryzyko związane z niedo</w:t>
            </w:r>
            <w:r>
              <w:rPr>
                <w:sz w:val="18"/>
                <w:szCs w:val="18"/>
              </w:rPr>
              <w:t>trzymaniem warunków umowy przez dostawcę usługi obliczeń w chmurze (np. ciągłość, bezpieczeństwo).  Siła oddziaływania – średnia; Sposób zarządzania ryzykiem – IBE tworzy na własnych serwerach żywe kopie systemu.</w:t>
            </w:r>
          </w:p>
          <w:p w:rsidR="00D72BA3" w:rsidRDefault="00675C8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ind w:left="746" w:hanging="49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Ryzyko związane z niepowołanym dostępem do </w:t>
            </w:r>
            <w:r>
              <w:rPr>
                <w:sz w:val="18"/>
                <w:szCs w:val="18"/>
              </w:rPr>
              <w:t xml:space="preserve">oprogramowania rejestru. Siła oddziaływania – średnia; Sposób zarządzania ryzykiem – Rejestr nie przechowuje danych wrażliwych ani innych danych poufnych. Dostęp do systemu jest monitorowany, sam system został </w:t>
            </w:r>
            <w:r>
              <w:rPr>
                <w:sz w:val="18"/>
                <w:szCs w:val="18"/>
              </w:rPr>
              <w:lastRenderedPageBreak/>
              <w:t>przetestowany, oprogramowanie systemowe jest u</w:t>
            </w:r>
            <w:r>
              <w:rPr>
                <w:sz w:val="18"/>
                <w:szCs w:val="18"/>
              </w:rPr>
              <w:t>aktualniane, wykonywane są kopie bezpieczeństwa.</w:t>
            </w:r>
          </w:p>
          <w:p w:rsidR="00D72BA3" w:rsidRDefault="00675C8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ind w:left="746" w:hanging="49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Wystąpienie pandemii COVID-19 - ryzyko opóźnień prac zleconych. Siła oddziaływania – wysoka; Sposób zarządzania ryzykiem: przejście na pracę zdalną pełną/częściową członków zespołu projektowego. Ograniczenie</w:t>
            </w:r>
            <w:r>
              <w:rPr>
                <w:sz w:val="18"/>
                <w:szCs w:val="18"/>
              </w:rPr>
              <w:t xml:space="preserve"> ryzyka zakażeń. Przyjęcie dodatkowych buforów czasu w procesie planowania. Realizacja zadań projektu zgodnie z przyjętym harmonogramem.</w:t>
            </w:r>
          </w:p>
          <w:p w:rsidR="00D72BA3" w:rsidRDefault="00675C8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ind w:left="746" w:hanging="49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Ryzyko rotacji w zespole realizującym projekt, w szczególności personelu zaangażowanego na stanowiskach informatycznych oraz ekspertów kluczowych. Siła oddziaływania – wysoka; Sposób zarządzania ryzykiem: zapewnienie wymiany wiedzy w zespole, zastępowalnoś</w:t>
            </w:r>
            <w:r>
              <w:rPr>
                <w:sz w:val="18"/>
                <w:szCs w:val="18"/>
              </w:rPr>
              <w:t xml:space="preserve">ci, motywowanie. Zapewnienie wsparcia szkoleniowego oraz odpowiedniego funduszu wynagrodzeń. </w:t>
            </w:r>
          </w:p>
          <w:p w:rsidR="00D72BA3" w:rsidRDefault="00675C8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ind w:left="746" w:hanging="499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Opóźnienia w realizacji zadań zw. z brakiem zainteresowania potencjalnych wykonawców postępowaniami dot. zamówień publicznych. Siła oddziaływania – średnia; Sposó</w:t>
            </w:r>
            <w:r>
              <w:rPr>
                <w:color w:val="000000"/>
                <w:sz w:val="18"/>
                <w:szCs w:val="18"/>
              </w:rPr>
              <w:t xml:space="preserve">b zarządzania ryzykiem – realne formułowanie oczekiwań odnośnie do zakresu zamówień i kryteriów wyboru wykonawcy. </w:t>
            </w:r>
          </w:p>
          <w:p w:rsidR="00D72BA3" w:rsidRDefault="00675C8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ind w:left="746" w:hanging="499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Powstanie oszczędności w projekcie i niewydatkowanie wszystkich środków zgodnie z umową o dofinansowanie</w:t>
            </w:r>
            <w:r>
              <w:rPr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 xml:space="preserve"> Siła oddziaływania – </w:t>
            </w:r>
            <w:r>
              <w:rPr>
                <w:sz w:val="18"/>
                <w:szCs w:val="18"/>
              </w:rPr>
              <w:t>nisk</w:t>
            </w:r>
            <w:r>
              <w:rPr>
                <w:color w:val="000000"/>
                <w:sz w:val="18"/>
                <w:szCs w:val="18"/>
              </w:rPr>
              <w:t xml:space="preserve">a; Sposób </w:t>
            </w:r>
            <w:r>
              <w:rPr>
                <w:color w:val="000000"/>
                <w:sz w:val="18"/>
                <w:szCs w:val="18"/>
              </w:rPr>
              <w:t>zarządzania ryzykiem: monitor</w:t>
            </w:r>
            <w:r>
              <w:rPr>
                <w:sz w:val="18"/>
                <w:szCs w:val="18"/>
              </w:rPr>
              <w:t>owanie postępu projektu, proaktywne planowanie wydatków, analiza wariantów, przesunięcia w projekcie.</w:t>
            </w:r>
          </w:p>
          <w:p w:rsidR="00D72BA3" w:rsidRDefault="00675C84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ind w:left="746" w:hanging="499"/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Ryzyko niezasilania ZRK danymi z systemów szkolnictwa wyższego i oświaty. Siła oddziaływania – średnia; Sposób zarządzania ryzykiem: Monitorowanie źródeł informacji i informowanie z wyprzedzeniem ministra - koordynatora ZSK, w celu podjęcia interwencji na </w:t>
            </w:r>
            <w:r>
              <w:rPr>
                <w:sz w:val="18"/>
                <w:szCs w:val="18"/>
              </w:rPr>
              <w:t>poziomie systemowym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D72BA3" w:rsidRDefault="00D72BA3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D72BA3">
        <w:tc>
          <w:tcPr>
            <w:tcW w:w="480" w:type="dxa"/>
          </w:tcPr>
          <w:p w:rsidR="00D72BA3" w:rsidRDefault="00D72BA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350" w:type="dxa"/>
          </w:tcPr>
          <w:p w:rsidR="00D72BA3" w:rsidRDefault="00675C84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Uzyskane korzyści </w:t>
            </w:r>
          </w:p>
        </w:tc>
        <w:tc>
          <w:tcPr>
            <w:tcW w:w="6232" w:type="dxa"/>
          </w:tcPr>
          <w:p w:rsidR="00D72BA3" w:rsidRDefault="00675C84">
            <w:pPr>
              <w:numPr>
                <w:ilvl w:val="0"/>
                <w:numId w:val="4"/>
              </w:numPr>
              <w:ind w:left="7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Produktem końcowym wymienionym w Opisie założeń jest przeglądarka ram kwalifikacji (PRK, SRK).</w:t>
            </w:r>
            <w:r>
              <w:t xml:space="preserve">     </w:t>
            </w:r>
            <w:r>
              <w:rPr>
                <w:sz w:val="18"/>
                <w:szCs w:val="18"/>
              </w:rPr>
              <w:t xml:space="preserve"> Przeglądarka: pozwala w łatwy sposób pogłębić znajomości Polskiej Ramy Kwalifikacji oraz Sektorowych Ram Kwalifikacji</w:t>
            </w:r>
            <w:r>
              <w:t xml:space="preserve">     </w:t>
            </w:r>
            <w:r>
              <w:rPr>
                <w:sz w:val="18"/>
                <w:szCs w:val="18"/>
              </w:rPr>
              <w:t>, ułatwia poruszanie się po złożonej strukturze ram. Ułatwia pracę  wnioskodawcom opisującym kwalifikacje rynkowe; ekspertów minister</w:t>
            </w:r>
            <w:r>
              <w:rPr>
                <w:sz w:val="18"/>
                <w:szCs w:val="18"/>
              </w:rPr>
              <w:t xml:space="preserve">ialnych przepisujących poziom PRK do kwalifikacji rynkowych włączanych do Zintegrowanego Systemu Kwalifikacji; </w:t>
            </w:r>
            <w:r>
              <w:t xml:space="preserve">                                                                 </w:t>
            </w:r>
            <w:r>
              <w:rPr>
                <w:sz w:val="18"/>
                <w:szCs w:val="18"/>
              </w:rPr>
              <w:t xml:space="preserve"> członkom</w:t>
            </w:r>
            <w:r>
              <w:t xml:space="preserve">     </w:t>
            </w:r>
            <w:r>
              <w:rPr>
                <w:sz w:val="18"/>
                <w:szCs w:val="18"/>
              </w:rPr>
              <w:t xml:space="preserve"> Rady Interesariuszy ZSK, którzy opiniują poziom PRK proponowany </w:t>
            </w:r>
            <w:r>
              <w:t xml:space="preserve"> </w:t>
            </w:r>
            <w:r>
              <w:t xml:space="preserve">    </w:t>
            </w:r>
            <w:r>
              <w:rPr>
                <w:sz w:val="18"/>
                <w:szCs w:val="18"/>
              </w:rPr>
              <w:t>przez ekspertów;</w:t>
            </w:r>
            <w:r>
              <w:t xml:space="preserve">     </w:t>
            </w:r>
            <w:r>
              <w:rPr>
                <w:sz w:val="18"/>
                <w:szCs w:val="18"/>
              </w:rPr>
              <w:t xml:space="preserve"> przedstawiciel</w:t>
            </w:r>
            <w:r>
              <w:t xml:space="preserve">     </w:t>
            </w:r>
            <w:r>
              <w:rPr>
                <w:sz w:val="18"/>
                <w:szCs w:val="18"/>
              </w:rPr>
              <w:t xml:space="preserve">om poszczególnych sektorów </w:t>
            </w:r>
            <w:r>
              <w:t xml:space="preserve">          </w:t>
            </w:r>
            <w:r>
              <w:rPr>
                <w:sz w:val="18"/>
                <w:szCs w:val="18"/>
              </w:rPr>
              <w:t xml:space="preserve"> opracowujących Sektorowe Ramy Kwalifikacji.</w:t>
            </w:r>
          </w:p>
          <w:p w:rsidR="00D72BA3" w:rsidRDefault="00675C84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Integracja środowisk zaangażowanych w proces włączania kwalifikacji do systemu, monitorowanie ZSK z uwzględnieniem roli ZRK i pod</w:t>
            </w:r>
            <w:r>
              <w:rPr>
                <w:sz w:val="18"/>
                <w:szCs w:val="18"/>
              </w:rPr>
              <w:t>miotu prowadzącego rejestr, stałe rozwijanie powszechnego dostępu do wiarygodnych informacji o ZSK, w tym o kwalifikacjach i informacjach powiązanych, rozwijanie narzędzi systemowych odpowiadających na aktualne potrzeby interesariuszy oraz rozwój istniejąc</w:t>
            </w:r>
            <w:r>
              <w:rPr>
                <w:sz w:val="18"/>
                <w:szCs w:val="18"/>
              </w:rPr>
              <w:t>ych i tworzenie nowoczesnych narzędzi informatycznych wspierających interesariuszy systemu za pomocą technik tzw. sztucznej inteligencji.</w:t>
            </w:r>
          </w:p>
          <w:p w:rsidR="00D72BA3" w:rsidRDefault="00675C84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Zapewnienie dalszego sprawnego funkcjonowania i rozwoju rejestru przewidzianego ustawą z dnia 22 grudnia 2015 r. o Zin</w:t>
            </w:r>
            <w:r>
              <w:rPr>
                <w:sz w:val="18"/>
                <w:szCs w:val="18"/>
              </w:rPr>
              <w:t xml:space="preserve">tegrowanym Systemie Kwalifikacji. Rejestr jest ogólnodostępny: </w:t>
            </w:r>
            <w:hyperlink r:id="rId7">
              <w:r>
                <w:rPr>
                  <w:sz w:val="18"/>
                  <w:szCs w:val="18"/>
                </w:rPr>
                <w:t>https://kwalifikacje.gov.pl/k</w:t>
              </w:r>
            </w:hyperlink>
            <w:r>
              <w:rPr>
                <w:sz w:val="18"/>
                <w:szCs w:val="18"/>
              </w:rPr>
              <w:t>. Ponadto w trakcie realizacji projektu przystąpiono do prac nad wprowadzeniem zmian w ZRK wynikających z nowelizac</w:t>
            </w:r>
            <w:r>
              <w:rPr>
                <w:sz w:val="18"/>
                <w:szCs w:val="18"/>
              </w:rPr>
              <w:t xml:space="preserve">ji ustawy od stycznia 2024 r. </w:t>
            </w:r>
          </w:p>
          <w:p w:rsidR="00D72BA3" w:rsidRDefault="00675C84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Dzięki pełnemu wdrożeniu nowej wersji  Rejestru zapewniono:</w:t>
            </w:r>
          </w:p>
          <w:p w:rsidR="00D72BA3" w:rsidRDefault="00675C84">
            <w:pPr>
              <w:numPr>
                <w:ilvl w:val="0"/>
                <w:numId w:val="1"/>
              </w:numPr>
              <w:ind w:left="992" w:hanging="283"/>
              <w:jc w:val="both"/>
              <w:rPr>
                <w:i/>
                <w:sz w:val="18"/>
                <w:szCs w:val="18"/>
              </w:rPr>
            </w:pPr>
            <w:bookmarkStart w:id="3" w:name="_heading=h.2et92p0" w:colFirst="0" w:colLast="0"/>
            <w:bookmarkEnd w:id="3"/>
            <w:r>
              <w:rPr>
                <w:sz w:val="18"/>
                <w:szCs w:val="18"/>
              </w:rPr>
              <w:lastRenderedPageBreak/>
              <w:t xml:space="preserve">sprawną obsługę 100 wniosków o włączenie kwalifikacji i 189 wniosków o nadanie uprawnień IC. </w:t>
            </w:r>
          </w:p>
          <w:p w:rsidR="00D72BA3" w:rsidRDefault="00675C84">
            <w:pPr>
              <w:numPr>
                <w:ilvl w:val="0"/>
                <w:numId w:val="1"/>
              </w:numPr>
              <w:ind w:left="992" w:hanging="283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bieżące </w:t>
            </w:r>
            <w:r>
              <w:t xml:space="preserve">     </w:t>
            </w:r>
            <w:r>
              <w:rPr>
                <w:sz w:val="18"/>
                <w:szCs w:val="18"/>
              </w:rPr>
              <w:t xml:space="preserve">publikowanie </w:t>
            </w:r>
            <w:r>
              <w:t xml:space="preserve">     </w:t>
            </w:r>
            <w:r>
              <w:rPr>
                <w:sz w:val="18"/>
                <w:szCs w:val="18"/>
              </w:rPr>
              <w:t>w ZRK kwalifikacji włączonych do ZSK: 70</w:t>
            </w:r>
            <w:r>
              <w:rPr>
                <w:sz w:val="18"/>
                <w:szCs w:val="18"/>
              </w:rPr>
              <w:t xml:space="preserve"> kwalifikacji rynkowych, 25 uregulowanych, 14 studiów podyplomowych</w:t>
            </w:r>
          </w:p>
          <w:p w:rsidR="00D72BA3" w:rsidRDefault="00675C84">
            <w:pPr>
              <w:numPr>
                <w:ilvl w:val="0"/>
                <w:numId w:val="1"/>
              </w:numPr>
              <w:ind w:left="992" w:hanging="283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szybką </w:t>
            </w:r>
            <w:r>
              <w:t xml:space="preserve">     </w:t>
            </w:r>
            <w:r>
              <w:rPr>
                <w:sz w:val="18"/>
                <w:szCs w:val="18"/>
              </w:rPr>
              <w:t xml:space="preserve">rejestrację w ZRK </w:t>
            </w:r>
            <w:r>
              <w:t xml:space="preserve">     </w:t>
            </w:r>
            <w:r>
              <w:rPr>
                <w:sz w:val="18"/>
                <w:szCs w:val="18"/>
              </w:rPr>
              <w:t xml:space="preserve">podmioty i </w:t>
            </w:r>
            <w:r>
              <w:t xml:space="preserve">     </w:t>
            </w:r>
            <w:r>
              <w:rPr>
                <w:sz w:val="18"/>
                <w:szCs w:val="18"/>
              </w:rPr>
              <w:t xml:space="preserve"> użytkowników (792)</w:t>
            </w:r>
          </w:p>
          <w:p w:rsidR="00D72BA3" w:rsidRDefault="00675C84">
            <w:pPr>
              <w:numPr>
                <w:ilvl w:val="0"/>
                <w:numId w:val="1"/>
              </w:numPr>
              <w:ind w:left="992" w:hanging="283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sprawne </w:t>
            </w:r>
            <w:r>
              <w:rPr>
                <w:sz w:val="18"/>
                <w:szCs w:val="18"/>
              </w:rPr>
              <w:t>przygotowanie</w:t>
            </w:r>
            <w:r>
              <w:t xml:space="preserve">     </w:t>
            </w:r>
            <w:r>
              <w:rPr>
                <w:sz w:val="18"/>
                <w:szCs w:val="18"/>
              </w:rPr>
              <w:t xml:space="preserve"> i przeprowadzenie</w:t>
            </w:r>
            <w:r>
              <w:t xml:space="preserve">     </w:t>
            </w:r>
            <w:r>
              <w:rPr>
                <w:sz w:val="18"/>
                <w:szCs w:val="18"/>
              </w:rPr>
              <w:t xml:space="preserve"> nabór na PZZJ</w:t>
            </w:r>
          </w:p>
          <w:p w:rsidR="00D72BA3" w:rsidRDefault="00675C84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Zrealizowano 13 narzędzi wspierających funkcjonowanie</w:t>
            </w:r>
            <w:r>
              <w:rPr>
                <w:sz w:val="18"/>
                <w:szCs w:val="18"/>
              </w:rPr>
              <w:t xml:space="preserve"> ZRK: narzędzie do zbierania informacji nt. zapotrzebowania na kwalifikacje, zmodernizowane Aktywne formularze, narzędzie Mapy kwalifikacji, zmodernizowany </w:t>
            </w:r>
            <w:proofErr w:type="spellStart"/>
            <w:r>
              <w:rPr>
                <w:sz w:val="18"/>
                <w:szCs w:val="18"/>
              </w:rPr>
              <w:t>interkonektor</w:t>
            </w:r>
            <w:proofErr w:type="spellEnd"/>
            <w:r>
              <w:rPr>
                <w:sz w:val="18"/>
                <w:szCs w:val="18"/>
              </w:rPr>
              <w:t xml:space="preserve"> POL-on, narzędzie "Wiem co umiem", portal Małe ZRK oraz przeglądarka ram kwalifikacji </w:t>
            </w:r>
            <w:r>
              <w:rPr>
                <w:sz w:val="18"/>
                <w:szCs w:val="18"/>
              </w:rPr>
              <w:t>(PRK - Polska Rama Kwalifikacji, SRK - Sektorowa Rama Kwalifikacji), aplikacja dla uprzywilejowanych użytkowników ułatwiająca opisywanie kwalifikacji i przypisywanie im poziomu PRK, narzędzie wspierające osoby z zespołów HR/firm HR oraz inne osoby podejmuj</w:t>
            </w:r>
            <w:r>
              <w:rPr>
                <w:sz w:val="18"/>
                <w:szCs w:val="18"/>
              </w:rPr>
              <w:t xml:space="preserve">ące działania z obszaru HR, aplikacja monitorująca i analizująca rynek ofert o pracę, zmodernizowana aplikacja "Ścieżki rozwoju", zmodernizowana aplikacja Kompas, zmodernizowany </w:t>
            </w:r>
            <w:proofErr w:type="spellStart"/>
            <w:r>
              <w:rPr>
                <w:sz w:val="18"/>
                <w:szCs w:val="18"/>
              </w:rPr>
              <w:t>interkonektor</w:t>
            </w:r>
            <w:proofErr w:type="spellEnd"/>
            <w:r>
              <w:rPr>
                <w:sz w:val="18"/>
                <w:szCs w:val="18"/>
              </w:rPr>
              <w:t xml:space="preserve"> LOQ.</w:t>
            </w:r>
          </w:p>
          <w:p w:rsidR="00D72BA3" w:rsidRDefault="00675C84">
            <w:pPr>
              <w:numPr>
                <w:ilvl w:val="0"/>
                <w:numId w:val="4"/>
              </w:numPr>
              <w:spacing w:after="24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Wdrożenie automatycznego wspomagania doradztwa (system komputerowy złożony z aplikacji webowej </w:t>
            </w:r>
            <w:proofErr w:type="spellStart"/>
            <w:r>
              <w:rPr>
                <w:sz w:val="18"/>
                <w:szCs w:val="18"/>
              </w:rPr>
              <w:t>czatbota</w:t>
            </w:r>
            <w:proofErr w:type="spellEnd"/>
            <w:r>
              <w:rPr>
                <w:sz w:val="18"/>
                <w:szCs w:val="18"/>
              </w:rPr>
              <w:t xml:space="preserve"> i infrastruktury serwerowej). </w:t>
            </w:r>
            <w:proofErr w:type="spellStart"/>
            <w:r>
              <w:rPr>
                <w:sz w:val="18"/>
                <w:szCs w:val="18"/>
              </w:rPr>
              <w:t>Czatbot</w:t>
            </w:r>
            <w:proofErr w:type="spellEnd"/>
            <w:r>
              <w:rPr>
                <w:sz w:val="18"/>
                <w:szCs w:val="18"/>
              </w:rPr>
              <w:t xml:space="preserve"> realizuje funkcje przewodnika po ZRK, przewodnika po ZSK oraz asystenta podstawowego doradztwa zawodowego stanowią</w:t>
            </w:r>
            <w:r>
              <w:rPr>
                <w:sz w:val="18"/>
                <w:szCs w:val="18"/>
              </w:rPr>
              <w:t>cego kompleksowe narzędzia wsparcia, przy czym asystent podstawowego doradztwa zawodowego jest skoncentrowany na dziedzinie ZRK</w:t>
            </w:r>
            <w:r>
              <w:rPr>
                <w:rFonts w:ascii="Roboto" w:eastAsia="Roboto" w:hAnsi="Roboto" w:cs="Roboto"/>
                <w:sz w:val="18"/>
                <w:szCs w:val="18"/>
              </w:rPr>
              <w:t>.</w:t>
            </w:r>
          </w:p>
          <w:p w:rsidR="00D72BA3" w:rsidRDefault="00675C84">
            <w:pPr>
              <w:spacing w:before="240" w:after="24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Strona internetowa jest ogólnodostępna dla każdego użytkownika.</w:t>
            </w:r>
          </w:p>
          <w:p w:rsidR="00D72BA3" w:rsidRDefault="00675C84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Dokumenty sprawozdawcze potwierdzające zachowanie trwałości pro</w:t>
            </w:r>
            <w:r>
              <w:rPr>
                <w:i/>
                <w:sz w:val="18"/>
                <w:szCs w:val="18"/>
              </w:rPr>
              <w:t>jektu i osiągniętych rezultatów projektu ZRK po zakończeniu okresu jego realizacji:</w:t>
            </w:r>
          </w:p>
          <w:p w:rsidR="00D72BA3" w:rsidRDefault="00675C8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18"/>
                <w:szCs w:val="18"/>
              </w:rPr>
            </w:pPr>
            <w:bookmarkStart w:id="4" w:name="_heading=h.s5ukkrdlx9p2" w:colFirst="0" w:colLast="0"/>
            <w:bookmarkEnd w:id="4"/>
            <w:r>
              <w:rPr>
                <w:i/>
                <w:sz w:val="18"/>
                <w:szCs w:val="18"/>
              </w:rPr>
              <w:t>Raport roczny z działań związanych z realizacją ustawowych zadań związanych z prowadzeniem ZRK, obejmujący dane dotyczące m.in.: rejestracji i obsługi kont użytkowników oraz podmiotów, przyjmowania i oceny formalnej wniosków o włączenie kwalifikacji do ZSK</w:t>
            </w:r>
            <w:r>
              <w:rPr>
                <w:i/>
                <w:sz w:val="18"/>
                <w:szCs w:val="18"/>
              </w:rPr>
              <w:t>, wspierania w ustalaniu właściwości ministra dla składanych wniosków o włączenie kwalifikacji do ZSK, rejestracji w ZRK kwalifikacji włączonych do ZSK, przyjmowania i oceny formalnej wniosków o nadanie uprawnień do certyfikowania kwalifikacji oraz wnioskó</w:t>
            </w:r>
            <w:r>
              <w:rPr>
                <w:i/>
                <w:sz w:val="18"/>
                <w:szCs w:val="18"/>
              </w:rPr>
              <w:t>w o wpisanie na listę podmiotów zewnętrznego zapewniania jakości. W raporcie dane będą zaprezentowane zbiorczo za miniony okres sprawozdawczy (1 rok).</w:t>
            </w:r>
          </w:p>
          <w:p w:rsidR="00D72BA3" w:rsidRDefault="00675C8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18"/>
                <w:szCs w:val="18"/>
              </w:rPr>
            </w:pPr>
            <w:bookmarkStart w:id="5" w:name="_heading=h.104uxcpp1r2p" w:colFirst="0" w:colLast="0"/>
            <w:bookmarkEnd w:id="5"/>
            <w:r>
              <w:rPr>
                <w:i/>
                <w:sz w:val="18"/>
                <w:szCs w:val="18"/>
              </w:rPr>
              <w:t>Zrzuty ze strony internetowej, za pośrednictwem której udostępniany jest Zintegrowany Rejestr Kwalifikacj</w:t>
            </w:r>
            <w:r>
              <w:rPr>
                <w:i/>
                <w:sz w:val="18"/>
                <w:szCs w:val="18"/>
              </w:rPr>
              <w:t>i.</w:t>
            </w:r>
          </w:p>
          <w:p w:rsidR="00D72BA3" w:rsidRDefault="00675C84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18"/>
                <w:szCs w:val="18"/>
              </w:rPr>
            </w:pPr>
            <w:bookmarkStart w:id="6" w:name="_heading=h.adsiwrbuy704" w:colFirst="0" w:colLast="0"/>
            <w:bookmarkEnd w:id="6"/>
            <w:r>
              <w:rPr>
                <w:i/>
                <w:sz w:val="18"/>
                <w:szCs w:val="18"/>
              </w:rPr>
              <w:t>Informacja o liczbie odsłon portalu udostępniającego ZRK w okresie sprawozdawczym obejmującym 1 rok.</w:t>
            </w:r>
          </w:p>
          <w:p w:rsidR="00D72BA3" w:rsidRDefault="00D72BA3">
            <w:pPr>
              <w:jc w:val="both"/>
              <w:rPr>
                <w:i/>
                <w:sz w:val="18"/>
                <w:szCs w:val="18"/>
              </w:rPr>
            </w:pPr>
            <w:bookmarkStart w:id="7" w:name="_heading=h.30j0zll" w:colFirst="0" w:colLast="0"/>
            <w:bookmarkEnd w:id="7"/>
          </w:p>
          <w:p w:rsidR="00D72BA3" w:rsidRDefault="00675C84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Wymienione powyżej dokumenty planuje się przekazywać do IP (MEN) do 2026 r., z częstotliwością raz w roku, w terminie do 31 stycznia każdego roku kalen</w:t>
            </w:r>
            <w:r>
              <w:rPr>
                <w:i/>
                <w:sz w:val="18"/>
                <w:szCs w:val="18"/>
              </w:rPr>
              <w:t>darzowego (począwszy od 31 stycznia 2024 r.).</w:t>
            </w:r>
          </w:p>
          <w:p w:rsidR="00D72BA3" w:rsidRDefault="00D72BA3">
            <w:pPr>
              <w:jc w:val="both"/>
              <w:rPr>
                <w:i/>
                <w:sz w:val="18"/>
                <w:szCs w:val="18"/>
              </w:rPr>
            </w:pPr>
          </w:p>
        </w:tc>
      </w:tr>
      <w:tr w:rsidR="00D72BA3">
        <w:tc>
          <w:tcPr>
            <w:tcW w:w="480" w:type="dxa"/>
          </w:tcPr>
          <w:p w:rsidR="00D72BA3" w:rsidRDefault="00D72BA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350" w:type="dxa"/>
          </w:tcPr>
          <w:p w:rsidR="00D72BA3" w:rsidRDefault="00675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E-usługi i rejestry z jakimi zintegrował się wytworzony system w ramach realizacji projektu</w:t>
            </w:r>
          </w:p>
        </w:tc>
        <w:tc>
          <w:tcPr>
            <w:tcW w:w="6232" w:type="dxa"/>
          </w:tcPr>
          <w:p w:rsidR="00D72BA3" w:rsidRDefault="00675C84">
            <w:pPr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Rejestr kwalifikacji został włączony do publicznych portali gov.pl oraz powiązany z </w:t>
            </w:r>
            <w:proofErr w:type="spellStart"/>
            <w:r>
              <w:rPr>
                <w:i/>
                <w:sz w:val="18"/>
                <w:szCs w:val="18"/>
              </w:rPr>
              <w:t>z</w:t>
            </w:r>
            <w:proofErr w:type="spellEnd"/>
            <w:r>
              <w:rPr>
                <w:i/>
                <w:sz w:val="18"/>
                <w:szCs w:val="18"/>
              </w:rPr>
              <w:t xml:space="preserve"> publicznymi rejestrami: ELA, SIO, POL-on, </w:t>
            </w:r>
            <w:proofErr w:type="spellStart"/>
            <w:r>
              <w:rPr>
                <w:i/>
                <w:sz w:val="18"/>
                <w:szCs w:val="18"/>
              </w:rPr>
              <w:t>Europass</w:t>
            </w:r>
            <w:proofErr w:type="spellEnd"/>
            <w:r>
              <w:rPr>
                <w:i/>
                <w:sz w:val="18"/>
                <w:szCs w:val="18"/>
              </w:rPr>
              <w:t>/ESCO/LOQ.</w:t>
            </w:r>
          </w:p>
        </w:tc>
      </w:tr>
      <w:tr w:rsidR="00D72BA3">
        <w:tc>
          <w:tcPr>
            <w:tcW w:w="480" w:type="dxa"/>
          </w:tcPr>
          <w:p w:rsidR="00D72BA3" w:rsidRDefault="00D72BA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350" w:type="dxa"/>
          </w:tcPr>
          <w:p w:rsidR="00D72BA3" w:rsidRDefault="00675C84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Zapewnienie utrzymania projektu (w okresie trwałości)</w:t>
            </w:r>
          </w:p>
        </w:tc>
        <w:tc>
          <w:tcPr>
            <w:tcW w:w="6232" w:type="dxa"/>
          </w:tcPr>
          <w:p w:rsidR="00D72BA3" w:rsidRDefault="00675C84">
            <w:pPr>
              <w:jc w:val="both"/>
              <w:rPr>
                <w:i/>
                <w:sz w:val="18"/>
                <w:szCs w:val="18"/>
              </w:rPr>
            </w:pPr>
            <w:bookmarkStart w:id="8" w:name="_heading=h.3znysh7" w:colFirst="0" w:colLast="0"/>
            <w:bookmarkEnd w:id="8"/>
            <w:r>
              <w:rPr>
                <w:i/>
                <w:sz w:val="18"/>
                <w:szCs w:val="18"/>
              </w:rPr>
              <w:t>Instytut Badań Edukacyjnych jest zobowiązany do zapew</w:t>
            </w:r>
            <w:r>
              <w:rPr>
                <w:i/>
                <w:sz w:val="18"/>
                <w:szCs w:val="18"/>
              </w:rPr>
              <w:t>nienia trwałości projektu przez okres 5 lat od jego zakończenia.</w:t>
            </w:r>
          </w:p>
          <w:p w:rsidR="00D72BA3" w:rsidRDefault="00675C84" w:rsidP="00675C84">
            <w:pPr>
              <w:jc w:val="both"/>
            </w:pPr>
            <w:r>
              <w:rPr>
                <w:i/>
                <w:sz w:val="18"/>
                <w:szCs w:val="18"/>
              </w:rPr>
              <w:t>Projekt ZRK2 będzie miał swoją kontynuację w ramach programu Fundusze Europejskie dla Rozwoju Społecznego 2021-2027, w postaci projektu ZRK3 - Prowadzenie i rozwój Zintegrowanego Rejestru Kwa</w:t>
            </w:r>
            <w:r>
              <w:rPr>
                <w:i/>
                <w:sz w:val="18"/>
                <w:szCs w:val="18"/>
              </w:rPr>
              <w:t>lifikacji jako narzędzia wspierającego uczenie się przez całe życie”. Produkty/rezultaty projektu ZRK2 będą rozwijane w ramach projektu ZRK3, tym samym trwałość projektu ZRK2 zostanie zapewniona w ramach projektu ZRK3 finansowanego z programu FERS i cz. 30</w:t>
            </w:r>
            <w:r>
              <w:rPr>
                <w:i/>
                <w:sz w:val="18"/>
                <w:szCs w:val="18"/>
              </w:rPr>
              <w:t xml:space="preserve"> Budżetu Państwa. </w:t>
            </w:r>
            <w:bookmarkStart w:id="9" w:name="_GoBack"/>
            <w:bookmarkEnd w:id="9"/>
          </w:p>
        </w:tc>
      </w:tr>
      <w:tr w:rsidR="00D72BA3">
        <w:tc>
          <w:tcPr>
            <w:tcW w:w="480" w:type="dxa"/>
          </w:tcPr>
          <w:p w:rsidR="00D72BA3" w:rsidRDefault="00D72BA3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2350" w:type="dxa"/>
          </w:tcPr>
          <w:p w:rsidR="00D72BA3" w:rsidRDefault="00675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Doświadczenia związane z realizacją projektu</w:t>
            </w:r>
          </w:p>
        </w:tc>
        <w:tc>
          <w:tcPr>
            <w:tcW w:w="6232" w:type="dxa"/>
          </w:tcPr>
          <w:p w:rsidR="00D72BA3" w:rsidRDefault="00675C8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ind w:left="714" w:hanging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Przedłużające się nabory na vacaty do zespołu, szczególnie w zespole informatycznym, powodując zwiększenie nakładu pracy wśród zespołu projektowego i brak realizacji budżetu zgodnie z harmonogramem – negatywne. Rekomendacja – uproszczenie procedur naboru;</w:t>
            </w:r>
          </w:p>
          <w:p w:rsidR="00D72BA3" w:rsidRDefault="00675C8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ind w:left="714" w:hanging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Modernizacja oprogramowania do elektronicznego obiegu dokumentów w IBE – pozytywne. Rekomendacja – rozszerzanie funkcjonalności systemu o dodatkowe funkcje zgodnie z zapotrzebowaniem (wraz z umożliwieniem załączenia kilku bądź kilkunastu plików na raz);</w:t>
            </w:r>
          </w:p>
          <w:p w:rsidR="00D72BA3" w:rsidRDefault="00675C8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ind w:left="714" w:hanging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Og</w:t>
            </w:r>
            <w:r>
              <w:rPr>
                <w:sz w:val="18"/>
                <w:szCs w:val="18"/>
              </w:rPr>
              <w:t>raniczona wielkość wysyłki plików przez SL. Konieczność wysyłania w kilku częściach – negatywne. Rekomendacja – usprawnienie wysyłki dokumentacji przez SL (zwiększenie wielkości plików);</w:t>
            </w:r>
          </w:p>
          <w:p w:rsidR="00D72BA3" w:rsidRDefault="00675C8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ind w:left="714" w:hanging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Stała współpraca zespołu realizującego projekt z osobą koordynującą p</w:t>
            </w:r>
            <w:r>
              <w:rPr>
                <w:sz w:val="18"/>
                <w:szCs w:val="18"/>
              </w:rPr>
              <w:t>rojekt – mającą bezpośredni kontakt z opiekunem projektu w IP (</w:t>
            </w:r>
            <w:proofErr w:type="spellStart"/>
            <w:r>
              <w:rPr>
                <w:sz w:val="18"/>
                <w:szCs w:val="18"/>
              </w:rPr>
              <w:t>MEiN</w:t>
            </w:r>
            <w:proofErr w:type="spellEnd"/>
            <w:r>
              <w:rPr>
                <w:sz w:val="18"/>
                <w:szCs w:val="18"/>
              </w:rPr>
              <w:t>), pozwoliła na bieżące i responsywne korygowanie budżetu – pozytywne. Rekomendacja – każdy projekt powinien być przypisany do  konkretnej osoby odpowiedzialnej za koordynację projektu;</w:t>
            </w:r>
          </w:p>
          <w:p w:rsidR="00D72BA3" w:rsidRDefault="00675C84">
            <w:pPr>
              <w:numPr>
                <w:ilvl w:val="0"/>
                <w:numId w:val="5"/>
              </w:numPr>
              <w:spacing w:before="120" w:after="160" w:line="259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Bie</w:t>
            </w:r>
            <w:r>
              <w:rPr>
                <w:sz w:val="18"/>
                <w:szCs w:val="18"/>
              </w:rPr>
              <w:t>żące monitorowanie wydatków w projekcie i postępów prac, przygotowywanie modyfikacji projektu w odpowiedzi na racjonalne i efektywne wykorzystanie  środków - pozytywnie. Rekomendacja - osoba odpowiedzialna za finanse współpracująca bezpośrednio z Liderem p</w:t>
            </w:r>
            <w:r>
              <w:rPr>
                <w:sz w:val="18"/>
                <w:szCs w:val="18"/>
              </w:rPr>
              <w:t xml:space="preserve">rojektu i Ekspertami Kluczowymi; </w:t>
            </w:r>
          </w:p>
          <w:p w:rsidR="00D72BA3" w:rsidRDefault="00675C8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ind w:left="714" w:hanging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Wymiana poglądów i dobrych praktyk w trakcie wizyt studyjnych i konferencji zagranicznych – pozytywne. Rekomendacja – wspieranie działań sieciujących i umożliwiających wymianę dobrych praktyk uczestników projektu między so</w:t>
            </w:r>
            <w:r>
              <w:rPr>
                <w:sz w:val="18"/>
                <w:szCs w:val="18"/>
              </w:rPr>
              <w:t>bą i instytucjami – odpowiednikami w UE (m.in. krajowe i zagraniczne wizyty studyjne);</w:t>
            </w:r>
          </w:p>
          <w:p w:rsidR="00D72BA3" w:rsidRDefault="00675C8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ind w:left="714" w:hanging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Branie udziału w pilotażach prac z agendami UE (mapowanie kwalifikacji do umiejętności z klasyfikacji ESCO) - pozytywne. Rekomendacja – wspieranie działań umożliwiającyc</w:t>
            </w:r>
            <w:r>
              <w:rPr>
                <w:sz w:val="18"/>
                <w:szCs w:val="18"/>
              </w:rPr>
              <w:t>h kontynuację prac;</w:t>
            </w:r>
          </w:p>
          <w:p w:rsidR="00D72BA3" w:rsidRDefault="00675C8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ind w:left="714" w:hanging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Produkty zadań zrealizowanych w projekcie były uporządkowane w jednym źródle i dostępne dla zespołu projektowego – pozytywne. Rekomendacja - dbałość o miejsce i sposób składowania dokumentów projektowych;</w:t>
            </w:r>
          </w:p>
          <w:p w:rsidR="00D72BA3" w:rsidRDefault="00675C8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ind w:left="714" w:hanging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Odbywały się szkolenia wewnętrz</w:t>
            </w:r>
            <w:r>
              <w:rPr>
                <w:sz w:val="18"/>
                <w:szCs w:val="18"/>
              </w:rPr>
              <w:t>ne dla nowych pracowników, co zapewniło  bieżące wyrównanie poziomu wiedzy i kompetencji – pozytywne. Rekomendacja - organizowanie szkoleń wewnętrznych w organizacji, także z udziałem zespołu projektowego w kluczowych dla projektu w obszarach takich jak za</w:t>
            </w:r>
            <w:r>
              <w:rPr>
                <w:sz w:val="18"/>
                <w:szCs w:val="18"/>
              </w:rPr>
              <w:t>mówienia publiczne, rozliczanie projektu, zasady kwalifikowalności, realizacja projektu zgodnie z metodyką;</w:t>
            </w:r>
          </w:p>
          <w:p w:rsidR="00D72BA3" w:rsidRDefault="00675C8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ind w:left="714" w:hanging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Pracownicy zespołu projektowego podnosili swoje kwalifikacje w obszarze ściśle związanym z działaniami projektu - pozytywne. Rekomendacja - wspieran</w:t>
            </w:r>
            <w:r>
              <w:rPr>
                <w:sz w:val="18"/>
                <w:szCs w:val="18"/>
              </w:rPr>
              <w:t>ie doskonalenia i podnoszenia kompetencji w zespole i zapewnienie środków w budżecie projektu na ten cel;</w:t>
            </w:r>
          </w:p>
          <w:p w:rsidR="00D72BA3" w:rsidRDefault="00675C8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ind w:left="714" w:hanging="3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Odbywały się regularne spotkania (stacjonarne i on-line), które pozwoliły na bieżącą wymianę wiedzy i doświadczeń oraz na efektywną współpracę i liczn</w:t>
            </w:r>
            <w:r>
              <w:rPr>
                <w:sz w:val="18"/>
                <w:szCs w:val="18"/>
              </w:rPr>
              <w:t>e konsultacje – pozytywne. Rekomendacja – dbałość o komunikację w projekcie i przepływ wiedzy w strukturze projektowej;</w:t>
            </w:r>
          </w:p>
          <w:p w:rsidR="00D72BA3" w:rsidRDefault="00675C84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60" w:line="259" w:lineRule="auto"/>
              <w:ind w:left="714" w:hanging="357"/>
              <w:jc w:val="both"/>
              <w:rPr>
                <w:i/>
              </w:rPr>
            </w:pPr>
            <w:r>
              <w:rPr>
                <w:sz w:val="18"/>
                <w:szCs w:val="18"/>
              </w:rPr>
              <w:t xml:space="preserve">Wymiana poglądów dot. rejestrów kwalifikacji w trakcie wizyt studyjnych – pozytywne. Rekomendacja - wspieranie działań umożliwiających </w:t>
            </w:r>
            <w:r>
              <w:rPr>
                <w:sz w:val="18"/>
                <w:szCs w:val="18"/>
              </w:rPr>
              <w:lastRenderedPageBreak/>
              <w:t>w</w:t>
            </w:r>
            <w:r>
              <w:rPr>
                <w:sz w:val="18"/>
                <w:szCs w:val="18"/>
              </w:rPr>
              <w:t>ymianę dobrych praktyk uczestników projektu między sobą i instytucjami – odpowiednikami w UE.</w:t>
            </w:r>
          </w:p>
        </w:tc>
      </w:tr>
    </w:tbl>
    <w:p w:rsidR="00D72BA3" w:rsidRDefault="00D72BA3"/>
    <w:sectPr w:rsidR="00D72BA3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67E8A"/>
    <w:multiLevelType w:val="multilevel"/>
    <w:tmpl w:val="7932E914"/>
    <w:lvl w:ilvl="0">
      <w:start w:val="1"/>
      <w:numFmt w:val="bullet"/>
      <w:lvlText w:val="●"/>
      <w:lvlJc w:val="left"/>
      <w:pPr>
        <w:ind w:left="1440" w:hanging="360"/>
      </w:pPr>
      <w:rPr>
        <w:color w:val="000000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115E6890"/>
    <w:multiLevelType w:val="multilevel"/>
    <w:tmpl w:val="5024C67A"/>
    <w:lvl w:ilvl="0">
      <w:start w:val="1"/>
      <w:numFmt w:val="decimal"/>
      <w:lvlText w:val="%1."/>
      <w:lvlJc w:val="left"/>
      <w:pPr>
        <w:ind w:left="1060" w:hanging="360"/>
      </w:p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19FB6217"/>
    <w:multiLevelType w:val="multilevel"/>
    <w:tmpl w:val="AFDAB4C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4D5D96"/>
    <w:multiLevelType w:val="multilevel"/>
    <w:tmpl w:val="33E8D7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7A649B1"/>
    <w:multiLevelType w:val="multilevel"/>
    <w:tmpl w:val="A9C2E0A8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5" w15:restartNumberingAfterBreak="0">
    <w:nsid w:val="39605440"/>
    <w:multiLevelType w:val="multilevel"/>
    <w:tmpl w:val="A844AC86"/>
    <w:lvl w:ilvl="0">
      <w:start w:val="1"/>
      <w:numFmt w:val="decimal"/>
      <w:lvlText w:val="%1."/>
      <w:lvlJc w:val="left"/>
      <w:pPr>
        <w:ind w:left="720" w:hanging="360"/>
      </w:pPr>
      <w:rPr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465E31"/>
    <w:multiLevelType w:val="multilevel"/>
    <w:tmpl w:val="6E0670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C84B56"/>
    <w:multiLevelType w:val="multilevel"/>
    <w:tmpl w:val="AA0C33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BA3"/>
    <w:rsid w:val="00675C84"/>
    <w:rsid w:val="00D72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7C49BB-5149-494D-B9E2-112CEB262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spacing w:before="360" w:after="120" w:line="240" w:lineRule="auto"/>
      <w:ind w:left="786" w:hanging="360"/>
      <w:outlineLvl w:val="0"/>
    </w:pPr>
    <w:rPr>
      <w:rFonts w:ascii="Arial" w:eastAsia="Arial" w:hAnsi="Arial" w:cs="Arial"/>
      <w:b/>
      <w:smallCaps/>
      <w:color w:val="000000"/>
      <w:sz w:val="24"/>
      <w:szCs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6E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D0AA2"/>
    <w:pPr>
      <w:spacing w:after="0" w:line="240" w:lineRule="auto"/>
    </w:pPr>
  </w:style>
  <w:style w:type="character" w:customStyle="1" w:styleId="cf01">
    <w:name w:val="cf01"/>
    <w:basedOn w:val="Domylnaczcionkaakapitu"/>
    <w:rsid w:val="005D0AA2"/>
    <w:rPr>
      <w:rFonts w:ascii="Segoe UI" w:hAnsi="Segoe UI" w:cs="Segoe UI" w:hint="default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2D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2D8D"/>
    <w:rPr>
      <w:b/>
      <w:bCs/>
      <w:sz w:val="20"/>
      <w:szCs w:val="20"/>
    </w:r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kwalifikacje.gov.pl/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walifikacje.gov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Gg/kr38TYy6Y1dfPZxRHfvYKdw==">CgMxLjAyCGguZ2pkZ3hzMgloLjFmb2I5dGUyD2lkLjd6b3dwaXQwbmY0ZDIJaC4yZXQ5MnAwMg5oLnM1dWtrcmRseDlwMjIOaC4xMDR1eGNwcDFyMnAyDmguYWRzaXdyYnV5NzA0MgloLjMwajB6bGwyCWguM3pueXNoNzgAaigKFHN1Z2dlc3QucGwyanV6ZGRodTN4EhBQYXVsaW5hIEFkYW1jenlrciExOGx1UXhldFRodkVUNWdWTm5SSjVqOHkwZk9McUJFWnU=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3636</Words>
  <Characters>21817</Characters>
  <Application>Microsoft Office Word</Application>
  <DocSecurity>0</DocSecurity>
  <Lines>181</Lines>
  <Paragraphs>50</Paragraphs>
  <ScaleCrop>false</ScaleCrop>
  <Company/>
  <LinksUpToDate>false</LinksUpToDate>
  <CharactersWithSpaces>25403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Gałązka Anna</dc:creator>
  <cp:lastModifiedBy>ZRK2-PA</cp:lastModifiedBy>
  <cp:revision>2</cp:revision>
  <dcterms:created xsi:type="dcterms:W3CDTF">2024-03-08T11:27:00Z</dcterms:created>
  <dcterms:modified xsi:type="dcterms:W3CDTF">2024-03-14T14:19:00Z</dcterms:modified>
</cp:coreProperties>
</file>