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F26" w:rsidRPr="00527B88" w:rsidRDefault="00E32D2C" w:rsidP="00B30F26">
      <w:pPr>
        <w:spacing w:line="360" w:lineRule="auto"/>
        <w:ind w:left="1416" w:right="-569" w:firstLine="708"/>
        <w:jc w:val="right"/>
        <w:rPr>
          <w:rFonts w:ascii="Calibri" w:hAnsi="Calibri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0CA3" wp14:editId="6F6DC405">
                <wp:simplePos x="0" y="0"/>
                <wp:positionH relativeFrom="margin">
                  <wp:posOffset>0</wp:posOffset>
                </wp:positionH>
                <wp:positionV relativeFrom="margin">
                  <wp:posOffset>275590</wp:posOffset>
                </wp:positionV>
                <wp:extent cx="2857500" cy="725170"/>
                <wp:effectExtent l="0" t="0" r="0" b="177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473" w:rsidRPr="005C626A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B228F" wp14:editId="3ED97774">
                                  <wp:extent cx="523875" cy="542925"/>
                                  <wp:effectExtent l="0" t="0" r="9525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473" w:rsidRPr="00A72E6F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8978E9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C0CA3" id="Prostokąt 2" o:spid="_x0000_s1026" style="position:absolute;left:0;text-align:left;margin-left:0;margin-top:21.7pt;width:225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" filled="f" fillcolor="#bbe0e3" stroked="f">
                <v:textbox inset="0,0,0,0">
                  <w:txbxContent>
                    <w:p w:rsidR="00385473" w:rsidRPr="005C626A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B228F" wp14:editId="3ED97774">
                            <wp:extent cx="523875" cy="542925"/>
                            <wp:effectExtent l="0" t="0" r="9525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473" w:rsidRPr="00A72E6F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8978E9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30F26" w:rsidRPr="00527B88">
        <w:rPr>
          <w:rFonts w:ascii="Calibri" w:hAnsi="Calibri"/>
        </w:rPr>
        <w:t>War</w:t>
      </w:r>
      <w:r w:rsidR="00B30F26">
        <w:rPr>
          <w:rFonts w:ascii="Calibri" w:hAnsi="Calibri"/>
        </w:rPr>
        <w:t xml:space="preserve">szawa, </w:t>
      </w:r>
      <w:r w:rsidR="00441C62">
        <w:rPr>
          <w:rFonts w:ascii="Calibri" w:hAnsi="Calibri"/>
        </w:rPr>
        <w:t>1</w:t>
      </w:r>
      <w:r w:rsidR="00B30F26">
        <w:rPr>
          <w:rFonts w:ascii="Calibri" w:hAnsi="Calibri"/>
        </w:rPr>
        <w:t xml:space="preserve"> </w:t>
      </w:r>
      <w:r w:rsidR="0025744A">
        <w:rPr>
          <w:rFonts w:ascii="Calibri" w:hAnsi="Calibri"/>
        </w:rPr>
        <w:t>lipca</w:t>
      </w:r>
      <w:r w:rsidR="00B30F26">
        <w:rPr>
          <w:rFonts w:ascii="Calibri" w:hAnsi="Calibri"/>
        </w:rPr>
        <w:t xml:space="preserve"> 2020</w:t>
      </w:r>
      <w:r w:rsidR="00B30F26" w:rsidRPr="00527B88">
        <w:rPr>
          <w:rFonts w:ascii="Calibri" w:hAnsi="Calibri"/>
        </w:rPr>
        <w:t xml:space="preserve"> r.</w:t>
      </w:r>
    </w:p>
    <w:p w:rsidR="00385473" w:rsidRDefault="00385473" w:rsidP="00B30F26">
      <w:pPr>
        <w:pStyle w:val="Nagwek2"/>
        <w:tabs>
          <w:tab w:val="left" w:pos="-180"/>
          <w:tab w:val="left" w:pos="9000"/>
        </w:tabs>
        <w:ind w:right="72"/>
        <w:jc w:val="right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CF610A" w:rsidRPr="00527B88" w:rsidRDefault="00385473" w:rsidP="00CF610A">
      <w:pPr>
        <w:spacing w:line="360" w:lineRule="auto"/>
        <w:ind w:left="1416" w:firstLine="708"/>
        <w:jc w:val="right"/>
        <w:rPr>
          <w:rFonts w:ascii="Calibri" w:hAnsi="Calibri"/>
        </w:rPr>
      </w:pP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</w:p>
    <w:p w:rsidR="00B30F26" w:rsidRDefault="00CF610A" w:rsidP="00CF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 w:rsidR="008A2FD6">
        <w:rPr>
          <w:rFonts w:ascii="Calibri" w:hAnsi="Calibri"/>
        </w:rPr>
        <w:t xml:space="preserve"> </w:t>
      </w:r>
      <w:r w:rsidR="00054024">
        <w:rPr>
          <w:rFonts w:ascii="Calibri" w:hAnsi="Calibri"/>
        </w:rPr>
        <w:t xml:space="preserve"> </w:t>
      </w:r>
      <w:r w:rsidR="00CB25B5">
        <w:rPr>
          <w:rFonts w:ascii="Calibri" w:hAnsi="Calibri"/>
        </w:rPr>
        <w:t xml:space="preserve"> </w:t>
      </w:r>
    </w:p>
    <w:p w:rsidR="00CF610A" w:rsidRPr="00527B88" w:rsidRDefault="009578F2" w:rsidP="00CF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CB25B5">
        <w:rPr>
          <w:rFonts w:ascii="Calibri" w:hAnsi="Calibri"/>
        </w:rPr>
        <w:t xml:space="preserve">  </w:t>
      </w:r>
      <w:r w:rsidR="00B30F26">
        <w:rPr>
          <w:rFonts w:ascii="Calibri" w:hAnsi="Calibri"/>
        </w:rPr>
        <w:t xml:space="preserve">               </w:t>
      </w:r>
      <w:r w:rsidR="00F80F81">
        <w:rPr>
          <w:rFonts w:ascii="Calibri" w:hAnsi="Calibri"/>
        </w:rPr>
        <w:t xml:space="preserve"> </w:t>
      </w:r>
      <w:bookmarkStart w:id="0" w:name="_GoBack"/>
      <w:r w:rsidR="00893D5F">
        <w:rPr>
          <w:rFonts w:ascii="Calibri" w:hAnsi="Calibri"/>
        </w:rPr>
        <w:t>WNP-I.4131.</w:t>
      </w:r>
      <w:r w:rsidR="008E1CF0">
        <w:rPr>
          <w:rFonts w:ascii="Calibri" w:hAnsi="Calibri"/>
        </w:rPr>
        <w:t>8</w:t>
      </w:r>
      <w:r w:rsidR="007A2AFB">
        <w:rPr>
          <w:rFonts w:ascii="Calibri" w:hAnsi="Calibri"/>
        </w:rPr>
        <w:t>5</w:t>
      </w:r>
      <w:r w:rsidR="00CF610A">
        <w:rPr>
          <w:rFonts w:ascii="Calibri" w:hAnsi="Calibri"/>
        </w:rPr>
        <w:t>.20</w:t>
      </w:r>
      <w:r w:rsidR="00B30F26">
        <w:rPr>
          <w:rFonts w:ascii="Calibri" w:hAnsi="Calibri"/>
        </w:rPr>
        <w:t>20</w:t>
      </w:r>
      <w:r w:rsidR="00CF610A">
        <w:rPr>
          <w:rFonts w:ascii="Calibri" w:hAnsi="Calibri"/>
        </w:rPr>
        <w:t>.MS</w:t>
      </w:r>
      <w:bookmarkEnd w:id="0"/>
    </w:p>
    <w:p w:rsidR="00CF610A" w:rsidRPr="00A14804" w:rsidRDefault="00CF610A" w:rsidP="00253ADA">
      <w:pPr>
        <w:autoSpaceDE w:val="0"/>
        <w:autoSpaceDN w:val="0"/>
        <w:adjustRightInd w:val="0"/>
        <w:ind w:left="4956"/>
        <w:rPr>
          <w:rFonts w:ascii="Calibri" w:hAnsi="Calibri"/>
          <w:b/>
        </w:rPr>
      </w:pPr>
      <w:r w:rsidRPr="00A14804">
        <w:rPr>
          <w:rFonts w:ascii="Calibri" w:hAnsi="Calibri"/>
          <w:b/>
        </w:rPr>
        <w:t xml:space="preserve">Rada </w:t>
      </w:r>
      <w:r w:rsidR="007A2AFB">
        <w:rPr>
          <w:rFonts w:ascii="Calibri" w:hAnsi="Calibri"/>
          <w:b/>
        </w:rPr>
        <w:t>Miejska w Błoniu</w:t>
      </w:r>
    </w:p>
    <w:p w:rsidR="00CF610A" w:rsidRPr="00A14804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</w:rPr>
      </w:pPr>
      <w:r w:rsidRPr="00A14804">
        <w:rPr>
          <w:rFonts w:ascii="Calibri" w:hAnsi="Calibri"/>
          <w:b/>
        </w:rPr>
        <w:t xml:space="preserve">ul. </w:t>
      </w:r>
      <w:r w:rsidR="007A2AFB">
        <w:rPr>
          <w:rFonts w:ascii="Calibri" w:hAnsi="Calibri"/>
          <w:b/>
        </w:rPr>
        <w:t>Rynek 6</w:t>
      </w:r>
    </w:p>
    <w:p w:rsidR="00CF610A" w:rsidRPr="00A14804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</w:rPr>
      </w:pPr>
      <w:r w:rsidRPr="00A14804">
        <w:rPr>
          <w:rFonts w:ascii="Calibri" w:hAnsi="Calibri"/>
          <w:b/>
        </w:rPr>
        <w:t>0</w:t>
      </w:r>
      <w:r w:rsidR="007A2AFB">
        <w:rPr>
          <w:rFonts w:ascii="Calibri" w:hAnsi="Calibri"/>
          <w:b/>
        </w:rPr>
        <w:t>5-870 Błonie</w:t>
      </w: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6376DD">
      <w:pPr>
        <w:pStyle w:val="Nagwek1"/>
        <w:spacing w:line="360" w:lineRule="auto"/>
        <w:ind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:rsidR="00CF610A" w:rsidRPr="002B42F1" w:rsidRDefault="00CF610A" w:rsidP="006376DD">
      <w:pPr>
        <w:pStyle w:val="Tekstpodstawowy"/>
        <w:ind w:left="-426" w:right="-471" w:firstLine="710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>Działając na podstawie art. 91 ust. 1 w związku z art. 86 ustawy z dni</w:t>
      </w:r>
      <w:r>
        <w:rPr>
          <w:rFonts w:ascii="Calibri" w:hAnsi="Calibri" w:cs="Calibri"/>
          <w:sz w:val="24"/>
        </w:rPr>
        <w:t xml:space="preserve">a 8 marca 1990 r.                         </w:t>
      </w:r>
      <w:r w:rsidR="006376DD">
        <w:rPr>
          <w:rFonts w:ascii="Calibri" w:hAnsi="Calibri" w:cs="Calibri"/>
          <w:sz w:val="24"/>
        </w:rPr>
        <w:t xml:space="preserve">   </w:t>
      </w:r>
      <w:r w:rsidRPr="002B42F1">
        <w:rPr>
          <w:rFonts w:ascii="Calibri" w:hAnsi="Calibri" w:cs="Calibri"/>
          <w:sz w:val="24"/>
        </w:rPr>
        <w:t>o</w:t>
      </w:r>
      <w:r w:rsidR="006376DD">
        <w:rPr>
          <w:rFonts w:ascii="Calibri" w:hAnsi="Calibri" w:cs="Calibri"/>
          <w:sz w:val="24"/>
        </w:rPr>
        <w:t xml:space="preserve"> </w:t>
      </w:r>
      <w:r w:rsidRPr="002B42F1">
        <w:rPr>
          <w:rFonts w:ascii="Calibri" w:hAnsi="Calibri" w:cs="Calibri"/>
          <w:sz w:val="24"/>
        </w:rPr>
        <w:t xml:space="preserve">samorządzie </w:t>
      </w:r>
      <w:r>
        <w:rPr>
          <w:rFonts w:ascii="Calibri" w:hAnsi="Calibri" w:cs="Calibri"/>
          <w:sz w:val="24"/>
        </w:rPr>
        <w:t>gminnym (Dz. U. z 20</w:t>
      </w:r>
      <w:r w:rsidR="00B30F26">
        <w:rPr>
          <w:rFonts w:ascii="Calibri" w:hAnsi="Calibri" w:cs="Calibri"/>
          <w:sz w:val="24"/>
        </w:rPr>
        <w:t>20</w:t>
      </w:r>
      <w:r>
        <w:rPr>
          <w:rFonts w:ascii="Calibri" w:hAnsi="Calibri" w:cs="Calibri"/>
          <w:sz w:val="24"/>
        </w:rPr>
        <w:t xml:space="preserve"> r. poz. </w:t>
      </w:r>
      <w:r w:rsidR="00B30F26">
        <w:rPr>
          <w:rFonts w:ascii="Calibri" w:hAnsi="Calibri" w:cs="Calibri"/>
          <w:sz w:val="24"/>
        </w:rPr>
        <w:t>713</w:t>
      </w:r>
      <w:r w:rsidRPr="002B42F1">
        <w:rPr>
          <w:rFonts w:ascii="Calibri" w:hAnsi="Calibri" w:cs="Calibri"/>
          <w:sz w:val="24"/>
        </w:rPr>
        <w:t>)</w:t>
      </w:r>
    </w:p>
    <w:p w:rsidR="00CF610A" w:rsidRPr="002B42F1" w:rsidRDefault="00CF610A" w:rsidP="00CF610A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  <w:r w:rsidRPr="002B42F1">
        <w:rPr>
          <w:rFonts w:ascii="Calibri" w:hAnsi="Calibri" w:cs="Calibri"/>
          <w:b/>
          <w:bCs/>
        </w:rPr>
        <w:t>stwierdzam nieważność</w:t>
      </w:r>
    </w:p>
    <w:p w:rsidR="00253ADA" w:rsidRPr="00174DAA" w:rsidRDefault="00CF610A" w:rsidP="00924310">
      <w:pPr>
        <w:pStyle w:val="Tekstpodstawowy"/>
        <w:ind w:left="-357" w:right="-471"/>
        <w:rPr>
          <w:rFonts w:ascii="Calibri" w:hAnsi="Calibri" w:cs="Calibri"/>
          <w:b/>
          <w:i/>
          <w:sz w:val="24"/>
        </w:rPr>
      </w:pPr>
      <w:r w:rsidRPr="002B42F1">
        <w:rPr>
          <w:rFonts w:ascii="Calibri" w:hAnsi="Calibri" w:cs="Calibri"/>
          <w:bCs/>
          <w:sz w:val="24"/>
        </w:rPr>
        <w:t xml:space="preserve">uchwały </w:t>
      </w:r>
      <w:r w:rsidR="00B30F26">
        <w:rPr>
          <w:rFonts w:ascii="Calibri" w:hAnsi="Calibri" w:cs="Calibri"/>
          <w:bCs/>
          <w:sz w:val="24"/>
        </w:rPr>
        <w:t xml:space="preserve">Nr </w:t>
      </w:r>
      <w:r w:rsidR="00384D1A">
        <w:rPr>
          <w:rFonts w:ascii="Calibri" w:hAnsi="Calibri" w:cs="Calibri"/>
          <w:bCs/>
          <w:sz w:val="24"/>
        </w:rPr>
        <w:t>XIX/184/20 Rady</w:t>
      </w:r>
      <w:r w:rsidR="00174DAA">
        <w:rPr>
          <w:rFonts w:ascii="Calibri" w:hAnsi="Calibri" w:cs="Calibri"/>
          <w:bCs/>
          <w:sz w:val="24"/>
        </w:rPr>
        <w:t xml:space="preserve"> Miejskiej w Błoniu z dnia 1 czerwca 2020 r. w sprawie </w:t>
      </w:r>
      <w:r w:rsidR="00174DAA">
        <w:rPr>
          <w:rFonts w:ascii="Calibri" w:hAnsi="Calibri" w:cs="Calibri"/>
          <w:bCs/>
          <w:i/>
          <w:sz w:val="24"/>
        </w:rPr>
        <w:t xml:space="preserve">zajęcia stanowiska i przekazania Ponaglenia z dnia 12 maja 2020 r. </w:t>
      </w:r>
    </w:p>
    <w:p w:rsidR="006376DD" w:rsidRDefault="006376DD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</w:rPr>
      </w:pPr>
    </w:p>
    <w:p w:rsidR="00032C85" w:rsidRDefault="00032C85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  <w:u w:val="single"/>
        </w:rPr>
      </w:pPr>
      <w:r w:rsidRPr="00B30F26">
        <w:rPr>
          <w:rFonts w:ascii="Calibri" w:hAnsi="Calibri" w:cs="Calibri"/>
          <w:b/>
          <w:sz w:val="24"/>
        </w:rPr>
        <w:t>Uzasadnienie</w:t>
      </w:r>
    </w:p>
    <w:p w:rsidR="00412AC3" w:rsidRDefault="00385473" w:rsidP="00174DAA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 w:rsidRPr="00CF610A">
        <w:rPr>
          <w:rFonts w:asciiTheme="minorHAnsi" w:hAnsiTheme="minorHAnsi" w:cstheme="minorHAnsi"/>
        </w:rPr>
        <w:t xml:space="preserve">Na sesji, która odbyła się </w:t>
      </w:r>
      <w:r w:rsidR="00174DAA">
        <w:rPr>
          <w:rFonts w:asciiTheme="minorHAnsi" w:hAnsiTheme="minorHAnsi" w:cstheme="minorHAnsi"/>
        </w:rPr>
        <w:t xml:space="preserve">1 czerwca 2020 r. Rada Miejska w Błoniu podjęła uchwałę  </w:t>
      </w:r>
      <w:r w:rsidR="006B0815">
        <w:rPr>
          <w:rFonts w:asciiTheme="minorHAnsi" w:hAnsiTheme="minorHAnsi" w:cstheme="minorHAnsi"/>
        </w:rPr>
        <w:t xml:space="preserve">                          Nr XIX/184/20</w:t>
      </w:r>
      <w:r w:rsidR="00174DAA">
        <w:rPr>
          <w:rFonts w:asciiTheme="minorHAnsi" w:hAnsiTheme="minorHAnsi" w:cstheme="minorHAnsi"/>
        </w:rPr>
        <w:t xml:space="preserve"> w przedmiocie </w:t>
      </w:r>
      <w:r w:rsidR="00174DAA" w:rsidRPr="00174DAA">
        <w:rPr>
          <w:rFonts w:asciiTheme="minorHAnsi" w:hAnsiTheme="minorHAnsi" w:cstheme="minorHAnsi"/>
          <w:i/>
        </w:rPr>
        <w:t>zajęcia stanowiska i przekazania Ponaglenia z dnia 12 maja 2020 r.</w:t>
      </w:r>
      <w:r w:rsidR="00174DAA">
        <w:rPr>
          <w:rFonts w:asciiTheme="minorHAnsi" w:hAnsiTheme="minorHAnsi" w:cstheme="minorHAnsi"/>
          <w:i/>
        </w:rPr>
        <w:t xml:space="preserve"> </w:t>
      </w:r>
      <w:r w:rsidR="00174DAA">
        <w:rPr>
          <w:rFonts w:asciiTheme="minorHAnsi" w:hAnsiTheme="minorHAnsi" w:cstheme="minorHAnsi"/>
        </w:rPr>
        <w:t>Uchwał</w:t>
      </w:r>
      <w:r w:rsidR="006B0815">
        <w:rPr>
          <w:rFonts w:asciiTheme="minorHAnsi" w:hAnsiTheme="minorHAnsi" w:cstheme="minorHAnsi"/>
        </w:rPr>
        <w:t>a</w:t>
      </w:r>
      <w:r w:rsidR="00174DAA">
        <w:rPr>
          <w:rFonts w:asciiTheme="minorHAnsi" w:hAnsiTheme="minorHAnsi" w:cstheme="minorHAnsi"/>
        </w:rPr>
        <w:t xml:space="preserve"> została do</w:t>
      </w:r>
      <w:r w:rsidR="00767329">
        <w:rPr>
          <w:rFonts w:asciiTheme="minorHAnsi" w:hAnsiTheme="minorHAnsi" w:cstheme="minorHAnsi"/>
        </w:rPr>
        <w:t>ręczona</w:t>
      </w:r>
      <w:r w:rsidR="00174DAA">
        <w:rPr>
          <w:rFonts w:asciiTheme="minorHAnsi" w:hAnsiTheme="minorHAnsi" w:cstheme="minorHAnsi"/>
        </w:rPr>
        <w:t xml:space="preserve"> organowi nadzoru 5 czerwca 2020 r. </w:t>
      </w:r>
    </w:p>
    <w:p w:rsidR="00D04527" w:rsidRDefault="00767329" w:rsidP="00D04527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Podstawę prawną przedmiotowej uchwały stanowią:</w:t>
      </w:r>
    </w:p>
    <w:p w:rsidR="00767329" w:rsidRPr="00E32D2C" w:rsidRDefault="00767329" w:rsidP="00E32D2C">
      <w:pPr>
        <w:pStyle w:val="Akapitzlist"/>
        <w:numPr>
          <w:ilvl w:val="0"/>
          <w:numId w:val="3"/>
        </w:numPr>
        <w:spacing w:line="360" w:lineRule="auto"/>
        <w:ind w:right="-569"/>
        <w:jc w:val="both"/>
        <w:rPr>
          <w:rFonts w:asciiTheme="minorHAnsi" w:eastAsia="Times New Roman" w:hAnsiTheme="minorHAnsi" w:cstheme="minorHAnsi"/>
          <w:i/>
        </w:rPr>
      </w:pPr>
      <w:r w:rsidRPr="00E32D2C">
        <w:rPr>
          <w:rFonts w:asciiTheme="minorHAnsi" w:hAnsiTheme="minorHAnsi" w:cstheme="minorHAnsi"/>
        </w:rPr>
        <w:t xml:space="preserve">- art. 229 pkt 1 ustawy z dnia 14 czerwca 1960 r. Kodeks postępowania administracyjnego </w:t>
      </w:r>
      <w:r w:rsidR="00E32D2C">
        <w:rPr>
          <w:rFonts w:asciiTheme="minorHAnsi" w:hAnsiTheme="minorHAnsi" w:cstheme="minorHAnsi"/>
        </w:rPr>
        <w:br/>
      </w:r>
      <w:r w:rsidRPr="00E32D2C">
        <w:rPr>
          <w:rFonts w:asciiTheme="minorHAnsi" w:hAnsiTheme="minorHAnsi" w:cstheme="minorHAnsi"/>
        </w:rPr>
        <w:t>(Dz. U. z 2020 r. poz. 256, z późn. zm.)</w:t>
      </w:r>
      <w:r w:rsidR="00D04527" w:rsidRPr="00E32D2C">
        <w:rPr>
          <w:rFonts w:asciiTheme="minorHAnsi" w:hAnsiTheme="minorHAnsi" w:cstheme="minorHAnsi"/>
        </w:rPr>
        <w:t xml:space="preserve">, zwanego dalej </w:t>
      </w:r>
      <w:r w:rsidR="00D04527" w:rsidRPr="00E32D2C">
        <w:rPr>
          <w:rFonts w:asciiTheme="minorHAnsi" w:hAnsiTheme="minorHAnsi" w:cstheme="minorHAnsi"/>
          <w:i/>
        </w:rPr>
        <w:t>kpa</w:t>
      </w:r>
      <w:r w:rsidR="00D04527" w:rsidRPr="00E32D2C">
        <w:rPr>
          <w:rFonts w:asciiTheme="minorHAnsi" w:hAnsiTheme="minorHAnsi" w:cstheme="minorHAnsi"/>
        </w:rPr>
        <w:t xml:space="preserve">, zgodnie z którym </w:t>
      </w:r>
      <w:r w:rsidR="00D04527" w:rsidRPr="00E32D2C">
        <w:rPr>
          <w:rFonts w:asciiTheme="minorHAnsi" w:hAnsiTheme="minorHAnsi" w:cstheme="minorHAnsi"/>
          <w:i/>
        </w:rPr>
        <w:t xml:space="preserve">Jeżeli przepisy szczególne nie określają innych organów właściwych do rozpatrywania skarg, jest organem właściwym do rozpatrzenia skargi dotyczącej zadań lub działalności </w:t>
      </w:r>
      <w:r w:rsidR="00D04527" w:rsidRPr="00E32D2C">
        <w:rPr>
          <w:rFonts w:asciiTheme="minorHAnsi" w:eastAsia="Times New Roman" w:hAnsiTheme="minorHAnsi" w:cstheme="minorHAnsi"/>
          <w:i/>
        </w:rPr>
        <w:t xml:space="preserve">rady gminy, rady powiatu </w:t>
      </w:r>
      <w:r w:rsidR="00E32D2C">
        <w:rPr>
          <w:rFonts w:asciiTheme="minorHAnsi" w:eastAsia="Times New Roman" w:hAnsiTheme="minorHAnsi" w:cstheme="minorHAnsi"/>
          <w:i/>
        </w:rPr>
        <w:br/>
      </w:r>
      <w:r w:rsidR="00D04527" w:rsidRPr="00E32D2C">
        <w:rPr>
          <w:rFonts w:asciiTheme="minorHAnsi" w:eastAsia="Times New Roman" w:hAnsiTheme="minorHAnsi" w:cstheme="minorHAnsi"/>
          <w:i/>
        </w:rPr>
        <w:t>i sejmiku województwa - wojewoda, (…);</w:t>
      </w:r>
    </w:p>
    <w:p w:rsidR="00D04527" w:rsidRPr="00E32D2C" w:rsidRDefault="00D04527" w:rsidP="00E32D2C">
      <w:pPr>
        <w:pStyle w:val="Akapitzlist"/>
        <w:numPr>
          <w:ilvl w:val="0"/>
          <w:numId w:val="3"/>
        </w:numPr>
        <w:spacing w:line="360" w:lineRule="auto"/>
        <w:ind w:right="-569"/>
        <w:jc w:val="both"/>
        <w:rPr>
          <w:rFonts w:asciiTheme="minorHAnsi" w:hAnsiTheme="minorHAnsi" w:cstheme="minorHAnsi"/>
          <w:i/>
        </w:rPr>
      </w:pPr>
      <w:r w:rsidRPr="00E32D2C">
        <w:rPr>
          <w:rFonts w:asciiTheme="minorHAnsi" w:hAnsiTheme="minorHAnsi" w:cstheme="minorHAnsi"/>
        </w:rPr>
        <w:t>- ar</w:t>
      </w:r>
      <w:r w:rsidR="006B0815" w:rsidRPr="00E32D2C">
        <w:rPr>
          <w:rFonts w:asciiTheme="minorHAnsi" w:hAnsiTheme="minorHAnsi" w:cstheme="minorHAnsi"/>
        </w:rPr>
        <w:t>t</w:t>
      </w:r>
      <w:r w:rsidRPr="00E32D2C">
        <w:rPr>
          <w:rFonts w:asciiTheme="minorHAnsi" w:hAnsiTheme="minorHAnsi" w:cstheme="minorHAnsi"/>
        </w:rPr>
        <w:t xml:space="preserve">. 37 § 4 </w:t>
      </w:r>
      <w:r w:rsidRPr="00E32D2C">
        <w:rPr>
          <w:rFonts w:asciiTheme="minorHAnsi" w:hAnsiTheme="minorHAnsi" w:cstheme="minorHAnsi"/>
          <w:i/>
        </w:rPr>
        <w:t>kpa</w:t>
      </w:r>
      <w:r w:rsidRPr="00E32D2C">
        <w:rPr>
          <w:rFonts w:asciiTheme="minorHAnsi" w:hAnsiTheme="minorHAnsi" w:cstheme="minorHAnsi"/>
        </w:rPr>
        <w:t xml:space="preserve">, zgodnie z którym </w:t>
      </w:r>
      <w:r w:rsidRPr="00E32D2C">
        <w:rPr>
          <w:rFonts w:asciiTheme="minorHAnsi" w:hAnsiTheme="minorHAnsi" w:cstheme="minorHAnsi"/>
          <w:i/>
        </w:rPr>
        <w:t xml:space="preserve">Organ prowadzący postępowanie jest obowiązany przekazać ponaglenie organowi wyższego stopnia bez zbędnej zwłoki, nie później niż w terminie siedmiu dni od dnia jego otrzymania. Organ przekazuje ponaglenie wraz z niezbędnymi odpisami akt sprawy. Odpisy mogą zostać sporządzone w formie dokumentu elektronicznego. Przekazując ponaglenie, organ jest obowiązany ustosunkować się do niego. </w:t>
      </w:r>
    </w:p>
    <w:p w:rsidR="000969A2" w:rsidRDefault="00EC666A" w:rsidP="000969A2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§ 37 ust. 3 </w:t>
      </w:r>
      <w:r w:rsidRPr="00EC666A">
        <w:rPr>
          <w:rFonts w:asciiTheme="minorHAnsi" w:hAnsiTheme="minorHAnsi" w:cstheme="minorHAnsi"/>
          <w:i/>
        </w:rPr>
        <w:t>kpa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ustawodawca wskazuje ponadto, iż ponaglenie wnosi się:</w:t>
      </w:r>
    </w:p>
    <w:p w:rsidR="00EC666A" w:rsidRPr="00E32D2C" w:rsidRDefault="00EC666A" w:rsidP="00E32D2C">
      <w:pPr>
        <w:pStyle w:val="Akapitzlist"/>
        <w:numPr>
          <w:ilvl w:val="0"/>
          <w:numId w:val="4"/>
        </w:numPr>
        <w:spacing w:line="360" w:lineRule="auto"/>
        <w:ind w:right="-569"/>
        <w:jc w:val="both"/>
        <w:rPr>
          <w:rFonts w:asciiTheme="minorHAnsi" w:hAnsiTheme="minorHAnsi" w:cstheme="minorHAnsi"/>
        </w:rPr>
      </w:pPr>
      <w:r w:rsidRPr="00E32D2C">
        <w:rPr>
          <w:rFonts w:asciiTheme="minorHAnsi" w:hAnsiTheme="minorHAnsi" w:cstheme="minorHAnsi"/>
        </w:rPr>
        <w:lastRenderedPageBreak/>
        <w:t>- do organu wyższego stopnia za pośrednictwem organu prowadzącego postępowanie ;</w:t>
      </w:r>
    </w:p>
    <w:p w:rsidR="00EC666A" w:rsidRPr="00E32D2C" w:rsidRDefault="00EC666A" w:rsidP="00E32D2C">
      <w:pPr>
        <w:pStyle w:val="Akapitzlist"/>
        <w:numPr>
          <w:ilvl w:val="0"/>
          <w:numId w:val="4"/>
        </w:numPr>
        <w:spacing w:line="360" w:lineRule="auto"/>
        <w:ind w:right="-569"/>
        <w:jc w:val="both"/>
        <w:rPr>
          <w:rFonts w:asciiTheme="minorHAnsi" w:hAnsiTheme="minorHAnsi" w:cstheme="minorHAnsi"/>
          <w:b/>
        </w:rPr>
      </w:pPr>
      <w:r w:rsidRPr="00E32D2C">
        <w:rPr>
          <w:rFonts w:asciiTheme="minorHAnsi" w:hAnsiTheme="minorHAnsi" w:cstheme="minorHAnsi"/>
        </w:rPr>
        <w:t xml:space="preserve">- </w:t>
      </w:r>
      <w:r w:rsidRPr="00E32D2C">
        <w:rPr>
          <w:rFonts w:asciiTheme="minorHAnsi" w:hAnsiTheme="minorHAnsi" w:cstheme="minorHAnsi"/>
          <w:b/>
        </w:rPr>
        <w:t>do organu prowadzącego postępowanie – jeżeli nie ma organu wyższego stopnia.</w:t>
      </w:r>
    </w:p>
    <w:p w:rsidR="00D04527" w:rsidRPr="00EC666A" w:rsidRDefault="006104D9" w:rsidP="00EC666A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A13509">
        <w:rPr>
          <w:rFonts w:asciiTheme="minorHAnsi" w:hAnsiTheme="minorHAnsi" w:cstheme="minorHAnsi"/>
        </w:rPr>
        <w:t xml:space="preserve"> treści</w:t>
      </w:r>
      <w:r>
        <w:rPr>
          <w:rFonts w:asciiTheme="minorHAnsi" w:hAnsiTheme="minorHAnsi" w:cstheme="minorHAnsi"/>
        </w:rPr>
        <w:t xml:space="preserve">  </w:t>
      </w:r>
      <w:r w:rsidR="003855EB">
        <w:rPr>
          <w:rFonts w:asciiTheme="minorHAnsi" w:hAnsiTheme="minorHAnsi" w:cstheme="minorHAnsi"/>
        </w:rPr>
        <w:t>stanowiska</w:t>
      </w:r>
      <w:r>
        <w:rPr>
          <w:rFonts w:asciiTheme="minorHAnsi" w:hAnsiTheme="minorHAnsi" w:cstheme="minorHAnsi"/>
        </w:rPr>
        <w:t xml:space="preserve"> </w:t>
      </w:r>
      <w:r w:rsidR="003855EB">
        <w:rPr>
          <w:rFonts w:asciiTheme="minorHAnsi" w:hAnsiTheme="minorHAnsi" w:cstheme="minorHAnsi"/>
        </w:rPr>
        <w:t>Rady Miejskiej w Błoniu, stanowiącego załącznik do przedmiotowej uchwały</w:t>
      </w:r>
      <w:r>
        <w:rPr>
          <w:rFonts w:asciiTheme="minorHAnsi" w:hAnsiTheme="minorHAnsi" w:cstheme="minorHAnsi"/>
        </w:rPr>
        <w:t xml:space="preserve"> wynika, iż</w:t>
      </w:r>
      <w:r w:rsidR="00527E0B">
        <w:rPr>
          <w:rFonts w:asciiTheme="minorHAnsi" w:hAnsiTheme="minorHAnsi" w:cstheme="minorHAnsi"/>
        </w:rPr>
        <w:t xml:space="preserve"> 13 maja 2020 r. Skarżący złożył do Rady Miejskiej w Błoniu </w:t>
      </w:r>
      <w:r w:rsidR="001C00B4">
        <w:rPr>
          <w:rFonts w:asciiTheme="minorHAnsi" w:hAnsiTheme="minorHAnsi" w:cstheme="minorHAnsi"/>
        </w:rPr>
        <w:t>ponaglenie datowane na 12 maja 2020 r., dotyczące bezczynności i przewlekłości w prowadzeniu postępowania.</w:t>
      </w:r>
      <w:r w:rsidR="00A13509">
        <w:rPr>
          <w:rFonts w:asciiTheme="minorHAnsi" w:hAnsiTheme="minorHAnsi" w:cstheme="minorHAnsi"/>
        </w:rPr>
        <w:t xml:space="preserve"> Komisja Skarg, Wniosków i Petycji pismem z 4 maja 2020 r. </w:t>
      </w:r>
      <w:r w:rsidR="003855EB">
        <w:rPr>
          <w:rFonts w:asciiTheme="minorHAnsi" w:hAnsiTheme="minorHAnsi" w:cstheme="minorHAnsi"/>
        </w:rPr>
        <w:t>poinformowała</w:t>
      </w:r>
      <w:r w:rsidR="00A13509">
        <w:rPr>
          <w:rFonts w:asciiTheme="minorHAnsi" w:hAnsiTheme="minorHAnsi" w:cstheme="minorHAnsi"/>
        </w:rPr>
        <w:t xml:space="preserve"> Skarżącego o terminie rozpatrzenia skargi</w:t>
      </w:r>
      <w:r w:rsidR="003855EB">
        <w:rPr>
          <w:rFonts w:asciiTheme="minorHAnsi" w:hAnsiTheme="minorHAnsi" w:cstheme="minorHAnsi"/>
        </w:rPr>
        <w:t xml:space="preserve"> z 17 kwietnia 2020 r., podając przyczynę braku</w:t>
      </w:r>
      <w:r w:rsidR="006B0815">
        <w:rPr>
          <w:rFonts w:asciiTheme="minorHAnsi" w:hAnsiTheme="minorHAnsi" w:cstheme="minorHAnsi"/>
        </w:rPr>
        <w:t xml:space="preserve"> jej</w:t>
      </w:r>
      <w:r w:rsidR="003855EB">
        <w:rPr>
          <w:rFonts w:asciiTheme="minorHAnsi" w:hAnsiTheme="minorHAnsi" w:cstheme="minorHAnsi"/>
        </w:rPr>
        <w:t xml:space="preserve"> rozpatrzenia. Ponadto, Rada Miejska w Błoniu skonstatowała, iż </w:t>
      </w:r>
      <w:r w:rsidR="003855EB">
        <w:rPr>
          <w:rFonts w:asciiTheme="minorHAnsi" w:hAnsiTheme="minorHAnsi" w:cstheme="minorHAnsi"/>
          <w:i/>
        </w:rPr>
        <w:t xml:space="preserve">(…) wszelkie terminy dotyczące rozpatrywania spraw zostały zawieszone w związku z panującą pandemią na terytorium Rzeczypospolitej Polskiej. </w:t>
      </w:r>
      <w:r w:rsidR="003855EB">
        <w:rPr>
          <w:rFonts w:asciiTheme="minorHAnsi" w:hAnsiTheme="minorHAnsi" w:cstheme="minorHAnsi"/>
        </w:rPr>
        <w:t xml:space="preserve">Wskazano również, iż </w:t>
      </w:r>
      <w:r w:rsidR="003855EB">
        <w:rPr>
          <w:rFonts w:asciiTheme="minorHAnsi" w:hAnsiTheme="minorHAnsi" w:cstheme="minorHAnsi"/>
          <w:i/>
        </w:rPr>
        <w:t xml:space="preserve">(…) przedmiotowa Skarga Pana Włodzimierza Słowińskiego z dnia 17 kwietnia 2020 r. została rozpatrzona na sesji w dniu 01 czerwca 2020 r. </w:t>
      </w:r>
    </w:p>
    <w:p w:rsidR="000969A2" w:rsidRDefault="000969A2" w:rsidP="000969A2">
      <w:pPr>
        <w:pStyle w:val="Tekstpodstawowy"/>
        <w:ind w:left="-426" w:right="-569" w:firstLine="852"/>
        <w:rPr>
          <w:rFonts w:ascii="Calibri" w:hAnsi="Calibri" w:cs="Calibri"/>
          <w:color w:val="000000"/>
          <w:sz w:val="24"/>
          <w:shd w:val="clear" w:color="auto" w:fill="FFFFFF"/>
        </w:rPr>
      </w:pPr>
      <w:r w:rsidRPr="000969A2">
        <w:rPr>
          <w:rFonts w:ascii="Calibri" w:hAnsi="Calibri" w:cs="Calibri"/>
          <w:color w:val="000000"/>
          <w:sz w:val="24"/>
          <w:shd w:val="clear" w:color="auto" w:fill="FFFFFF"/>
        </w:rPr>
        <w:t xml:space="preserve">Środek prawny, o którym mowa w art. 37 </w:t>
      </w:r>
      <w:r w:rsidRPr="000969A2">
        <w:rPr>
          <w:rFonts w:ascii="Calibri" w:hAnsi="Calibri" w:cs="Calibri"/>
          <w:i/>
          <w:color w:val="000000"/>
          <w:sz w:val="24"/>
          <w:shd w:val="clear" w:color="auto" w:fill="FFFFFF"/>
        </w:rPr>
        <w:t>kpa</w:t>
      </w:r>
      <w:r w:rsidRPr="000969A2">
        <w:rPr>
          <w:rFonts w:ascii="Calibri" w:hAnsi="Calibri" w:cs="Calibri"/>
          <w:color w:val="000000"/>
          <w:sz w:val="24"/>
          <w:shd w:val="clear" w:color="auto" w:fill="FFFFFF"/>
        </w:rPr>
        <w:t xml:space="preserve"> ma na celu sygnalizowanie organowi, który prowadzi postępowanie, iż organ ten narusza zasady związane z terminowym załatwianiem spraw. Nie należy traktować ponaglenia jako środka zaskarżenia w postępowaniu administracyjnym w ścisłym rozumieniu. Ponaglenie służy zatem wszczęciu postępowania incydentalnego, którego celem nie jest rozstrzygnięcie sprawy co do jej istoty. Zadaniem tegoż środka prawnego jest dokonanie weryfikacji przez organ wyższego stopnia</w:t>
      </w:r>
      <w:r w:rsidR="006B0815">
        <w:rPr>
          <w:rFonts w:ascii="Calibri" w:hAnsi="Calibri" w:cs="Calibri"/>
          <w:color w:val="000000"/>
          <w:sz w:val="24"/>
          <w:shd w:val="clear" w:color="auto" w:fill="FFFFFF"/>
        </w:rPr>
        <w:t xml:space="preserve">, lub jeżeli nie ma organu wyższego stopnia – </w:t>
      </w:r>
      <w:r w:rsidR="0025744A">
        <w:rPr>
          <w:rFonts w:ascii="Calibri" w:hAnsi="Calibri" w:cs="Calibri"/>
          <w:color w:val="000000"/>
          <w:sz w:val="24"/>
          <w:shd w:val="clear" w:color="auto" w:fill="FFFFFF"/>
        </w:rPr>
        <w:t>przez</w:t>
      </w:r>
      <w:r w:rsidR="006B0815">
        <w:rPr>
          <w:rFonts w:ascii="Calibri" w:hAnsi="Calibri" w:cs="Calibri"/>
          <w:color w:val="000000"/>
          <w:sz w:val="24"/>
          <w:shd w:val="clear" w:color="auto" w:fill="FFFFFF"/>
        </w:rPr>
        <w:t xml:space="preserve"> organ prowadząc</w:t>
      </w:r>
      <w:r w:rsidR="0025744A">
        <w:rPr>
          <w:rFonts w:ascii="Calibri" w:hAnsi="Calibri" w:cs="Calibri"/>
          <w:color w:val="000000"/>
          <w:sz w:val="24"/>
          <w:shd w:val="clear" w:color="auto" w:fill="FFFFFF"/>
        </w:rPr>
        <w:t>y</w:t>
      </w:r>
      <w:r w:rsidR="006B0815">
        <w:rPr>
          <w:rFonts w:ascii="Calibri" w:hAnsi="Calibri" w:cs="Calibri"/>
          <w:color w:val="000000"/>
          <w:sz w:val="24"/>
          <w:shd w:val="clear" w:color="auto" w:fill="FFFFFF"/>
        </w:rPr>
        <w:t xml:space="preserve"> postępowanie,</w:t>
      </w:r>
      <w:r w:rsidRPr="000969A2">
        <w:rPr>
          <w:rFonts w:ascii="Calibri" w:hAnsi="Calibri" w:cs="Calibri"/>
          <w:color w:val="000000"/>
          <w:sz w:val="24"/>
          <w:shd w:val="clear" w:color="auto" w:fill="FFFFFF"/>
        </w:rPr>
        <w:t xml:space="preserve"> czy stan bezczynności lub przewlekłości faktycznie nastąpił. </w:t>
      </w:r>
    </w:p>
    <w:p w:rsidR="000969A2" w:rsidRDefault="000969A2" w:rsidP="000969A2">
      <w:pPr>
        <w:pStyle w:val="Tekstpodstawowy"/>
        <w:ind w:left="-426" w:right="-569" w:firstLine="852"/>
        <w:rPr>
          <w:rFonts w:ascii="Calibri" w:hAnsi="Calibri" w:cs="Calibri"/>
          <w:color w:val="000000"/>
          <w:sz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hd w:val="clear" w:color="auto" w:fill="FFFFFF"/>
        </w:rPr>
        <w:t xml:space="preserve">W przedmiotowej sprawie mamy do czynienia z postępowaniem skargowym, które zgodnie          z przepisami </w:t>
      </w:r>
      <w:r w:rsidRPr="000969A2">
        <w:rPr>
          <w:rFonts w:ascii="Calibri" w:hAnsi="Calibri" w:cs="Calibri"/>
          <w:i/>
          <w:color w:val="000000"/>
          <w:sz w:val="24"/>
          <w:shd w:val="clear" w:color="auto" w:fill="FFFFFF"/>
        </w:rPr>
        <w:t>kpa</w:t>
      </w:r>
      <w:r>
        <w:rPr>
          <w:rFonts w:ascii="Calibri" w:hAnsi="Calibri" w:cs="Calibri"/>
          <w:color w:val="000000"/>
          <w:sz w:val="24"/>
          <w:shd w:val="clear" w:color="auto" w:fill="FFFFFF"/>
        </w:rPr>
        <w:t xml:space="preserve"> jest postępowaniem jednoinstancyjnym i nie ma w nim miejsca na środki zaskarżenia. </w:t>
      </w:r>
    </w:p>
    <w:p w:rsidR="000969A2" w:rsidRDefault="000969A2" w:rsidP="00EC666A">
      <w:pPr>
        <w:spacing w:line="360" w:lineRule="auto"/>
        <w:ind w:left="-426" w:right="-569" w:firstLine="900"/>
        <w:jc w:val="both"/>
        <w:rPr>
          <w:rFonts w:asciiTheme="minorHAnsi" w:hAnsiTheme="minorHAnsi" w:cstheme="minorHAnsi"/>
        </w:rPr>
      </w:pPr>
      <w:r w:rsidRPr="00EC666A">
        <w:rPr>
          <w:rFonts w:asciiTheme="minorHAnsi" w:hAnsiTheme="minorHAnsi" w:cstheme="minorHAnsi"/>
        </w:rPr>
        <w:t xml:space="preserve">Wojewoda nie jest w </w:t>
      </w:r>
      <w:r w:rsidR="00EC666A" w:rsidRPr="00EC666A">
        <w:rPr>
          <w:rFonts w:asciiTheme="minorHAnsi" w:hAnsiTheme="minorHAnsi" w:cstheme="minorHAnsi"/>
          <w:i/>
        </w:rPr>
        <w:t>kpa</w:t>
      </w:r>
      <w:r w:rsidRPr="00EC666A">
        <w:rPr>
          <w:rFonts w:asciiTheme="minorHAnsi" w:hAnsiTheme="minorHAnsi" w:cstheme="minorHAnsi"/>
        </w:rPr>
        <w:t xml:space="preserve"> wskazany jako organ wyższego stopnia w stosunku do jednostek samorządu terytorialnego</w:t>
      </w:r>
      <w:r w:rsidR="00EC666A">
        <w:rPr>
          <w:rFonts w:asciiTheme="minorHAnsi" w:hAnsiTheme="minorHAnsi" w:cstheme="minorHAnsi"/>
        </w:rPr>
        <w:t>, a zatem nie jest uprawniony do rozpatrzenia ponaglenia Skarżącego z 12 maja 2020 r.</w:t>
      </w:r>
    </w:p>
    <w:p w:rsidR="00EC666A" w:rsidRPr="00EC666A" w:rsidRDefault="00EC666A" w:rsidP="00EC666A">
      <w:pPr>
        <w:spacing w:line="360" w:lineRule="auto"/>
        <w:ind w:left="-426" w:right="-569" w:firstLine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Ponaglenie Skarżącego z 12 maja 2020 r. prawidłowo zostało skierowane do organu właściwego w sprawie, tj. Rady Miejskiej w Błoniu</w:t>
      </w:r>
      <w:r w:rsidR="008B7112">
        <w:rPr>
          <w:rFonts w:asciiTheme="minorHAnsi" w:hAnsiTheme="minorHAnsi" w:cstheme="minorHAnsi"/>
        </w:rPr>
        <w:t xml:space="preserve"> i to </w:t>
      </w:r>
      <w:r w:rsidR="009C20E6">
        <w:rPr>
          <w:rFonts w:asciiTheme="minorHAnsi" w:hAnsiTheme="minorHAnsi" w:cstheme="minorHAnsi"/>
        </w:rPr>
        <w:t>R</w:t>
      </w:r>
      <w:r w:rsidR="008B7112">
        <w:rPr>
          <w:rFonts w:asciiTheme="minorHAnsi" w:hAnsiTheme="minorHAnsi" w:cstheme="minorHAnsi"/>
        </w:rPr>
        <w:t xml:space="preserve">ada była właściwa do jego </w:t>
      </w:r>
      <w:r w:rsidR="009C20E6">
        <w:rPr>
          <w:rFonts w:asciiTheme="minorHAnsi" w:hAnsiTheme="minorHAnsi" w:cstheme="minorHAnsi"/>
        </w:rPr>
        <w:t>rozpoznania</w:t>
      </w:r>
      <w:r w:rsidR="008B7112">
        <w:rPr>
          <w:rFonts w:asciiTheme="minorHAnsi" w:hAnsiTheme="minorHAnsi" w:cstheme="minorHAnsi"/>
        </w:rPr>
        <w:t xml:space="preserve">. </w:t>
      </w:r>
    </w:p>
    <w:p w:rsidR="008B629A" w:rsidRDefault="00F717C7" w:rsidP="009C20E6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Biorąc pod uwagę powyższy wywód, zasadne jest stwierdzenie</w:t>
      </w:r>
      <w:r w:rsidR="008B629A">
        <w:rPr>
          <w:rFonts w:asciiTheme="minorHAnsi" w:hAnsiTheme="minorHAnsi" w:cstheme="minorHAnsi"/>
        </w:rPr>
        <w:t xml:space="preserve"> nieważności</w:t>
      </w:r>
      <w:r>
        <w:rPr>
          <w:rFonts w:asciiTheme="minorHAnsi" w:hAnsiTheme="minorHAnsi" w:cstheme="minorHAnsi"/>
        </w:rPr>
        <w:t xml:space="preserve"> przedmiotowej uchwały</w:t>
      </w:r>
      <w:r w:rsidR="008B629A">
        <w:rPr>
          <w:rFonts w:asciiTheme="minorHAnsi" w:hAnsiTheme="minorHAnsi" w:cstheme="minorHAnsi"/>
        </w:rPr>
        <w:t>, jako niezgodnej z przepisami prawa powszechnie obowiązującego.</w:t>
      </w:r>
    </w:p>
    <w:p w:rsidR="000E7E1F" w:rsidRDefault="00C46090" w:rsidP="00412AC3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 w:rsidRPr="00325CA0">
        <w:rPr>
          <w:rFonts w:asciiTheme="minorHAnsi" w:hAnsiTheme="minorHAnsi" w:cstheme="minorHAnsi"/>
        </w:rPr>
        <w:t>Stwierdzenie nieważności uchwały, wstrzymuje jej wykonanie</w:t>
      </w:r>
      <w:r w:rsidR="00FD29B2">
        <w:rPr>
          <w:rFonts w:asciiTheme="minorHAnsi" w:hAnsiTheme="minorHAnsi" w:cstheme="minorHAnsi"/>
        </w:rPr>
        <w:t xml:space="preserve"> </w:t>
      </w:r>
      <w:r w:rsidRPr="00325CA0">
        <w:rPr>
          <w:rFonts w:asciiTheme="minorHAnsi" w:hAnsiTheme="minorHAnsi" w:cstheme="minorHAnsi"/>
        </w:rPr>
        <w:t>z mocy prawa, z dniem</w:t>
      </w:r>
      <w:r w:rsidR="00B9304B" w:rsidRPr="00325CA0">
        <w:rPr>
          <w:rFonts w:asciiTheme="minorHAnsi" w:hAnsiTheme="minorHAnsi" w:cstheme="minorHAnsi"/>
        </w:rPr>
        <w:t xml:space="preserve"> jego</w:t>
      </w:r>
      <w:r w:rsidRPr="00325CA0">
        <w:rPr>
          <w:rFonts w:asciiTheme="minorHAnsi" w:hAnsiTheme="minorHAnsi" w:cstheme="minorHAnsi"/>
        </w:rPr>
        <w:t xml:space="preserve"> doręczenia</w:t>
      </w:r>
      <w:r w:rsidR="00B9304B" w:rsidRPr="00325CA0">
        <w:rPr>
          <w:rFonts w:asciiTheme="minorHAnsi" w:hAnsiTheme="minorHAnsi" w:cstheme="minorHAnsi"/>
        </w:rPr>
        <w:t>.</w:t>
      </w:r>
      <w:r w:rsidRPr="00325CA0">
        <w:rPr>
          <w:rFonts w:asciiTheme="minorHAnsi" w:hAnsiTheme="minorHAnsi" w:cstheme="minorHAnsi"/>
        </w:rPr>
        <w:t xml:space="preserve"> </w:t>
      </w:r>
    </w:p>
    <w:p w:rsidR="0043566C" w:rsidRPr="00325CA0" w:rsidRDefault="00C46090" w:rsidP="00E32D2C">
      <w:pPr>
        <w:pStyle w:val="Default"/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 w:rsidRPr="00325CA0">
        <w:rPr>
          <w:rFonts w:asciiTheme="minorHAnsi" w:hAnsiTheme="minorHAnsi" w:cstheme="minorHAnsi"/>
        </w:rPr>
        <w:t xml:space="preserve">Na niniejsze rozstrzygnięcie nadzorcze </w:t>
      </w:r>
      <w:r w:rsidR="0025744A">
        <w:rPr>
          <w:rFonts w:asciiTheme="minorHAnsi" w:hAnsiTheme="minorHAnsi" w:cstheme="minorHAnsi"/>
        </w:rPr>
        <w:t>Gminie</w:t>
      </w:r>
      <w:r w:rsidRPr="00325CA0">
        <w:rPr>
          <w:rFonts w:asciiTheme="minorHAnsi" w:hAnsiTheme="minorHAnsi" w:cstheme="minorHAnsi"/>
        </w:rPr>
        <w:t xml:space="preserve"> przysługuje skarga do Wojewódzkiego Sądu Administracyjnego w Warszawie w terminie 30 dni od daty doręczenia, wnoszona za pośrednictwem organu, który skarżone orzeczenie wydał.</w:t>
      </w:r>
    </w:p>
    <w:sectPr w:rsidR="0043566C" w:rsidRPr="00325CA0" w:rsidSect="00B24711">
      <w:footerReference w:type="default" r:id="rId10"/>
      <w:footerReference w:type="firs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DDD" w:rsidRDefault="00D54DDD" w:rsidP="00574852">
      <w:r>
        <w:separator/>
      </w:r>
    </w:p>
  </w:endnote>
  <w:endnote w:type="continuationSeparator" w:id="0">
    <w:p w:rsidR="00D54DDD" w:rsidRDefault="00D54DDD" w:rsidP="0057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9340577"/>
      <w:docPartObj>
        <w:docPartGallery w:val="Page Numbers (Bottom of Page)"/>
        <w:docPartUnique/>
      </w:docPartObj>
    </w:sdtPr>
    <w:sdtEndPr/>
    <w:sdtContent>
      <w:p w:rsidR="00574852" w:rsidRDefault="005748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D2C">
          <w:rPr>
            <w:noProof/>
          </w:rPr>
          <w:t>2</w:t>
        </w:r>
        <w:r>
          <w:fldChar w:fldCharType="end"/>
        </w:r>
      </w:p>
    </w:sdtContent>
  </w:sdt>
  <w:p w:rsidR="00813AAE" w:rsidRDefault="00D54DDD" w:rsidP="00057E6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E63" w:rsidRDefault="00D54DDD">
    <w:pPr>
      <w:pStyle w:val="Stopka"/>
      <w:jc w:val="right"/>
    </w:pPr>
  </w:p>
  <w:p w:rsidR="00813AAE" w:rsidRDefault="00D54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DDD" w:rsidRDefault="00D54DDD" w:rsidP="00574852">
      <w:r>
        <w:separator/>
      </w:r>
    </w:p>
  </w:footnote>
  <w:footnote w:type="continuationSeparator" w:id="0">
    <w:p w:rsidR="00D54DDD" w:rsidRDefault="00D54DDD" w:rsidP="0057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1BF4"/>
    <w:multiLevelType w:val="hybridMultilevel"/>
    <w:tmpl w:val="42AC20D6"/>
    <w:lvl w:ilvl="0" w:tplc="7E5CF92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36124F0"/>
    <w:multiLevelType w:val="hybridMultilevel"/>
    <w:tmpl w:val="99BC69AC"/>
    <w:lvl w:ilvl="0" w:tplc="7E5CF92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2721F8D"/>
    <w:multiLevelType w:val="hybridMultilevel"/>
    <w:tmpl w:val="C790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42AE7"/>
    <w:multiLevelType w:val="hybridMultilevel"/>
    <w:tmpl w:val="37562564"/>
    <w:lvl w:ilvl="0" w:tplc="7E5CF92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0C"/>
    <w:rsid w:val="00005F81"/>
    <w:rsid w:val="000074EF"/>
    <w:rsid w:val="00007B24"/>
    <w:rsid w:val="00011227"/>
    <w:rsid w:val="00011D22"/>
    <w:rsid w:val="00012FCC"/>
    <w:rsid w:val="00032C85"/>
    <w:rsid w:val="00037529"/>
    <w:rsid w:val="00054024"/>
    <w:rsid w:val="00055B7A"/>
    <w:rsid w:val="0008575E"/>
    <w:rsid w:val="000969A2"/>
    <w:rsid w:val="00097B0C"/>
    <w:rsid w:val="000A4664"/>
    <w:rsid w:val="000A49B9"/>
    <w:rsid w:val="000B4C1C"/>
    <w:rsid w:val="000D082E"/>
    <w:rsid w:val="000D3672"/>
    <w:rsid w:val="000E3CD7"/>
    <w:rsid w:val="000E7E1F"/>
    <w:rsid w:val="000F4656"/>
    <w:rsid w:val="00110B81"/>
    <w:rsid w:val="00115AAF"/>
    <w:rsid w:val="00133F18"/>
    <w:rsid w:val="001373A8"/>
    <w:rsid w:val="00141585"/>
    <w:rsid w:val="00164BDF"/>
    <w:rsid w:val="00174DAA"/>
    <w:rsid w:val="00181607"/>
    <w:rsid w:val="00191252"/>
    <w:rsid w:val="001958D0"/>
    <w:rsid w:val="001C00B4"/>
    <w:rsid w:val="001C732F"/>
    <w:rsid w:val="001F51F2"/>
    <w:rsid w:val="001F5785"/>
    <w:rsid w:val="001F57A4"/>
    <w:rsid w:val="0022111A"/>
    <w:rsid w:val="002354B1"/>
    <w:rsid w:val="002421C2"/>
    <w:rsid w:val="0024303C"/>
    <w:rsid w:val="00245E8B"/>
    <w:rsid w:val="00250C44"/>
    <w:rsid w:val="00252499"/>
    <w:rsid w:val="00253ADA"/>
    <w:rsid w:val="0025744A"/>
    <w:rsid w:val="002651D9"/>
    <w:rsid w:val="00270416"/>
    <w:rsid w:val="00271185"/>
    <w:rsid w:val="002809C3"/>
    <w:rsid w:val="002D5413"/>
    <w:rsid w:val="002F10AD"/>
    <w:rsid w:val="002F1993"/>
    <w:rsid w:val="002F4FDD"/>
    <w:rsid w:val="00305813"/>
    <w:rsid w:val="00312E17"/>
    <w:rsid w:val="00313C01"/>
    <w:rsid w:val="00313D00"/>
    <w:rsid w:val="00321024"/>
    <w:rsid w:val="00325CA0"/>
    <w:rsid w:val="00326F06"/>
    <w:rsid w:val="00334403"/>
    <w:rsid w:val="00342DC1"/>
    <w:rsid w:val="00350DB1"/>
    <w:rsid w:val="00357B2F"/>
    <w:rsid w:val="003665AF"/>
    <w:rsid w:val="0037357D"/>
    <w:rsid w:val="00384D1A"/>
    <w:rsid w:val="00385473"/>
    <w:rsid w:val="003855EB"/>
    <w:rsid w:val="00385C14"/>
    <w:rsid w:val="003A2860"/>
    <w:rsid w:val="003A68A4"/>
    <w:rsid w:val="003C55A2"/>
    <w:rsid w:val="003D1D96"/>
    <w:rsid w:val="003F0C91"/>
    <w:rsid w:val="004047F8"/>
    <w:rsid w:val="00412AC3"/>
    <w:rsid w:val="00420BF1"/>
    <w:rsid w:val="00421BCA"/>
    <w:rsid w:val="0043566C"/>
    <w:rsid w:val="00441C62"/>
    <w:rsid w:val="0045294E"/>
    <w:rsid w:val="0047561E"/>
    <w:rsid w:val="00506754"/>
    <w:rsid w:val="00516833"/>
    <w:rsid w:val="00525BB8"/>
    <w:rsid w:val="00527E0B"/>
    <w:rsid w:val="005328AC"/>
    <w:rsid w:val="00541192"/>
    <w:rsid w:val="005417E3"/>
    <w:rsid w:val="00542C54"/>
    <w:rsid w:val="00553418"/>
    <w:rsid w:val="00555A86"/>
    <w:rsid w:val="00574852"/>
    <w:rsid w:val="00574B93"/>
    <w:rsid w:val="00590A66"/>
    <w:rsid w:val="005A096F"/>
    <w:rsid w:val="005B1F0D"/>
    <w:rsid w:val="005B2ED2"/>
    <w:rsid w:val="005B5E49"/>
    <w:rsid w:val="005D1BC7"/>
    <w:rsid w:val="005D4B46"/>
    <w:rsid w:val="005E3DC2"/>
    <w:rsid w:val="005F611B"/>
    <w:rsid w:val="00603502"/>
    <w:rsid w:val="006104D9"/>
    <w:rsid w:val="006376DD"/>
    <w:rsid w:val="006607C8"/>
    <w:rsid w:val="00696AB3"/>
    <w:rsid w:val="006B0815"/>
    <w:rsid w:val="006B74E3"/>
    <w:rsid w:val="00724BF3"/>
    <w:rsid w:val="007333BF"/>
    <w:rsid w:val="00736960"/>
    <w:rsid w:val="00740C18"/>
    <w:rsid w:val="00742130"/>
    <w:rsid w:val="00742F40"/>
    <w:rsid w:val="00744925"/>
    <w:rsid w:val="00747D7E"/>
    <w:rsid w:val="00767329"/>
    <w:rsid w:val="007709DB"/>
    <w:rsid w:val="00785C16"/>
    <w:rsid w:val="007934F2"/>
    <w:rsid w:val="007A2AFB"/>
    <w:rsid w:val="007A5088"/>
    <w:rsid w:val="007C5B07"/>
    <w:rsid w:val="0080409C"/>
    <w:rsid w:val="00816CCF"/>
    <w:rsid w:val="00820F45"/>
    <w:rsid w:val="00835F34"/>
    <w:rsid w:val="00847CC4"/>
    <w:rsid w:val="008572F0"/>
    <w:rsid w:val="0086292A"/>
    <w:rsid w:val="00893D5F"/>
    <w:rsid w:val="008A2FD6"/>
    <w:rsid w:val="008A53CD"/>
    <w:rsid w:val="008B629A"/>
    <w:rsid w:val="008B7112"/>
    <w:rsid w:val="008C57B5"/>
    <w:rsid w:val="008D11C3"/>
    <w:rsid w:val="008E1CF0"/>
    <w:rsid w:val="008E2280"/>
    <w:rsid w:val="008E4BA9"/>
    <w:rsid w:val="008E63AF"/>
    <w:rsid w:val="008F3A6A"/>
    <w:rsid w:val="00907266"/>
    <w:rsid w:val="0091591E"/>
    <w:rsid w:val="00924310"/>
    <w:rsid w:val="009462EF"/>
    <w:rsid w:val="0095264B"/>
    <w:rsid w:val="009578F2"/>
    <w:rsid w:val="00963C8F"/>
    <w:rsid w:val="00964F92"/>
    <w:rsid w:val="009708E9"/>
    <w:rsid w:val="00993DAD"/>
    <w:rsid w:val="009C20E6"/>
    <w:rsid w:val="009C5DD2"/>
    <w:rsid w:val="009E46C4"/>
    <w:rsid w:val="00A02313"/>
    <w:rsid w:val="00A13509"/>
    <w:rsid w:val="00A14804"/>
    <w:rsid w:val="00A30A69"/>
    <w:rsid w:val="00A5736D"/>
    <w:rsid w:val="00A63BEF"/>
    <w:rsid w:val="00A65430"/>
    <w:rsid w:val="00A65F46"/>
    <w:rsid w:val="00A740DF"/>
    <w:rsid w:val="00A759F9"/>
    <w:rsid w:val="00A77689"/>
    <w:rsid w:val="00A8062E"/>
    <w:rsid w:val="00A81B8B"/>
    <w:rsid w:val="00A876AF"/>
    <w:rsid w:val="00A951D9"/>
    <w:rsid w:val="00AA3C78"/>
    <w:rsid w:val="00AB1FD8"/>
    <w:rsid w:val="00AE1241"/>
    <w:rsid w:val="00AF1497"/>
    <w:rsid w:val="00AF48BB"/>
    <w:rsid w:val="00B049A1"/>
    <w:rsid w:val="00B04ACC"/>
    <w:rsid w:val="00B0543D"/>
    <w:rsid w:val="00B13ECD"/>
    <w:rsid w:val="00B15F24"/>
    <w:rsid w:val="00B30558"/>
    <w:rsid w:val="00B30F26"/>
    <w:rsid w:val="00B53E36"/>
    <w:rsid w:val="00B5701D"/>
    <w:rsid w:val="00B83E03"/>
    <w:rsid w:val="00B84365"/>
    <w:rsid w:val="00B9304B"/>
    <w:rsid w:val="00BB6616"/>
    <w:rsid w:val="00BB74EC"/>
    <w:rsid w:val="00BC4792"/>
    <w:rsid w:val="00BC6092"/>
    <w:rsid w:val="00BD0F76"/>
    <w:rsid w:val="00BD5870"/>
    <w:rsid w:val="00BE09AC"/>
    <w:rsid w:val="00C12414"/>
    <w:rsid w:val="00C321E3"/>
    <w:rsid w:val="00C46090"/>
    <w:rsid w:val="00C578B7"/>
    <w:rsid w:val="00C62872"/>
    <w:rsid w:val="00C80F81"/>
    <w:rsid w:val="00C81696"/>
    <w:rsid w:val="00C82CE1"/>
    <w:rsid w:val="00CB25B5"/>
    <w:rsid w:val="00CD281B"/>
    <w:rsid w:val="00CE4ECF"/>
    <w:rsid w:val="00CF3C52"/>
    <w:rsid w:val="00CF610A"/>
    <w:rsid w:val="00D03A80"/>
    <w:rsid w:val="00D04527"/>
    <w:rsid w:val="00D06D15"/>
    <w:rsid w:val="00D143D8"/>
    <w:rsid w:val="00D17451"/>
    <w:rsid w:val="00D215F1"/>
    <w:rsid w:val="00D47C62"/>
    <w:rsid w:val="00D52642"/>
    <w:rsid w:val="00D54DDD"/>
    <w:rsid w:val="00D801E4"/>
    <w:rsid w:val="00DA4DA9"/>
    <w:rsid w:val="00DB1006"/>
    <w:rsid w:val="00DD5772"/>
    <w:rsid w:val="00E039A0"/>
    <w:rsid w:val="00E042D8"/>
    <w:rsid w:val="00E0640F"/>
    <w:rsid w:val="00E06D48"/>
    <w:rsid w:val="00E30E0F"/>
    <w:rsid w:val="00E32D2C"/>
    <w:rsid w:val="00E414C8"/>
    <w:rsid w:val="00E8362D"/>
    <w:rsid w:val="00EA073C"/>
    <w:rsid w:val="00EB56E8"/>
    <w:rsid w:val="00EC666A"/>
    <w:rsid w:val="00ED26BA"/>
    <w:rsid w:val="00EE2277"/>
    <w:rsid w:val="00EF7BFA"/>
    <w:rsid w:val="00F02365"/>
    <w:rsid w:val="00F051F2"/>
    <w:rsid w:val="00F42E24"/>
    <w:rsid w:val="00F4783D"/>
    <w:rsid w:val="00F50AAA"/>
    <w:rsid w:val="00F542E9"/>
    <w:rsid w:val="00F67624"/>
    <w:rsid w:val="00F717C7"/>
    <w:rsid w:val="00F73110"/>
    <w:rsid w:val="00F776A3"/>
    <w:rsid w:val="00F80F81"/>
    <w:rsid w:val="00F94415"/>
    <w:rsid w:val="00F95CF2"/>
    <w:rsid w:val="00FB1CC9"/>
    <w:rsid w:val="00FC48E8"/>
    <w:rsid w:val="00FC680B"/>
    <w:rsid w:val="00FD29B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7115"/>
  <w15:docId w15:val="{C8A134EB-61C7-42C4-98FC-E9FEC379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473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85473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5473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character" w:customStyle="1" w:styleId="Teksttreci4">
    <w:name w:val="Tekst treści (4)_"/>
    <w:link w:val="Teksttreci40"/>
    <w:locked/>
    <w:rsid w:val="0038547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85473"/>
    <w:pPr>
      <w:widowControl w:val="0"/>
      <w:shd w:val="clear" w:color="auto" w:fill="FFFFFF"/>
      <w:spacing w:line="338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rsid w:val="0038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73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85473"/>
    <w:pPr>
      <w:spacing w:before="100" w:beforeAutospacing="1" w:after="100" w:afterAutospacing="1"/>
    </w:pPr>
    <w:rPr>
      <w:rFonts w:eastAsia="Times New Roman"/>
    </w:rPr>
  </w:style>
  <w:style w:type="character" w:customStyle="1" w:styleId="object2">
    <w:name w:val="object2"/>
    <w:rsid w:val="00385473"/>
    <w:rPr>
      <w:strike w:val="0"/>
      <w:dstrike w:val="0"/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3"/>
    <w:rPr>
      <w:rFonts w:ascii="Tahoma" w:eastAsia="MS Mincho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85473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547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">
    <w:name w:val="highlight"/>
    <w:basedOn w:val="Domylnaczcionkaakapitu"/>
    <w:rsid w:val="00385473"/>
  </w:style>
  <w:style w:type="paragraph" w:styleId="Nagwek">
    <w:name w:val="header"/>
    <w:basedOn w:val="Normalny"/>
    <w:link w:val="NagwekZnak"/>
    <w:uiPriority w:val="99"/>
    <w:unhideWhenUsed/>
    <w:rsid w:val="00574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852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naglowekcenter">
    <w:name w:val="naglowek_center"/>
    <w:basedOn w:val="Normalny"/>
    <w:rsid w:val="0043566C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F61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1252"/>
    <w:rPr>
      <w:color w:val="0000FF"/>
      <w:u w:val="single"/>
    </w:rPr>
  </w:style>
  <w:style w:type="paragraph" w:customStyle="1" w:styleId="Default">
    <w:name w:val="Default"/>
    <w:rsid w:val="00253ADA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4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41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4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B02F-5689-4BCE-BD90-9CF98960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Koleński</dc:creator>
  <cp:keywords/>
  <dc:description/>
  <cp:lastModifiedBy>Beata Darnowska</cp:lastModifiedBy>
  <cp:revision>2</cp:revision>
  <cp:lastPrinted>2020-06-29T11:49:00Z</cp:lastPrinted>
  <dcterms:created xsi:type="dcterms:W3CDTF">2020-07-01T11:59:00Z</dcterms:created>
  <dcterms:modified xsi:type="dcterms:W3CDTF">2020-07-01T11:59:00Z</dcterms:modified>
</cp:coreProperties>
</file>