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550C9F" w14:textId="77777777" w:rsidR="004E0D83" w:rsidRPr="00EF0D5A" w:rsidRDefault="00DE5867" w:rsidP="00D513C1">
      <w:pPr>
        <w:spacing w:after="0" w:line="240" w:lineRule="auto"/>
        <w:jc w:val="center"/>
        <w:rPr>
          <w:rFonts w:asciiTheme="minorHAnsi" w:hAnsiTheme="minorHAnsi" w:cstheme="minorHAnsi"/>
          <w:b/>
        </w:rPr>
      </w:pPr>
      <w:r w:rsidRPr="00EF0D5A">
        <w:rPr>
          <w:rFonts w:asciiTheme="minorHAnsi" w:hAnsiTheme="minorHAnsi" w:cstheme="minorHAnsi"/>
          <w:b/>
        </w:rPr>
        <w:t>Zestawienie uwag</w:t>
      </w:r>
    </w:p>
    <w:p w14:paraId="7FEFE05D" w14:textId="77777777" w:rsidR="00B3646E" w:rsidRDefault="004E0D83" w:rsidP="00D513C1">
      <w:pPr>
        <w:spacing w:after="0" w:line="240" w:lineRule="auto"/>
        <w:jc w:val="center"/>
        <w:rPr>
          <w:rFonts w:asciiTheme="minorHAnsi" w:hAnsiTheme="minorHAnsi" w:cstheme="minorHAnsi"/>
          <w:b/>
        </w:rPr>
      </w:pPr>
      <w:r w:rsidRPr="00EF0D5A">
        <w:rPr>
          <w:rFonts w:asciiTheme="minorHAnsi" w:hAnsiTheme="minorHAnsi" w:cstheme="minorHAnsi"/>
          <w:b/>
        </w:rPr>
        <w:t xml:space="preserve">zgłoszonych </w:t>
      </w:r>
      <w:r w:rsidR="00AD5F17" w:rsidRPr="00EF0D5A">
        <w:rPr>
          <w:rFonts w:asciiTheme="minorHAnsi" w:hAnsiTheme="minorHAnsi" w:cstheme="minorHAnsi"/>
          <w:b/>
        </w:rPr>
        <w:t xml:space="preserve">do </w:t>
      </w:r>
      <w:r w:rsidR="00D26F71" w:rsidRPr="00EF0D5A">
        <w:rPr>
          <w:rFonts w:asciiTheme="minorHAnsi" w:hAnsiTheme="minorHAnsi" w:cstheme="minorHAnsi"/>
          <w:b/>
        </w:rPr>
        <w:t>projekt</w:t>
      </w:r>
      <w:r w:rsidR="00EF0D5A">
        <w:rPr>
          <w:rFonts w:asciiTheme="minorHAnsi" w:hAnsiTheme="minorHAnsi" w:cstheme="minorHAnsi"/>
          <w:b/>
        </w:rPr>
        <w:t>u</w:t>
      </w:r>
      <w:r w:rsidR="00D26F71" w:rsidRPr="00EF0D5A">
        <w:rPr>
          <w:rFonts w:asciiTheme="minorHAnsi" w:hAnsiTheme="minorHAnsi" w:cstheme="minorHAnsi"/>
          <w:b/>
        </w:rPr>
        <w:t xml:space="preserve"> ustawy o zmianie ustawy o informatyzacji działalności podmiotów</w:t>
      </w:r>
      <w:r w:rsidR="00EF0D5A">
        <w:rPr>
          <w:rFonts w:asciiTheme="minorHAnsi" w:hAnsiTheme="minorHAnsi" w:cstheme="minorHAnsi"/>
          <w:b/>
        </w:rPr>
        <w:t xml:space="preserve"> </w:t>
      </w:r>
      <w:r w:rsidR="00D26F71" w:rsidRPr="00EF0D5A">
        <w:rPr>
          <w:rFonts w:asciiTheme="minorHAnsi" w:hAnsiTheme="minorHAnsi" w:cstheme="minorHAnsi"/>
          <w:b/>
        </w:rPr>
        <w:t>realizujących zadania publiczne</w:t>
      </w:r>
    </w:p>
    <w:p w14:paraId="0C30B4AC" w14:textId="307F3BD5" w:rsidR="004E0D83" w:rsidRPr="00EF0D5A" w:rsidRDefault="00D26F71" w:rsidP="00D513C1">
      <w:pPr>
        <w:spacing w:after="0" w:line="240" w:lineRule="auto"/>
        <w:jc w:val="center"/>
        <w:rPr>
          <w:rFonts w:asciiTheme="minorHAnsi" w:hAnsiTheme="minorHAnsi" w:cstheme="minorHAnsi"/>
          <w:b/>
        </w:rPr>
      </w:pPr>
      <w:bookmarkStart w:id="0" w:name="_GoBack"/>
      <w:bookmarkEnd w:id="0"/>
      <w:r w:rsidRPr="00EF0D5A">
        <w:rPr>
          <w:rFonts w:asciiTheme="minorHAnsi" w:hAnsiTheme="minorHAnsi" w:cstheme="minorHAnsi"/>
          <w:b/>
        </w:rPr>
        <w:t xml:space="preserve"> oraz ustawy – Prawo telekomunikacyjne</w:t>
      </w:r>
    </w:p>
    <w:p w14:paraId="026A571A" w14:textId="6D00FBF9" w:rsidR="00EC0A61" w:rsidRPr="00EF0D5A" w:rsidRDefault="00EF0D5A" w:rsidP="00D513C1">
      <w:pPr>
        <w:spacing w:after="120" w:line="240" w:lineRule="auto"/>
        <w:jc w:val="center"/>
        <w:rPr>
          <w:rFonts w:asciiTheme="minorHAnsi" w:hAnsiTheme="minorHAnsi" w:cstheme="minorHAnsi"/>
          <w:b/>
        </w:rPr>
      </w:pPr>
      <w:r>
        <w:rPr>
          <w:rFonts w:asciiTheme="minorHAnsi" w:hAnsiTheme="minorHAnsi" w:cstheme="minorHAnsi"/>
          <w:b/>
        </w:rPr>
        <w:t>w ramach uzgodnień</w:t>
      </w:r>
    </w:p>
    <w:p w14:paraId="672A6659" w14:textId="77777777" w:rsidR="00BB6D17" w:rsidRPr="00EF0D5A" w:rsidRDefault="00BB6D17" w:rsidP="00D513C1">
      <w:pPr>
        <w:spacing w:after="120" w:line="240" w:lineRule="auto"/>
        <w:jc w:val="center"/>
        <w:rPr>
          <w:rFonts w:asciiTheme="minorHAnsi" w:hAnsiTheme="minorHAnsi" w:cstheme="minorHAnsi"/>
          <w:b/>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1387"/>
        <w:gridCol w:w="1417"/>
        <w:gridCol w:w="6804"/>
        <w:gridCol w:w="4218"/>
      </w:tblGrid>
      <w:tr w:rsidR="00100573" w:rsidRPr="00EF0D5A" w14:paraId="1E38EC3F" w14:textId="77777777" w:rsidTr="006176E7">
        <w:tc>
          <w:tcPr>
            <w:tcW w:w="486" w:type="dxa"/>
            <w:shd w:val="clear" w:color="auto" w:fill="D9D9D9" w:themeFill="background1" w:themeFillShade="D9"/>
            <w:vAlign w:val="center"/>
          </w:tcPr>
          <w:p w14:paraId="4840D583" w14:textId="77777777" w:rsidR="00AD5F17" w:rsidRPr="00EF0D5A" w:rsidRDefault="00AD5F17" w:rsidP="00D513C1">
            <w:pPr>
              <w:spacing w:after="120" w:line="240" w:lineRule="auto"/>
              <w:rPr>
                <w:rFonts w:asciiTheme="minorHAnsi" w:hAnsiTheme="minorHAnsi" w:cstheme="minorHAnsi"/>
                <w:b/>
              </w:rPr>
            </w:pPr>
            <w:r w:rsidRPr="00EF0D5A">
              <w:rPr>
                <w:rFonts w:asciiTheme="minorHAnsi" w:hAnsiTheme="minorHAnsi" w:cstheme="minorHAnsi"/>
                <w:b/>
              </w:rPr>
              <w:t>Lp.</w:t>
            </w:r>
          </w:p>
        </w:tc>
        <w:tc>
          <w:tcPr>
            <w:tcW w:w="1387" w:type="dxa"/>
            <w:shd w:val="clear" w:color="auto" w:fill="D9D9D9" w:themeFill="background1" w:themeFillShade="D9"/>
            <w:vAlign w:val="center"/>
          </w:tcPr>
          <w:p w14:paraId="3178E94A" w14:textId="77777777" w:rsidR="00AD5F17" w:rsidRPr="00EF0D5A" w:rsidRDefault="00AD5F17" w:rsidP="00D513C1">
            <w:pPr>
              <w:spacing w:after="120" w:line="240" w:lineRule="auto"/>
              <w:jc w:val="center"/>
              <w:rPr>
                <w:rFonts w:asciiTheme="minorHAnsi" w:hAnsiTheme="minorHAnsi" w:cstheme="minorHAnsi"/>
                <w:b/>
              </w:rPr>
            </w:pPr>
            <w:r w:rsidRPr="00EF0D5A">
              <w:rPr>
                <w:rFonts w:asciiTheme="minorHAnsi" w:hAnsiTheme="minorHAnsi" w:cstheme="minorHAnsi"/>
                <w:b/>
              </w:rPr>
              <w:t>Jednostka redakcyjna, której uwaga dotyczy</w:t>
            </w:r>
          </w:p>
        </w:tc>
        <w:tc>
          <w:tcPr>
            <w:tcW w:w="1417" w:type="dxa"/>
            <w:shd w:val="clear" w:color="auto" w:fill="D9D9D9" w:themeFill="background1" w:themeFillShade="D9"/>
            <w:vAlign w:val="center"/>
          </w:tcPr>
          <w:p w14:paraId="6EAA8BCB" w14:textId="77777777" w:rsidR="00AD5F17" w:rsidRPr="00EF0D5A" w:rsidRDefault="00AD5F17" w:rsidP="00D513C1">
            <w:pPr>
              <w:spacing w:after="120" w:line="240" w:lineRule="auto"/>
              <w:jc w:val="center"/>
              <w:rPr>
                <w:rFonts w:asciiTheme="minorHAnsi" w:hAnsiTheme="minorHAnsi" w:cstheme="minorHAnsi"/>
                <w:b/>
              </w:rPr>
            </w:pPr>
            <w:r w:rsidRPr="00EF0D5A">
              <w:rPr>
                <w:rFonts w:asciiTheme="minorHAnsi" w:hAnsiTheme="minorHAnsi" w:cstheme="minorHAnsi"/>
                <w:b/>
              </w:rPr>
              <w:t>Podmiot zgłaszający</w:t>
            </w:r>
          </w:p>
        </w:tc>
        <w:tc>
          <w:tcPr>
            <w:tcW w:w="6804" w:type="dxa"/>
            <w:shd w:val="clear" w:color="auto" w:fill="D9D9D9" w:themeFill="background1" w:themeFillShade="D9"/>
            <w:vAlign w:val="center"/>
          </w:tcPr>
          <w:p w14:paraId="1419CC47" w14:textId="77777777" w:rsidR="00AD5F17" w:rsidRPr="00EF0D5A" w:rsidRDefault="00AD5F17" w:rsidP="00D513C1">
            <w:pPr>
              <w:spacing w:after="120" w:line="240" w:lineRule="auto"/>
              <w:jc w:val="center"/>
              <w:rPr>
                <w:rFonts w:asciiTheme="minorHAnsi" w:hAnsiTheme="minorHAnsi" w:cstheme="minorHAnsi"/>
                <w:b/>
              </w:rPr>
            </w:pPr>
            <w:r w:rsidRPr="00EF0D5A">
              <w:rPr>
                <w:rFonts w:asciiTheme="minorHAnsi" w:hAnsiTheme="minorHAnsi" w:cstheme="minorHAnsi"/>
                <w:b/>
              </w:rPr>
              <w:t>Uwaga</w:t>
            </w:r>
          </w:p>
        </w:tc>
        <w:tc>
          <w:tcPr>
            <w:tcW w:w="4218" w:type="dxa"/>
            <w:shd w:val="clear" w:color="auto" w:fill="D9D9D9" w:themeFill="background1" w:themeFillShade="D9"/>
            <w:vAlign w:val="center"/>
          </w:tcPr>
          <w:p w14:paraId="385179BC" w14:textId="77777777" w:rsidR="00AD5F17" w:rsidRPr="00EF0D5A" w:rsidRDefault="00AD5F17" w:rsidP="00D513C1">
            <w:pPr>
              <w:spacing w:after="120" w:line="240" w:lineRule="auto"/>
              <w:jc w:val="center"/>
              <w:rPr>
                <w:rFonts w:asciiTheme="minorHAnsi" w:hAnsiTheme="minorHAnsi" w:cstheme="minorHAnsi"/>
                <w:b/>
              </w:rPr>
            </w:pPr>
            <w:r w:rsidRPr="00EF0D5A">
              <w:rPr>
                <w:rFonts w:asciiTheme="minorHAnsi" w:hAnsiTheme="minorHAnsi" w:cstheme="minorHAnsi"/>
                <w:b/>
              </w:rPr>
              <w:t>Stanowisko</w:t>
            </w:r>
          </w:p>
        </w:tc>
      </w:tr>
      <w:tr w:rsidR="005C3FA9" w:rsidRPr="00EF0D5A" w14:paraId="0B6A4574" w14:textId="77777777" w:rsidTr="006176E7">
        <w:tc>
          <w:tcPr>
            <w:tcW w:w="486" w:type="dxa"/>
            <w:shd w:val="clear" w:color="auto" w:fill="auto"/>
          </w:tcPr>
          <w:p w14:paraId="0A37501D" w14:textId="77777777" w:rsidR="005C3FA9" w:rsidRPr="00EF0D5A" w:rsidRDefault="005C3FA9" w:rsidP="00D513C1">
            <w:pPr>
              <w:numPr>
                <w:ilvl w:val="0"/>
                <w:numId w:val="4"/>
              </w:numPr>
              <w:spacing w:after="120" w:line="240" w:lineRule="auto"/>
              <w:ind w:left="227" w:hanging="357"/>
              <w:jc w:val="center"/>
              <w:rPr>
                <w:rFonts w:asciiTheme="minorHAnsi" w:hAnsiTheme="minorHAnsi" w:cstheme="minorHAnsi"/>
              </w:rPr>
            </w:pPr>
          </w:p>
        </w:tc>
        <w:tc>
          <w:tcPr>
            <w:tcW w:w="1387" w:type="dxa"/>
            <w:shd w:val="clear" w:color="auto" w:fill="auto"/>
          </w:tcPr>
          <w:p w14:paraId="74CD2644" w14:textId="77777777" w:rsidR="005C3FA9" w:rsidRPr="00EF0D5A" w:rsidRDefault="00333798" w:rsidP="00D513C1">
            <w:pPr>
              <w:spacing w:after="120" w:line="240" w:lineRule="auto"/>
              <w:rPr>
                <w:rFonts w:asciiTheme="minorHAnsi" w:hAnsiTheme="minorHAnsi" w:cstheme="minorHAnsi"/>
              </w:rPr>
            </w:pPr>
            <w:r w:rsidRPr="00EF0D5A">
              <w:rPr>
                <w:rFonts w:asciiTheme="minorHAnsi" w:hAnsiTheme="minorHAnsi" w:cstheme="minorHAnsi"/>
              </w:rPr>
              <w:t>art 3 ustawy zmienianej</w:t>
            </w:r>
          </w:p>
        </w:tc>
        <w:tc>
          <w:tcPr>
            <w:tcW w:w="1417" w:type="dxa"/>
            <w:shd w:val="clear" w:color="auto" w:fill="auto"/>
          </w:tcPr>
          <w:p w14:paraId="3677402F" w14:textId="77777777" w:rsidR="005C3FA9" w:rsidRPr="00EF0D5A" w:rsidRDefault="00333798" w:rsidP="00D513C1">
            <w:pPr>
              <w:spacing w:after="120" w:line="240" w:lineRule="auto"/>
              <w:rPr>
                <w:rFonts w:asciiTheme="minorHAnsi" w:hAnsiTheme="minorHAnsi" w:cstheme="minorHAnsi"/>
                <w:b/>
              </w:rPr>
            </w:pPr>
            <w:r w:rsidRPr="00EF0D5A">
              <w:rPr>
                <w:rFonts w:asciiTheme="minorHAnsi" w:hAnsiTheme="minorHAnsi" w:cstheme="minorHAnsi"/>
                <w:b/>
              </w:rPr>
              <w:t>Koordynator Służb Specjalnych</w:t>
            </w:r>
          </w:p>
        </w:tc>
        <w:tc>
          <w:tcPr>
            <w:tcW w:w="6804" w:type="dxa"/>
            <w:shd w:val="clear" w:color="auto" w:fill="auto"/>
          </w:tcPr>
          <w:p w14:paraId="17745C3B" w14:textId="19648F63" w:rsidR="005C3FA9" w:rsidRPr="00EF0D5A" w:rsidRDefault="005C3FA9" w:rsidP="00D513C1">
            <w:pPr>
              <w:spacing w:after="120" w:line="240" w:lineRule="auto"/>
              <w:rPr>
                <w:rFonts w:asciiTheme="minorHAnsi" w:hAnsiTheme="minorHAnsi" w:cstheme="minorHAnsi"/>
              </w:rPr>
            </w:pPr>
            <w:r w:rsidRPr="00EF0D5A">
              <w:rPr>
                <w:rFonts w:asciiTheme="minorHAnsi" w:hAnsiTheme="minorHAnsi" w:cstheme="minorHAnsi"/>
              </w:rPr>
              <w:t>Analizując planowane wdrożenie nowego mechanizmu u</w:t>
            </w:r>
            <w:r w:rsidR="00333798" w:rsidRPr="00EF0D5A">
              <w:rPr>
                <w:rFonts w:asciiTheme="minorHAnsi" w:hAnsiTheme="minorHAnsi" w:cstheme="minorHAnsi"/>
              </w:rPr>
              <w:t xml:space="preserve">wierzytelniania i autoryzacji w </w:t>
            </w:r>
            <w:r w:rsidRPr="00EF0D5A">
              <w:rPr>
                <w:rFonts w:asciiTheme="minorHAnsi" w:hAnsiTheme="minorHAnsi" w:cstheme="minorHAnsi"/>
              </w:rPr>
              <w:t xml:space="preserve">postaci usługi „Mobile Connect”, proponuję wprowadzenie definicji </w:t>
            </w:r>
            <w:r w:rsidR="00333798" w:rsidRPr="00EF0D5A">
              <w:rPr>
                <w:rFonts w:asciiTheme="minorHAnsi" w:hAnsiTheme="minorHAnsi" w:cstheme="minorHAnsi"/>
              </w:rPr>
              <w:t xml:space="preserve">tej usługi do słowniczka pojęć, </w:t>
            </w:r>
            <w:r w:rsidRPr="00EF0D5A">
              <w:rPr>
                <w:rFonts w:asciiTheme="minorHAnsi" w:hAnsiTheme="minorHAnsi" w:cstheme="minorHAnsi"/>
              </w:rPr>
              <w:t>zawartego w art. 3 ustawy z dnia 17 lutego 2005 r. o informatyzacji działalnoś</w:t>
            </w:r>
            <w:r w:rsidR="00333798" w:rsidRPr="00EF0D5A">
              <w:rPr>
                <w:rFonts w:asciiTheme="minorHAnsi" w:hAnsiTheme="minorHAnsi" w:cstheme="minorHAnsi"/>
              </w:rPr>
              <w:t xml:space="preserve">ci podmiotów </w:t>
            </w:r>
            <w:r w:rsidRPr="00EF0D5A">
              <w:rPr>
                <w:rFonts w:asciiTheme="minorHAnsi" w:hAnsiTheme="minorHAnsi" w:cstheme="minorHAnsi"/>
              </w:rPr>
              <w:t>realizujących zadania publiczne (Dz. U. z 202</w:t>
            </w:r>
            <w:r w:rsidR="00CC0F07" w:rsidRPr="00EF0D5A">
              <w:rPr>
                <w:rFonts w:asciiTheme="minorHAnsi" w:hAnsiTheme="minorHAnsi" w:cstheme="minorHAnsi"/>
              </w:rPr>
              <w:t>3</w:t>
            </w:r>
            <w:r w:rsidRPr="00EF0D5A">
              <w:rPr>
                <w:rFonts w:asciiTheme="minorHAnsi" w:hAnsiTheme="minorHAnsi" w:cstheme="minorHAnsi"/>
              </w:rPr>
              <w:t xml:space="preserve"> r. poz. </w:t>
            </w:r>
            <w:r w:rsidR="00CC0F07" w:rsidRPr="00EF0D5A">
              <w:rPr>
                <w:rFonts w:asciiTheme="minorHAnsi" w:hAnsiTheme="minorHAnsi" w:cstheme="minorHAnsi"/>
              </w:rPr>
              <w:t>57</w:t>
            </w:r>
            <w:r w:rsidR="00333798" w:rsidRPr="00EF0D5A">
              <w:rPr>
                <w:rFonts w:asciiTheme="minorHAnsi" w:hAnsiTheme="minorHAnsi" w:cstheme="minorHAnsi"/>
              </w:rPr>
              <w:t xml:space="preserve">) lub wyraźne </w:t>
            </w:r>
            <w:r w:rsidRPr="00EF0D5A">
              <w:rPr>
                <w:rFonts w:asciiTheme="minorHAnsi" w:hAnsiTheme="minorHAnsi" w:cstheme="minorHAnsi"/>
              </w:rPr>
              <w:t>wskazanie, że ww. usługa wypełnia zakres definicji, która z</w:t>
            </w:r>
            <w:r w:rsidR="00333798" w:rsidRPr="00EF0D5A">
              <w:rPr>
                <w:rFonts w:asciiTheme="minorHAnsi" w:hAnsiTheme="minorHAnsi" w:cstheme="minorHAnsi"/>
              </w:rPr>
              <w:t xml:space="preserve">ostała już określona na gruncie </w:t>
            </w:r>
            <w:r w:rsidRPr="00EF0D5A">
              <w:rPr>
                <w:rFonts w:asciiTheme="minorHAnsi" w:hAnsiTheme="minorHAnsi" w:cstheme="minorHAnsi"/>
              </w:rPr>
              <w:t xml:space="preserve">przedmiotowej ustawy. Wprowadzenie proponowanej zmiany </w:t>
            </w:r>
            <w:r w:rsidR="00333798" w:rsidRPr="00EF0D5A">
              <w:rPr>
                <w:rFonts w:asciiTheme="minorHAnsi" w:hAnsiTheme="minorHAnsi" w:cstheme="minorHAnsi"/>
              </w:rPr>
              <w:t xml:space="preserve">pozwoli na zachowanie spójności </w:t>
            </w:r>
            <w:r w:rsidRPr="00EF0D5A">
              <w:rPr>
                <w:rFonts w:asciiTheme="minorHAnsi" w:hAnsiTheme="minorHAnsi" w:cstheme="minorHAnsi"/>
              </w:rPr>
              <w:t>projektowanych regulacji</w:t>
            </w:r>
            <w:r w:rsidR="00333798" w:rsidRPr="00EF0D5A">
              <w:rPr>
                <w:rFonts w:asciiTheme="minorHAnsi" w:hAnsiTheme="minorHAnsi" w:cstheme="minorHAnsi"/>
              </w:rPr>
              <w:t xml:space="preserve"> </w:t>
            </w:r>
            <w:r w:rsidRPr="00EF0D5A">
              <w:rPr>
                <w:rFonts w:asciiTheme="minorHAnsi" w:hAnsiTheme="minorHAnsi" w:cstheme="minorHAnsi"/>
              </w:rPr>
              <w:t>ze strukturą obecnie obowiązujących pr</w:t>
            </w:r>
            <w:r w:rsidR="00333798" w:rsidRPr="00EF0D5A">
              <w:rPr>
                <w:rFonts w:asciiTheme="minorHAnsi" w:hAnsiTheme="minorHAnsi" w:cstheme="minorHAnsi"/>
              </w:rPr>
              <w:t xml:space="preserve">zepisów oraz umożliwi wszystkim </w:t>
            </w:r>
            <w:r w:rsidRPr="00EF0D5A">
              <w:rPr>
                <w:rFonts w:asciiTheme="minorHAnsi" w:hAnsiTheme="minorHAnsi" w:cstheme="minorHAnsi"/>
              </w:rPr>
              <w:t>adresatom projektowanej regulacji prawidłowe odczytanie definicji nowo wprowadzanej usługi.</w:t>
            </w:r>
            <w:r w:rsidR="565098AB" w:rsidRPr="00EF0D5A">
              <w:rPr>
                <w:rFonts w:asciiTheme="minorHAnsi" w:hAnsiTheme="minorHAnsi" w:cstheme="minorHAnsi"/>
              </w:rPr>
              <w:t xml:space="preserve"> </w:t>
            </w:r>
          </w:p>
        </w:tc>
        <w:tc>
          <w:tcPr>
            <w:tcW w:w="4218" w:type="dxa"/>
            <w:shd w:val="clear" w:color="auto" w:fill="auto"/>
          </w:tcPr>
          <w:p w14:paraId="50E5C227" w14:textId="48D45C20" w:rsidR="005C3FA9" w:rsidRPr="00EF0D5A" w:rsidRDefault="5631FB66" w:rsidP="00D513C1">
            <w:pPr>
              <w:spacing w:after="120" w:line="240" w:lineRule="auto"/>
              <w:rPr>
                <w:rFonts w:asciiTheme="minorHAnsi" w:eastAsia="Calibri" w:hAnsiTheme="minorHAnsi" w:cstheme="minorHAnsi"/>
                <w:b/>
                <w:bCs/>
              </w:rPr>
            </w:pPr>
            <w:r w:rsidRPr="00EF0D5A">
              <w:rPr>
                <w:rFonts w:asciiTheme="minorHAnsi" w:eastAsia="Calibri" w:hAnsiTheme="minorHAnsi" w:cstheme="minorHAnsi"/>
                <w:b/>
                <w:bCs/>
              </w:rPr>
              <w:t>Uwaga uwzględniona.</w:t>
            </w:r>
          </w:p>
          <w:p w14:paraId="5DAB6C7B" w14:textId="10A6E7D5" w:rsidR="005C3FA9" w:rsidRPr="00EF0D5A" w:rsidRDefault="5631FB66" w:rsidP="00D513C1">
            <w:pPr>
              <w:spacing w:after="120" w:line="240" w:lineRule="auto"/>
              <w:rPr>
                <w:rFonts w:asciiTheme="minorHAnsi" w:hAnsiTheme="minorHAnsi" w:cstheme="minorHAnsi"/>
              </w:rPr>
            </w:pPr>
            <w:r w:rsidRPr="00EF0D5A">
              <w:rPr>
                <w:rFonts w:asciiTheme="minorHAnsi" w:eastAsia="Calibri" w:hAnsiTheme="minorHAnsi" w:cstheme="minorHAnsi"/>
              </w:rPr>
              <w:t>Przeredagowano brzmienie pkt 2 oraz rozszerzono uzasadnienie o definicję Mobile Connect.</w:t>
            </w:r>
          </w:p>
        </w:tc>
      </w:tr>
      <w:tr w:rsidR="005C3FA9" w:rsidRPr="00EF0D5A" w14:paraId="7356DE26" w14:textId="77777777" w:rsidTr="006176E7">
        <w:tc>
          <w:tcPr>
            <w:tcW w:w="486" w:type="dxa"/>
            <w:shd w:val="clear" w:color="auto" w:fill="auto"/>
          </w:tcPr>
          <w:p w14:paraId="02EB378F" w14:textId="77777777" w:rsidR="005C3FA9" w:rsidRPr="00EF0D5A" w:rsidRDefault="005C3FA9" w:rsidP="00D513C1">
            <w:pPr>
              <w:numPr>
                <w:ilvl w:val="0"/>
                <w:numId w:val="4"/>
              </w:numPr>
              <w:spacing w:after="120" w:line="240" w:lineRule="auto"/>
              <w:ind w:left="227" w:hanging="357"/>
              <w:jc w:val="center"/>
              <w:rPr>
                <w:rFonts w:asciiTheme="minorHAnsi" w:hAnsiTheme="minorHAnsi" w:cstheme="minorHAnsi"/>
              </w:rPr>
            </w:pPr>
          </w:p>
        </w:tc>
        <w:tc>
          <w:tcPr>
            <w:tcW w:w="1387" w:type="dxa"/>
            <w:shd w:val="clear" w:color="auto" w:fill="auto"/>
          </w:tcPr>
          <w:p w14:paraId="6DC28D14" w14:textId="77777777" w:rsidR="005C3FA9" w:rsidRPr="00EF0D5A" w:rsidRDefault="00333798" w:rsidP="00D513C1">
            <w:pPr>
              <w:spacing w:after="120" w:line="240" w:lineRule="auto"/>
              <w:rPr>
                <w:rFonts w:asciiTheme="minorHAnsi" w:hAnsiTheme="minorHAnsi" w:cstheme="minorHAnsi"/>
              </w:rPr>
            </w:pPr>
            <w:r w:rsidRPr="00EF0D5A">
              <w:rPr>
                <w:rFonts w:asciiTheme="minorHAnsi" w:hAnsiTheme="minorHAnsi" w:cstheme="minorHAnsi"/>
              </w:rPr>
              <w:t>art. 20c, 20ga ustawy zmienianej</w:t>
            </w:r>
          </w:p>
        </w:tc>
        <w:tc>
          <w:tcPr>
            <w:tcW w:w="1417" w:type="dxa"/>
            <w:shd w:val="clear" w:color="auto" w:fill="auto"/>
          </w:tcPr>
          <w:p w14:paraId="24275C83" w14:textId="77777777" w:rsidR="005C3FA9" w:rsidRPr="00EF0D5A" w:rsidRDefault="00333798" w:rsidP="00D513C1">
            <w:pPr>
              <w:spacing w:after="120" w:line="240" w:lineRule="auto"/>
              <w:rPr>
                <w:rFonts w:asciiTheme="minorHAnsi" w:hAnsiTheme="minorHAnsi" w:cstheme="minorHAnsi"/>
                <w:b/>
              </w:rPr>
            </w:pPr>
            <w:r w:rsidRPr="00EF0D5A">
              <w:rPr>
                <w:rFonts w:asciiTheme="minorHAnsi" w:hAnsiTheme="minorHAnsi" w:cstheme="minorHAnsi"/>
                <w:b/>
              </w:rPr>
              <w:t>Koordynator Służb Specjalnych</w:t>
            </w:r>
          </w:p>
        </w:tc>
        <w:tc>
          <w:tcPr>
            <w:tcW w:w="6804" w:type="dxa"/>
            <w:shd w:val="clear" w:color="auto" w:fill="auto"/>
          </w:tcPr>
          <w:p w14:paraId="32DEF887" w14:textId="77777777" w:rsidR="005C3FA9" w:rsidRPr="00EF0D5A" w:rsidRDefault="005C3FA9" w:rsidP="00D513C1">
            <w:pPr>
              <w:spacing w:after="120" w:line="240" w:lineRule="auto"/>
              <w:rPr>
                <w:rFonts w:asciiTheme="minorHAnsi" w:hAnsiTheme="minorHAnsi" w:cstheme="minorHAnsi"/>
              </w:rPr>
            </w:pPr>
            <w:r w:rsidRPr="00EF0D5A">
              <w:rPr>
                <w:rFonts w:asciiTheme="minorHAnsi" w:hAnsiTheme="minorHAnsi" w:cstheme="minorHAnsi"/>
              </w:rPr>
              <w:t>Ponadto, proponuję wprowadzenie w projektowanej regulacji rozwiązania, które wprost określałoby odpowiedzialność za bezpieczeństwo usługi „Mobile Connect" przez podmioty ją świadczące. Taka zmiana mogłaby zostać wprowadzona w treści projektowanego art. 20c albo 20ga ustawy z dnia 17 lutego 2005 r. o informatyzacji działalności podmiotów realizujących zadania publiczne.</w:t>
            </w:r>
          </w:p>
        </w:tc>
        <w:tc>
          <w:tcPr>
            <w:tcW w:w="4218" w:type="dxa"/>
            <w:shd w:val="clear" w:color="auto" w:fill="auto"/>
          </w:tcPr>
          <w:p w14:paraId="06DD34F0" w14:textId="7C0A4B9A" w:rsidR="005C3FA9" w:rsidRPr="00EF0D5A" w:rsidRDefault="334B3A26" w:rsidP="00D513C1">
            <w:pPr>
              <w:spacing w:after="120" w:line="240" w:lineRule="auto"/>
              <w:rPr>
                <w:rFonts w:asciiTheme="minorHAnsi" w:eastAsia="Calibri" w:hAnsiTheme="minorHAnsi" w:cstheme="minorHAnsi"/>
                <w:b/>
                <w:bCs/>
              </w:rPr>
            </w:pPr>
            <w:r w:rsidRPr="00EF0D5A">
              <w:rPr>
                <w:rFonts w:asciiTheme="minorHAnsi" w:eastAsia="Calibri" w:hAnsiTheme="minorHAnsi" w:cstheme="minorHAnsi"/>
                <w:b/>
                <w:bCs/>
              </w:rPr>
              <w:t>Uwaga wyjaśniona</w:t>
            </w:r>
          </w:p>
          <w:p w14:paraId="6A05A809" w14:textId="6E188488" w:rsidR="005C3FA9" w:rsidRPr="00EF0D5A" w:rsidRDefault="334B3A26" w:rsidP="00D513C1">
            <w:pPr>
              <w:spacing w:after="120" w:line="240" w:lineRule="auto"/>
              <w:rPr>
                <w:rFonts w:asciiTheme="minorHAnsi" w:hAnsiTheme="minorHAnsi" w:cstheme="minorHAnsi"/>
              </w:rPr>
            </w:pPr>
            <w:r w:rsidRPr="00EF0D5A">
              <w:rPr>
                <w:rFonts w:asciiTheme="minorHAnsi" w:hAnsiTheme="minorHAnsi" w:cstheme="minorHAnsi"/>
              </w:rPr>
              <w:t>Kwestie bezpieczeństwa usług świadczonych przez operatorów telekomunikacyjnych określa ustawa</w:t>
            </w:r>
            <w:r w:rsidR="00D513C1" w:rsidRPr="00EF0D5A">
              <w:rPr>
                <w:rFonts w:asciiTheme="minorHAnsi" w:hAnsiTheme="minorHAnsi" w:cstheme="minorHAnsi"/>
              </w:rPr>
              <w:t xml:space="preserve"> -</w:t>
            </w:r>
            <w:r w:rsidRPr="00EF0D5A">
              <w:rPr>
                <w:rFonts w:asciiTheme="minorHAnsi" w:hAnsiTheme="minorHAnsi" w:cstheme="minorHAnsi"/>
              </w:rPr>
              <w:t xml:space="preserve"> Prawo telekomunikacyjne. Uzupełniono odpowiednio uzasadnienie do ustawy.</w:t>
            </w:r>
          </w:p>
        </w:tc>
      </w:tr>
      <w:tr w:rsidR="00FC7700" w:rsidRPr="00EF0D5A" w14:paraId="190AA8C1" w14:textId="77777777" w:rsidTr="006176E7">
        <w:tc>
          <w:tcPr>
            <w:tcW w:w="486" w:type="dxa"/>
            <w:shd w:val="clear" w:color="auto" w:fill="auto"/>
          </w:tcPr>
          <w:p w14:paraId="5A39BBE3" w14:textId="77777777" w:rsidR="00FC7700" w:rsidRPr="00EF0D5A" w:rsidRDefault="00FC7700" w:rsidP="00D513C1">
            <w:pPr>
              <w:numPr>
                <w:ilvl w:val="0"/>
                <w:numId w:val="4"/>
              </w:numPr>
              <w:spacing w:after="120" w:line="240" w:lineRule="auto"/>
              <w:ind w:left="227" w:hanging="357"/>
              <w:jc w:val="center"/>
              <w:rPr>
                <w:rFonts w:asciiTheme="minorHAnsi" w:hAnsiTheme="minorHAnsi" w:cstheme="minorHAnsi"/>
              </w:rPr>
            </w:pPr>
          </w:p>
        </w:tc>
        <w:tc>
          <w:tcPr>
            <w:tcW w:w="1387" w:type="dxa"/>
            <w:shd w:val="clear" w:color="auto" w:fill="auto"/>
          </w:tcPr>
          <w:p w14:paraId="0092DFA5" w14:textId="77777777" w:rsidR="00FC7700" w:rsidRPr="00EF0D5A" w:rsidRDefault="00FC7700" w:rsidP="00D513C1">
            <w:pPr>
              <w:spacing w:after="120" w:line="240" w:lineRule="auto"/>
              <w:rPr>
                <w:rFonts w:asciiTheme="minorHAnsi" w:hAnsiTheme="minorHAnsi" w:cstheme="minorHAnsi"/>
              </w:rPr>
            </w:pPr>
            <w:r w:rsidRPr="00EF0D5A">
              <w:rPr>
                <w:rFonts w:asciiTheme="minorHAnsi" w:hAnsiTheme="minorHAnsi" w:cstheme="minorHAnsi"/>
              </w:rPr>
              <w:t>20ga ustawy zmienianej</w:t>
            </w:r>
          </w:p>
        </w:tc>
        <w:tc>
          <w:tcPr>
            <w:tcW w:w="1417" w:type="dxa"/>
            <w:shd w:val="clear" w:color="auto" w:fill="auto"/>
          </w:tcPr>
          <w:p w14:paraId="00E543DB" w14:textId="77777777" w:rsidR="00FC7700" w:rsidRPr="00EF0D5A" w:rsidRDefault="00FC7700" w:rsidP="00D513C1">
            <w:pPr>
              <w:spacing w:after="120" w:line="240" w:lineRule="auto"/>
              <w:rPr>
                <w:rFonts w:asciiTheme="minorHAnsi" w:hAnsiTheme="minorHAnsi" w:cstheme="minorHAnsi"/>
                <w:b/>
              </w:rPr>
            </w:pPr>
            <w:r w:rsidRPr="00EF0D5A">
              <w:rPr>
                <w:rFonts w:asciiTheme="minorHAnsi" w:hAnsiTheme="minorHAnsi" w:cstheme="minorHAnsi"/>
                <w:b/>
              </w:rPr>
              <w:t>MRiPS</w:t>
            </w:r>
          </w:p>
        </w:tc>
        <w:tc>
          <w:tcPr>
            <w:tcW w:w="6804" w:type="dxa"/>
            <w:shd w:val="clear" w:color="auto" w:fill="auto"/>
          </w:tcPr>
          <w:p w14:paraId="0BCD8142" w14:textId="77777777" w:rsidR="00FC7700" w:rsidRPr="00EF0D5A" w:rsidRDefault="00FC7700" w:rsidP="00D513C1">
            <w:pPr>
              <w:spacing w:after="120" w:line="240" w:lineRule="auto"/>
              <w:rPr>
                <w:rFonts w:asciiTheme="minorHAnsi" w:eastAsia="Calibri" w:hAnsiTheme="minorHAnsi" w:cstheme="minorHAnsi"/>
              </w:rPr>
            </w:pPr>
            <w:r w:rsidRPr="00EF0D5A">
              <w:rPr>
                <w:rFonts w:asciiTheme="minorHAnsi" w:eastAsia="Calibri" w:hAnsiTheme="minorHAnsi" w:cstheme="minorHAnsi"/>
                <w:spacing w:val="4"/>
              </w:rPr>
              <w:t xml:space="preserve">Zgodnie z projektowanym art. 20ga ust. 1 ustawy o </w:t>
            </w:r>
            <w:r w:rsidRPr="00EF0D5A">
              <w:rPr>
                <w:rFonts w:asciiTheme="minorHAnsi" w:eastAsia="Calibri" w:hAnsiTheme="minorHAnsi" w:cstheme="minorHAnsi"/>
              </w:rPr>
              <w:t>informatyzacji działalności podmiotów realizujących zadania publiczne</w:t>
            </w:r>
            <w:r w:rsidRPr="00EF0D5A">
              <w:rPr>
                <w:rFonts w:asciiTheme="minorHAnsi" w:eastAsia="Calibri" w:hAnsiTheme="minorHAnsi" w:cstheme="minorHAnsi"/>
                <w:spacing w:val="4"/>
              </w:rPr>
              <w:t xml:space="preserve"> dostawcy usług telekomunikacyjnych świadczonych w sieciach ruchomych będą zobowiązani do przekazywania swoim abonentom komunikatów informacyjnych pochodzących od podmiotów</w:t>
            </w:r>
            <w:r w:rsidRPr="00EF0D5A">
              <w:rPr>
                <w:rFonts w:asciiTheme="minorHAnsi" w:eastAsia="Calibri" w:hAnsiTheme="minorHAnsi" w:cstheme="minorHAnsi"/>
                <w:spacing w:val="-6"/>
              </w:rPr>
              <w:t>, o których mowa w art. 2 ust. 1 pkt 1, 2 i 4-8</w:t>
            </w:r>
            <w:r w:rsidRPr="00EF0D5A">
              <w:rPr>
                <w:rFonts w:asciiTheme="minorHAnsi" w:eastAsia="Calibri" w:hAnsiTheme="minorHAnsi" w:cstheme="minorHAnsi"/>
                <w:spacing w:val="4"/>
              </w:rPr>
              <w:t xml:space="preserve"> tej ustawy. Wynika z tego, że Zakład Ubezpieczeń Społecznych (wymieniony w art. 2 ust. 1 pkt 5) może żądać </w:t>
            </w:r>
            <w:r w:rsidRPr="00EF0D5A">
              <w:rPr>
                <w:rFonts w:asciiTheme="minorHAnsi" w:eastAsia="Calibri" w:hAnsiTheme="minorHAnsi" w:cstheme="minorHAnsi"/>
                <w:spacing w:val="4"/>
              </w:rPr>
              <w:lastRenderedPageBreak/>
              <w:t>przekazania komunikatów. Jednakże, zgodnie z projektowanym art. 20ga ust. 3 pkt 1, k</w:t>
            </w:r>
            <w:r w:rsidRPr="00EF0D5A">
              <w:rPr>
                <w:rFonts w:asciiTheme="minorHAnsi" w:eastAsia="Calibri" w:hAnsiTheme="minorHAnsi" w:cstheme="minorHAnsi"/>
              </w:rPr>
              <w:t>omunikaty informacyjne są wysyłane wyłącznie</w:t>
            </w:r>
            <w:r w:rsidRPr="00EF0D5A">
              <w:rPr>
                <w:rFonts w:asciiTheme="minorHAnsi" w:eastAsia="Calibri" w:hAnsiTheme="minorHAnsi" w:cstheme="minorHAnsi"/>
              </w:rPr>
              <w:br/>
              <w:t>w celu</w:t>
            </w:r>
            <w:r w:rsidRPr="00EF0D5A">
              <w:rPr>
                <w:rFonts w:asciiTheme="minorHAnsi" w:eastAsia="Calibri" w:hAnsiTheme="minorHAnsi" w:cstheme="minorHAnsi"/>
                <w:spacing w:val="-6"/>
              </w:rPr>
              <w:t xml:space="preserve"> realizacji zadań wykonywanych przez administrację rządową lub zadań własnych albo zleconych wykonywanych przez administrację samorządową. Należy zwrócić uwagę, że ZUS nie mieści się w katalogu tych podmiotów. Konieczne jest zatem stosowne uzupełnienie projektowanego art. </w:t>
            </w:r>
            <w:r w:rsidRPr="00EF0D5A">
              <w:rPr>
                <w:rFonts w:asciiTheme="minorHAnsi" w:eastAsia="Calibri" w:hAnsiTheme="minorHAnsi" w:cstheme="minorHAnsi"/>
                <w:spacing w:val="4"/>
              </w:rPr>
              <w:t xml:space="preserve">20ga ust. 3 ustawy o </w:t>
            </w:r>
            <w:r w:rsidRPr="00EF0D5A">
              <w:rPr>
                <w:rFonts w:asciiTheme="minorHAnsi" w:eastAsia="Calibri" w:hAnsiTheme="minorHAnsi" w:cstheme="minorHAnsi"/>
              </w:rPr>
              <w:t>informatyzacji działalności podmiotów realizujących zadania publiczne o Zakład Ubezpieczeń Społecznych.</w:t>
            </w:r>
          </w:p>
        </w:tc>
        <w:tc>
          <w:tcPr>
            <w:tcW w:w="4218" w:type="dxa"/>
            <w:shd w:val="clear" w:color="auto" w:fill="auto"/>
          </w:tcPr>
          <w:p w14:paraId="08C3FF30" w14:textId="68ADCE1A" w:rsidR="00FC7700" w:rsidRPr="00EF0D5A" w:rsidRDefault="4DAE4D25" w:rsidP="00D513C1">
            <w:pPr>
              <w:spacing w:after="120" w:line="240" w:lineRule="auto"/>
              <w:rPr>
                <w:rFonts w:asciiTheme="minorHAnsi" w:hAnsiTheme="minorHAnsi" w:cstheme="minorHAnsi"/>
              </w:rPr>
            </w:pPr>
            <w:r w:rsidRPr="00EF0D5A">
              <w:rPr>
                <w:rFonts w:asciiTheme="minorHAnsi" w:hAnsiTheme="minorHAnsi" w:cstheme="minorHAnsi"/>
                <w:b/>
                <w:bCs/>
              </w:rPr>
              <w:lastRenderedPageBreak/>
              <w:t>Uwaga uwzględniona</w:t>
            </w:r>
          </w:p>
          <w:p w14:paraId="41C8F396" w14:textId="187FF267" w:rsidR="00FC7700" w:rsidRPr="00EF0D5A" w:rsidRDefault="4DAE4D25" w:rsidP="00D513C1">
            <w:pPr>
              <w:spacing w:after="120" w:line="240" w:lineRule="auto"/>
              <w:rPr>
                <w:rFonts w:asciiTheme="minorHAnsi" w:hAnsiTheme="minorHAnsi" w:cstheme="minorHAnsi"/>
              </w:rPr>
            </w:pPr>
            <w:r w:rsidRPr="00EF0D5A">
              <w:rPr>
                <w:rFonts w:asciiTheme="minorHAnsi" w:hAnsiTheme="minorHAnsi" w:cstheme="minorHAnsi"/>
              </w:rPr>
              <w:t>Przeformułowano projektowany art. 20ga ust. 3 pkt</w:t>
            </w:r>
            <w:r w:rsidR="29D49119" w:rsidRPr="00EF0D5A">
              <w:rPr>
                <w:rFonts w:asciiTheme="minorHAnsi" w:hAnsiTheme="minorHAnsi" w:cstheme="minorHAnsi"/>
              </w:rPr>
              <w:t xml:space="preserve"> 1</w:t>
            </w:r>
            <w:r w:rsidRPr="00EF0D5A">
              <w:rPr>
                <w:rFonts w:asciiTheme="minorHAnsi" w:hAnsiTheme="minorHAnsi" w:cstheme="minorHAnsi"/>
              </w:rPr>
              <w:t xml:space="preserve"> w ten sposób, że</w:t>
            </w:r>
            <w:r w:rsidR="092357B2" w:rsidRPr="00EF0D5A">
              <w:rPr>
                <w:rFonts w:asciiTheme="minorHAnsi" w:hAnsiTheme="minorHAnsi" w:cstheme="minorHAnsi"/>
              </w:rPr>
              <w:t xml:space="preserve"> </w:t>
            </w:r>
            <w:r w:rsidR="00D513C1" w:rsidRPr="00EF0D5A">
              <w:rPr>
                <w:rFonts w:asciiTheme="minorHAnsi" w:hAnsiTheme="minorHAnsi" w:cstheme="minorHAnsi"/>
              </w:rPr>
              <w:t>zmodyfikowano część wspólną</w:t>
            </w:r>
            <w:r w:rsidR="3CF45051" w:rsidRPr="00EF0D5A">
              <w:rPr>
                <w:rFonts w:asciiTheme="minorHAnsi" w:hAnsiTheme="minorHAnsi" w:cstheme="minorHAnsi"/>
              </w:rPr>
              <w:t xml:space="preserve"> </w:t>
            </w:r>
            <w:r w:rsidR="22E7E9C4" w:rsidRPr="00EF0D5A">
              <w:rPr>
                <w:rFonts w:asciiTheme="minorHAnsi" w:hAnsiTheme="minorHAnsi" w:cstheme="minorHAnsi"/>
              </w:rPr>
              <w:t xml:space="preserve">oraz dodano </w:t>
            </w:r>
            <w:r w:rsidR="00D513C1" w:rsidRPr="00EF0D5A">
              <w:rPr>
                <w:rFonts w:asciiTheme="minorHAnsi" w:hAnsiTheme="minorHAnsi" w:cstheme="minorHAnsi"/>
              </w:rPr>
              <w:t xml:space="preserve">możliwość wysyłania komunikatów </w:t>
            </w:r>
            <w:r w:rsidR="22E7E9C4" w:rsidRPr="00EF0D5A">
              <w:rPr>
                <w:rFonts w:asciiTheme="minorHAnsi" w:hAnsiTheme="minorHAnsi" w:cstheme="minorHAnsi"/>
              </w:rPr>
              <w:lastRenderedPageBreak/>
              <w:t>związanych z realizacj</w:t>
            </w:r>
            <w:r w:rsidR="1D87EA73" w:rsidRPr="00EF0D5A">
              <w:rPr>
                <w:rFonts w:asciiTheme="minorHAnsi" w:hAnsiTheme="minorHAnsi" w:cstheme="minorHAnsi"/>
              </w:rPr>
              <w:t>ą zadań na rzecz ubezpieczeń społecznych.</w:t>
            </w:r>
          </w:p>
        </w:tc>
      </w:tr>
      <w:tr w:rsidR="00333798" w:rsidRPr="00EF0D5A" w14:paraId="54DA0217" w14:textId="77777777" w:rsidTr="006176E7">
        <w:tc>
          <w:tcPr>
            <w:tcW w:w="486" w:type="dxa"/>
            <w:shd w:val="clear" w:color="auto" w:fill="auto"/>
          </w:tcPr>
          <w:p w14:paraId="72A3D3EC" w14:textId="77777777" w:rsidR="00333798" w:rsidRPr="00EF0D5A" w:rsidRDefault="00333798" w:rsidP="00D513C1">
            <w:pPr>
              <w:numPr>
                <w:ilvl w:val="0"/>
                <w:numId w:val="4"/>
              </w:numPr>
              <w:spacing w:after="120" w:line="240" w:lineRule="auto"/>
              <w:ind w:left="227" w:hanging="357"/>
              <w:jc w:val="center"/>
              <w:rPr>
                <w:rFonts w:asciiTheme="minorHAnsi" w:hAnsiTheme="minorHAnsi" w:cstheme="minorHAnsi"/>
              </w:rPr>
            </w:pPr>
          </w:p>
        </w:tc>
        <w:tc>
          <w:tcPr>
            <w:tcW w:w="1387" w:type="dxa"/>
            <w:shd w:val="clear" w:color="auto" w:fill="auto"/>
          </w:tcPr>
          <w:p w14:paraId="13A67381" w14:textId="77777777" w:rsidR="00333798" w:rsidRPr="00EF0D5A" w:rsidRDefault="00333798" w:rsidP="00D513C1">
            <w:pPr>
              <w:spacing w:after="120" w:line="240" w:lineRule="auto"/>
              <w:rPr>
                <w:rFonts w:asciiTheme="minorHAnsi" w:hAnsiTheme="minorHAnsi" w:cstheme="minorHAnsi"/>
              </w:rPr>
            </w:pPr>
            <w:r w:rsidRPr="00EF0D5A">
              <w:rPr>
                <w:rFonts w:asciiTheme="minorHAnsi" w:hAnsiTheme="minorHAnsi" w:cstheme="minorHAnsi"/>
              </w:rPr>
              <w:t>art. 20ga ustawy zmienianej</w:t>
            </w:r>
          </w:p>
        </w:tc>
        <w:tc>
          <w:tcPr>
            <w:tcW w:w="1417" w:type="dxa"/>
            <w:shd w:val="clear" w:color="auto" w:fill="auto"/>
          </w:tcPr>
          <w:p w14:paraId="5F2C26F8" w14:textId="77777777" w:rsidR="00333798" w:rsidRPr="00EF0D5A" w:rsidRDefault="00333798" w:rsidP="00D513C1">
            <w:pPr>
              <w:spacing w:after="120" w:line="240" w:lineRule="auto"/>
              <w:rPr>
                <w:rFonts w:asciiTheme="minorHAnsi" w:hAnsiTheme="minorHAnsi" w:cstheme="minorHAnsi"/>
                <w:b/>
              </w:rPr>
            </w:pPr>
            <w:r w:rsidRPr="00EF0D5A">
              <w:rPr>
                <w:rFonts w:asciiTheme="minorHAnsi" w:hAnsiTheme="minorHAnsi" w:cstheme="minorHAnsi"/>
                <w:b/>
              </w:rPr>
              <w:t>MS</w:t>
            </w:r>
          </w:p>
        </w:tc>
        <w:tc>
          <w:tcPr>
            <w:tcW w:w="6804" w:type="dxa"/>
            <w:shd w:val="clear" w:color="auto" w:fill="auto"/>
          </w:tcPr>
          <w:p w14:paraId="259CE47C" w14:textId="77777777" w:rsidR="00333798" w:rsidRPr="00EF0D5A" w:rsidRDefault="00333798" w:rsidP="00D513C1">
            <w:pPr>
              <w:spacing w:after="120" w:line="240" w:lineRule="auto"/>
              <w:rPr>
                <w:rFonts w:asciiTheme="minorHAnsi" w:hAnsiTheme="minorHAnsi" w:cstheme="minorHAnsi"/>
              </w:rPr>
            </w:pPr>
            <w:r w:rsidRPr="00EF0D5A">
              <w:rPr>
                <w:rFonts w:asciiTheme="minorHAnsi" w:hAnsiTheme="minorHAnsi" w:cstheme="minorHAnsi"/>
              </w:rPr>
              <w:t>W projektowanym art. 20ga ust. 1 ustawy z dnia 17 lutego 2005 r. o informatyzacji podmiotów realizujących zadania publiczne (Dz.U. z 2021 r. poz. 2070,z późn.zm.) – art. 1 pkt 2 projektu – w zakresie, w jakim zawiera on odesłanie do art. 2 ust. 1 pkt 1, przewiduje się możliwość kierowania m.in. przez sądy do dostawców usług telekomunikacyjnych żądań wysyłania komunikatów informacyjnych. Jednocześnie możliwość skorzystania z tego kanału komunikacji przez sądy w odniesieniu do wysyłania komunikatów do grup użytkowników końcowych zdaje się być wykluczona przez projektowany art. 20ga ust. 3 pkt 1 ww. ustawy, z uwagi na to, że zadania sądów nie zaliczają się do zadań wykonywanych przez administrację rządową lub zadań własnych albo zleconych wykonywanych przez administrację samorządową. W sytuacji zatem objęcia także sądów powyższym uprawnieniem do korzystania z przedmiotowego kanału komunikacji, zasadne wydaje się dostosowanie do tego także proponowanego przepisu art. 20ga ust. 3 pkt 1 i odpowiednie uzupełnienie jego zakresu, np. przez użycie we wprowadzeniu do wyliczenia sformułowania „lub innych zadań własnych podmiotów, o których mowa w art. 2 ust. 1 pkt 1, 2 i 4-8”, przed wyrazami „na rzecz.”.</w:t>
            </w:r>
          </w:p>
        </w:tc>
        <w:tc>
          <w:tcPr>
            <w:tcW w:w="4218" w:type="dxa"/>
            <w:shd w:val="clear" w:color="auto" w:fill="auto"/>
          </w:tcPr>
          <w:p w14:paraId="38F5D60E" w14:textId="66264C23" w:rsidR="00333798" w:rsidRPr="00EF0D5A" w:rsidRDefault="70363A70" w:rsidP="00D513C1">
            <w:pPr>
              <w:spacing w:after="120" w:line="240" w:lineRule="auto"/>
              <w:rPr>
                <w:rFonts w:asciiTheme="minorHAnsi" w:hAnsiTheme="minorHAnsi" w:cstheme="minorHAnsi"/>
              </w:rPr>
            </w:pPr>
            <w:r w:rsidRPr="00EF0D5A">
              <w:rPr>
                <w:rFonts w:asciiTheme="minorHAnsi" w:hAnsiTheme="minorHAnsi" w:cstheme="minorHAnsi"/>
                <w:b/>
                <w:bCs/>
              </w:rPr>
              <w:t>Uwaga uwzględniona</w:t>
            </w:r>
          </w:p>
          <w:p w14:paraId="0D0B940D" w14:textId="608EDD06" w:rsidR="00333798" w:rsidRPr="00EF0D5A" w:rsidRDefault="70363A70" w:rsidP="00D513C1">
            <w:pPr>
              <w:spacing w:after="120" w:line="240" w:lineRule="auto"/>
              <w:rPr>
                <w:rFonts w:asciiTheme="minorHAnsi" w:hAnsiTheme="minorHAnsi" w:cstheme="minorHAnsi"/>
              </w:rPr>
            </w:pPr>
            <w:r w:rsidRPr="00EF0D5A">
              <w:rPr>
                <w:rFonts w:asciiTheme="minorHAnsi" w:hAnsiTheme="minorHAnsi" w:cstheme="minorHAnsi"/>
              </w:rPr>
              <w:t>Dodano możliwość wysyłania komunikatów związanych z realizacją zadań na rzecz ochrony prawnej.</w:t>
            </w:r>
          </w:p>
        </w:tc>
      </w:tr>
      <w:tr w:rsidR="00333798" w:rsidRPr="00EF0D5A" w14:paraId="5D36C89F" w14:textId="77777777" w:rsidTr="006176E7">
        <w:tc>
          <w:tcPr>
            <w:tcW w:w="486" w:type="dxa"/>
            <w:shd w:val="clear" w:color="auto" w:fill="auto"/>
          </w:tcPr>
          <w:p w14:paraId="0E27B00A" w14:textId="77777777" w:rsidR="00333798" w:rsidRPr="00EF0D5A" w:rsidRDefault="00333798" w:rsidP="00D513C1">
            <w:pPr>
              <w:numPr>
                <w:ilvl w:val="0"/>
                <w:numId w:val="4"/>
              </w:numPr>
              <w:spacing w:after="120" w:line="240" w:lineRule="auto"/>
              <w:ind w:left="227" w:hanging="357"/>
              <w:jc w:val="center"/>
              <w:rPr>
                <w:rFonts w:asciiTheme="minorHAnsi" w:hAnsiTheme="minorHAnsi" w:cstheme="minorHAnsi"/>
              </w:rPr>
            </w:pPr>
          </w:p>
        </w:tc>
        <w:tc>
          <w:tcPr>
            <w:tcW w:w="1387" w:type="dxa"/>
            <w:shd w:val="clear" w:color="auto" w:fill="auto"/>
          </w:tcPr>
          <w:p w14:paraId="00532867" w14:textId="77777777" w:rsidR="00333798" w:rsidRPr="00EF0D5A" w:rsidRDefault="00333798" w:rsidP="00D513C1">
            <w:pPr>
              <w:spacing w:after="120" w:line="240" w:lineRule="auto"/>
              <w:rPr>
                <w:rFonts w:asciiTheme="minorHAnsi" w:hAnsiTheme="minorHAnsi" w:cstheme="minorHAnsi"/>
              </w:rPr>
            </w:pPr>
            <w:r w:rsidRPr="00EF0D5A">
              <w:rPr>
                <w:rFonts w:asciiTheme="minorHAnsi" w:hAnsiTheme="minorHAnsi" w:cstheme="minorHAnsi"/>
              </w:rPr>
              <w:t>20ga ustawy zmienianej</w:t>
            </w:r>
          </w:p>
        </w:tc>
        <w:tc>
          <w:tcPr>
            <w:tcW w:w="1417" w:type="dxa"/>
            <w:shd w:val="clear" w:color="auto" w:fill="auto"/>
          </w:tcPr>
          <w:p w14:paraId="3E180792" w14:textId="77777777" w:rsidR="00333798" w:rsidRPr="00EF0D5A" w:rsidRDefault="00333798" w:rsidP="00D513C1">
            <w:pPr>
              <w:spacing w:after="120" w:line="240" w:lineRule="auto"/>
              <w:rPr>
                <w:rFonts w:asciiTheme="minorHAnsi" w:hAnsiTheme="minorHAnsi" w:cstheme="minorHAnsi"/>
                <w:b/>
              </w:rPr>
            </w:pPr>
            <w:r w:rsidRPr="00EF0D5A">
              <w:rPr>
                <w:rFonts w:asciiTheme="minorHAnsi" w:hAnsiTheme="minorHAnsi" w:cstheme="minorHAnsi"/>
                <w:b/>
              </w:rPr>
              <w:t>MS</w:t>
            </w:r>
          </w:p>
        </w:tc>
        <w:tc>
          <w:tcPr>
            <w:tcW w:w="6804" w:type="dxa"/>
            <w:shd w:val="clear" w:color="auto" w:fill="auto"/>
          </w:tcPr>
          <w:p w14:paraId="0471055B" w14:textId="77777777" w:rsidR="00333798" w:rsidRPr="00EF0D5A" w:rsidRDefault="00333798" w:rsidP="00D513C1">
            <w:pPr>
              <w:spacing w:after="120" w:line="240" w:lineRule="auto"/>
              <w:rPr>
                <w:rFonts w:asciiTheme="minorHAnsi" w:hAnsiTheme="minorHAnsi" w:cstheme="minorHAnsi"/>
              </w:rPr>
            </w:pPr>
            <w:r w:rsidRPr="00EF0D5A">
              <w:rPr>
                <w:rFonts w:asciiTheme="minorHAnsi" w:hAnsiTheme="minorHAnsi" w:cstheme="minorHAnsi"/>
              </w:rPr>
              <w:t>Ponadto w projektowanym art. 20ga ust. 3 pkt 2 ww. ustawy – art. 1 pkt 2 projektu – zasadne wydaje się zastąpienie odesłania do art. 20i odesłaniem do art. 20h, albowiem to ten przepis jest przepisem konstytutywnym dla prowadzenia rejestru danych kontaktowych, nie zaś art. 20i, który określa jedynie sposób prowadzenia tego rejestru.</w:t>
            </w:r>
          </w:p>
        </w:tc>
        <w:tc>
          <w:tcPr>
            <w:tcW w:w="4218" w:type="dxa"/>
            <w:shd w:val="clear" w:color="auto" w:fill="auto"/>
          </w:tcPr>
          <w:p w14:paraId="60061E4C" w14:textId="3DB5ECAB" w:rsidR="00333798" w:rsidRPr="00EF0D5A" w:rsidRDefault="79ACF757" w:rsidP="00D513C1">
            <w:pPr>
              <w:spacing w:after="120" w:line="240" w:lineRule="auto"/>
              <w:rPr>
                <w:rFonts w:asciiTheme="minorHAnsi" w:hAnsiTheme="minorHAnsi" w:cstheme="minorHAnsi"/>
              </w:rPr>
            </w:pPr>
            <w:r w:rsidRPr="00EF0D5A">
              <w:rPr>
                <w:rFonts w:asciiTheme="minorHAnsi" w:hAnsiTheme="minorHAnsi" w:cstheme="minorHAnsi"/>
                <w:b/>
                <w:bCs/>
              </w:rPr>
              <w:t>Uwaga</w:t>
            </w:r>
            <w:r w:rsidR="002F4FBF" w:rsidRPr="00EF0D5A">
              <w:rPr>
                <w:rFonts w:asciiTheme="minorHAnsi" w:hAnsiTheme="minorHAnsi" w:cstheme="minorHAnsi"/>
                <w:b/>
                <w:bCs/>
              </w:rPr>
              <w:t xml:space="preserve"> nieaktualna z uwagi na zmiany merytoryczne oraz legislacyjne projektu.</w:t>
            </w:r>
          </w:p>
        </w:tc>
      </w:tr>
      <w:tr w:rsidR="00333798" w:rsidRPr="00EF0D5A" w14:paraId="3997FCF8" w14:textId="77777777" w:rsidTr="006176E7">
        <w:tc>
          <w:tcPr>
            <w:tcW w:w="486" w:type="dxa"/>
            <w:shd w:val="clear" w:color="auto" w:fill="auto"/>
          </w:tcPr>
          <w:p w14:paraId="44EAFD9C" w14:textId="77777777" w:rsidR="00333798" w:rsidRPr="00EF0D5A" w:rsidRDefault="00333798" w:rsidP="00D513C1">
            <w:pPr>
              <w:numPr>
                <w:ilvl w:val="0"/>
                <w:numId w:val="4"/>
              </w:numPr>
              <w:spacing w:after="120" w:line="240" w:lineRule="auto"/>
              <w:ind w:left="227" w:hanging="357"/>
              <w:jc w:val="center"/>
              <w:rPr>
                <w:rFonts w:asciiTheme="minorHAnsi" w:hAnsiTheme="minorHAnsi" w:cstheme="minorHAnsi"/>
              </w:rPr>
            </w:pPr>
          </w:p>
        </w:tc>
        <w:tc>
          <w:tcPr>
            <w:tcW w:w="1387" w:type="dxa"/>
            <w:shd w:val="clear" w:color="auto" w:fill="auto"/>
          </w:tcPr>
          <w:p w14:paraId="0059D51D" w14:textId="77777777" w:rsidR="00333798" w:rsidRPr="00EF0D5A" w:rsidRDefault="00333798" w:rsidP="00D513C1">
            <w:pPr>
              <w:spacing w:after="120" w:line="240" w:lineRule="auto"/>
              <w:rPr>
                <w:rFonts w:asciiTheme="minorHAnsi" w:hAnsiTheme="minorHAnsi" w:cstheme="minorHAnsi"/>
              </w:rPr>
            </w:pPr>
            <w:r w:rsidRPr="00EF0D5A">
              <w:rPr>
                <w:rFonts w:asciiTheme="minorHAnsi" w:hAnsiTheme="minorHAnsi" w:cstheme="minorHAnsi"/>
              </w:rPr>
              <w:t>OSR</w:t>
            </w:r>
          </w:p>
        </w:tc>
        <w:tc>
          <w:tcPr>
            <w:tcW w:w="1417" w:type="dxa"/>
            <w:shd w:val="clear" w:color="auto" w:fill="auto"/>
          </w:tcPr>
          <w:p w14:paraId="1B50AB72" w14:textId="77777777" w:rsidR="00333798" w:rsidRPr="00EF0D5A" w:rsidRDefault="00333798" w:rsidP="00D513C1">
            <w:pPr>
              <w:spacing w:after="120" w:line="240" w:lineRule="auto"/>
              <w:rPr>
                <w:rFonts w:asciiTheme="minorHAnsi" w:hAnsiTheme="minorHAnsi" w:cstheme="minorHAnsi"/>
                <w:b/>
              </w:rPr>
            </w:pPr>
            <w:r w:rsidRPr="00EF0D5A">
              <w:rPr>
                <w:rFonts w:asciiTheme="minorHAnsi" w:hAnsiTheme="minorHAnsi" w:cstheme="minorHAnsi"/>
                <w:b/>
              </w:rPr>
              <w:t>MS</w:t>
            </w:r>
          </w:p>
        </w:tc>
        <w:tc>
          <w:tcPr>
            <w:tcW w:w="6804" w:type="dxa"/>
            <w:shd w:val="clear" w:color="auto" w:fill="auto"/>
          </w:tcPr>
          <w:p w14:paraId="5B4B0A90" w14:textId="77777777" w:rsidR="00333798" w:rsidRPr="00EF0D5A" w:rsidRDefault="00333798" w:rsidP="00D513C1">
            <w:pPr>
              <w:spacing w:after="120" w:line="240" w:lineRule="auto"/>
              <w:rPr>
                <w:rFonts w:asciiTheme="minorHAnsi" w:hAnsiTheme="minorHAnsi" w:cstheme="minorHAnsi"/>
              </w:rPr>
            </w:pPr>
            <w:r w:rsidRPr="00EF0D5A">
              <w:rPr>
                <w:rFonts w:asciiTheme="minorHAnsi" w:hAnsiTheme="minorHAnsi" w:cstheme="minorHAnsi"/>
              </w:rPr>
              <w:t>W związku z projektowanymi regulacjami zachodzi potrzeba wskazania w punkcie 10. OSR sądów powszechnych, administracyjnych i wojskowych jako podmiotów objętych projektowaną regulacją.</w:t>
            </w:r>
          </w:p>
        </w:tc>
        <w:tc>
          <w:tcPr>
            <w:tcW w:w="4218" w:type="dxa"/>
            <w:shd w:val="clear" w:color="auto" w:fill="auto"/>
          </w:tcPr>
          <w:p w14:paraId="4B94D5A5" w14:textId="16C01F1C" w:rsidR="00333798" w:rsidRPr="00EF0D5A" w:rsidRDefault="32847E80" w:rsidP="00D513C1">
            <w:pPr>
              <w:spacing w:after="120" w:line="240" w:lineRule="auto"/>
              <w:rPr>
                <w:rFonts w:asciiTheme="minorHAnsi" w:hAnsiTheme="minorHAnsi" w:cstheme="minorHAnsi"/>
              </w:rPr>
            </w:pPr>
            <w:r w:rsidRPr="00EF0D5A">
              <w:rPr>
                <w:rFonts w:asciiTheme="minorHAnsi" w:hAnsiTheme="minorHAnsi" w:cstheme="minorHAnsi"/>
                <w:b/>
                <w:bCs/>
              </w:rPr>
              <w:t>Uwaga uwzględniona</w:t>
            </w:r>
          </w:p>
        </w:tc>
      </w:tr>
      <w:tr w:rsidR="00333798" w:rsidRPr="00EF0D5A" w14:paraId="3233348C" w14:textId="77777777" w:rsidTr="006176E7">
        <w:tc>
          <w:tcPr>
            <w:tcW w:w="486" w:type="dxa"/>
            <w:shd w:val="clear" w:color="auto" w:fill="auto"/>
          </w:tcPr>
          <w:p w14:paraId="3DEEC669" w14:textId="77777777" w:rsidR="00333798" w:rsidRPr="00EF0D5A" w:rsidRDefault="00333798" w:rsidP="00D513C1">
            <w:pPr>
              <w:numPr>
                <w:ilvl w:val="0"/>
                <w:numId w:val="4"/>
              </w:numPr>
              <w:spacing w:after="120" w:line="240" w:lineRule="auto"/>
              <w:ind w:left="227" w:hanging="357"/>
              <w:jc w:val="center"/>
              <w:rPr>
                <w:rFonts w:asciiTheme="minorHAnsi" w:hAnsiTheme="minorHAnsi" w:cstheme="minorHAnsi"/>
              </w:rPr>
            </w:pPr>
          </w:p>
        </w:tc>
        <w:tc>
          <w:tcPr>
            <w:tcW w:w="1387" w:type="dxa"/>
            <w:shd w:val="clear" w:color="auto" w:fill="auto"/>
          </w:tcPr>
          <w:p w14:paraId="51CF61FF" w14:textId="77777777" w:rsidR="00333798" w:rsidRPr="00EF0D5A" w:rsidRDefault="00333798" w:rsidP="00D513C1">
            <w:pPr>
              <w:spacing w:after="120" w:line="240" w:lineRule="auto"/>
              <w:rPr>
                <w:rFonts w:asciiTheme="minorHAnsi" w:hAnsiTheme="minorHAnsi" w:cstheme="minorHAnsi"/>
              </w:rPr>
            </w:pPr>
            <w:r w:rsidRPr="00EF0D5A">
              <w:rPr>
                <w:rFonts w:asciiTheme="minorHAnsi" w:hAnsiTheme="minorHAnsi" w:cstheme="minorHAnsi"/>
              </w:rPr>
              <w:t>Ogólna</w:t>
            </w:r>
          </w:p>
        </w:tc>
        <w:tc>
          <w:tcPr>
            <w:tcW w:w="1417" w:type="dxa"/>
            <w:shd w:val="clear" w:color="auto" w:fill="auto"/>
          </w:tcPr>
          <w:p w14:paraId="49AE9915" w14:textId="77777777" w:rsidR="00333798" w:rsidRPr="00EF0D5A" w:rsidRDefault="00333798" w:rsidP="00D513C1">
            <w:pPr>
              <w:spacing w:after="120" w:line="240" w:lineRule="auto"/>
              <w:rPr>
                <w:rFonts w:asciiTheme="minorHAnsi" w:hAnsiTheme="minorHAnsi" w:cstheme="minorHAnsi"/>
                <w:b/>
              </w:rPr>
            </w:pPr>
            <w:r w:rsidRPr="00EF0D5A">
              <w:rPr>
                <w:rFonts w:asciiTheme="minorHAnsi" w:hAnsiTheme="minorHAnsi" w:cstheme="minorHAnsi"/>
                <w:b/>
              </w:rPr>
              <w:t>MS</w:t>
            </w:r>
          </w:p>
        </w:tc>
        <w:tc>
          <w:tcPr>
            <w:tcW w:w="6804" w:type="dxa"/>
            <w:shd w:val="clear" w:color="auto" w:fill="auto"/>
          </w:tcPr>
          <w:p w14:paraId="183CDAAD" w14:textId="77777777" w:rsidR="00333798" w:rsidRPr="00EF0D5A" w:rsidRDefault="00333798" w:rsidP="00D513C1">
            <w:pPr>
              <w:spacing w:after="120" w:line="240" w:lineRule="auto"/>
              <w:rPr>
                <w:rFonts w:asciiTheme="minorHAnsi" w:hAnsiTheme="minorHAnsi" w:cstheme="minorHAnsi"/>
              </w:rPr>
            </w:pPr>
            <w:r w:rsidRPr="00EF0D5A">
              <w:rPr>
                <w:rFonts w:asciiTheme="minorHAnsi" w:hAnsiTheme="minorHAnsi" w:cstheme="minorHAnsi"/>
              </w:rPr>
              <w:t>Projektowane regulacje będą dotyczyły również sądownictwa, wobec czego konieczne jest zasięgnięcie opinii Krajowej Rady Sądownictwa, której zgodnie z art. 3 ust. 1 pkt 6 ustawy z dnia 12 maja 2011 r. o Krajowej Radzie Sądownictwa (Dz. U. z 2021 r. poz. 269) przysługuje kompetencja do opiniowania takich projektów aktów normatywnych.</w:t>
            </w:r>
          </w:p>
        </w:tc>
        <w:tc>
          <w:tcPr>
            <w:tcW w:w="4218" w:type="dxa"/>
            <w:shd w:val="clear" w:color="auto" w:fill="auto"/>
          </w:tcPr>
          <w:p w14:paraId="6F071D80" w14:textId="3CCD8995" w:rsidR="00333798" w:rsidRPr="00EF0D5A" w:rsidRDefault="2975BD24" w:rsidP="00D513C1">
            <w:pPr>
              <w:spacing w:after="120" w:line="240" w:lineRule="auto"/>
              <w:rPr>
                <w:rFonts w:asciiTheme="minorHAnsi" w:hAnsiTheme="minorHAnsi" w:cstheme="minorHAnsi"/>
                <w:u w:val="single"/>
              </w:rPr>
            </w:pPr>
            <w:r w:rsidRPr="00EF0D5A">
              <w:rPr>
                <w:rFonts w:asciiTheme="minorHAnsi" w:hAnsiTheme="minorHAnsi" w:cstheme="minorHAnsi"/>
                <w:b/>
                <w:bCs/>
              </w:rPr>
              <w:t>Uwaga uwzględniona</w:t>
            </w:r>
          </w:p>
          <w:p w14:paraId="3656B9AB" w14:textId="7F8329AA" w:rsidR="00333798" w:rsidRPr="00EF0D5A" w:rsidRDefault="2975BD24" w:rsidP="00D513C1">
            <w:pPr>
              <w:spacing w:after="120" w:line="240" w:lineRule="auto"/>
              <w:rPr>
                <w:rFonts w:asciiTheme="minorHAnsi" w:hAnsiTheme="minorHAnsi" w:cstheme="minorHAnsi"/>
                <w:b/>
                <w:bCs/>
              </w:rPr>
            </w:pPr>
            <w:r w:rsidRPr="00EF0D5A">
              <w:rPr>
                <w:rFonts w:asciiTheme="minorHAnsi" w:hAnsiTheme="minorHAnsi" w:cstheme="minorHAnsi"/>
              </w:rPr>
              <w:t>Przekazano projekt do zaopiniowania przez Krajową Radę Sądownictwa.</w:t>
            </w:r>
            <w:r w:rsidR="5E68104B" w:rsidRPr="00EF0D5A">
              <w:rPr>
                <w:rFonts w:asciiTheme="minorHAnsi" w:hAnsiTheme="minorHAnsi" w:cstheme="minorHAnsi"/>
              </w:rPr>
              <w:t xml:space="preserve"> Brak uwag KRS.</w:t>
            </w:r>
            <w:r w:rsidR="000F32DD" w:rsidRPr="00EF0D5A">
              <w:rPr>
                <w:rFonts w:asciiTheme="minorHAnsi" w:hAnsiTheme="minorHAnsi" w:cstheme="minorHAnsi"/>
              </w:rPr>
              <w:t xml:space="preserve"> </w:t>
            </w:r>
          </w:p>
        </w:tc>
      </w:tr>
      <w:tr w:rsidR="00333798" w:rsidRPr="00EF0D5A" w14:paraId="32F6EE79" w14:textId="77777777" w:rsidTr="006176E7">
        <w:tc>
          <w:tcPr>
            <w:tcW w:w="486" w:type="dxa"/>
            <w:shd w:val="clear" w:color="auto" w:fill="auto"/>
          </w:tcPr>
          <w:p w14:paraId="45FB0818" w14:textId="77777777" w:rsidR="00333798" w:rsidRPr="00EF0D5A" w:rsidRDefault="00333798" w:rsidP="00D513C1">
            <w:pPr>
              <w:numPr>
                <w:ilvl w:val="0"/>
                <w:numId w:val="4"/>
              </w:numPr>
              <w:spacing w:after="120" w:line="240" w:lineRule="auto"/>
              <w:ind w:left="227" w:hanging="357"/>
              <w:jc w:val="center"/>
              <w:rPr>
                <w:rFonts w:asciiTheme="minorHAnsi" w:hAnsiTheme="minorHAnsi" w:cstheme="minorHAnsi"/>
              </w:rPr>
            </w:pPr>
          </w:p>
        </w:tc>
        <w:tc>
          <w:tcPr>
            <w:tcW w:w="1387" w:type="dxa"/>
            <w:shd w:val="clear" w:color="auto" w:fill="auto"/>
          </w:tcPr>
          <w:p w14:paraId="45F65B38" w14:textId="77777777" w:rsidR="00333798" w:rsidRPr="00EF0D5A" w:rsidRDefault="00333798" w:rsidP="00D513C1">
            <w:pPr>
              <w:spacing w:after="120" w:line="240" w:lineRule="auto"/>
              <w:rPr>
                <w:rFonts w:asciiTheme="minorHAnsi" w:hAnsiTheme="minorHAnsi" w:cstheme="minorHAnsi"/>
              </w:rPr>
            </w:pPr>
            <w:r w:rsidRPr="00EF0D5A">
              <w:rPr>
                <w:rFonts w:asciiTheme="minorHAnsi" w:hAnsiTheme="minorHAnsi" w:cstheme="minorHAnsi"/>
              </w:rPr>
              <w:t xml:space="preserve">Ogólna </w:t>
            </w:r>
          </w:p>
        </w:tc>
        <w:tc>
          <w:tcPr>
            <w:tcW w:w="1417" w:type="dxa"/>
            <w:shd w:val="clear" w:color="auto" w:fill="auto"/>
          </w:tcPr>
          <w:p w14:paraId="686EC3FA" w14:textId="77777777" w:rsidR="00333798" w:rsidRPr="00EF0D5A" w:rsidRDefault="00333798" w:rsidP="00D513C1">
            <w:pPr>
              <w:spacing w:after="120" w:line="240" w:lineRule="auto"/>
              <w:rPr>
                <w:rFonts w:asciiTheme="minorHAnsi" w:hAnsiTheme="minorHAnsi" w:cstheme="minorHAnsi"/>
                <w:b/>
              </w:rPr>
            </w:pPr>
            <w:r w:rsidRPr="00EF0D5A">
              <w:rPr>
                <w:rFonts w:asciiTheme="minorHAnsi" w:hAnsiTheme="minorHAnsi" w:cstheme="minorHAnsi"/>
                <w:b/>
              </w:rPr>
              <w:t>MS</w:t>
            </w:r>
          </w:p>
        </w:tc>
        <w:tc>
          <w:tcPr>
            <w:tcW w:w="6804" w:type="dxa"/>
            <w:shd w:val="clear" w:color="auto" w:fill="auto"/>
          </w:tcPr>
          <w:p w14:paraId="13C1C41D" w14:textId="77777777" w:rsidR="00333798" w:rsidRPr="00EF0D5A" w:rsidRDefault="00333798" w:rsidP="00D513C1">
            <w:pPr>
              <w:spacing w:after="120" w:line="240" w:lineRule="auto"/>
              <w:rPr>
                <w:rFonts w:asciiTheme="minorHAnsi" w:hAnsiTheme="minorHAnsi" w:cstheme="minorHAnsi"/>
              </w:rPr>
            </w:pPr>
            <w:r w:rsidRPr="00EF0D5A">
              <w:rPr>
                <w:rFonts w:asciiTheme="minorHAnsi" w:hAnsiTheme="minorHAnsi" w:cstheme="minorHAnsi"/>
              </w:rPr>
              <w:t>Z uwagi na wpływ projektu ustawy na działalność sądownictwa administracyjnego i Sądu Najwyższego, niezbędne wydaje się również zasięgnięcie stanowiska Prezesa Naczelnego Sądu Administracyjnego oraz Pierwszego Prezesa Sądu Najwyższego w toku opiniowania omawianego projektu. Wymienione podmioty nie zostały wskazane w punkcie 5. OSR jako uczestniczące w konsultacjach publicznych i opiniowaniu projektu, a ich udział w opiniowaniu projektu wydaje się konieczny.</w:t>
            </w:r>
          </w:p>
        </w:tc>
        <w:tc>
          <w:tcPr>
            <w:tcW w:w="4218" w:type="dxa"/>
            <w:shd w:val="clear" w:color="auto" w:fill="auto"/>
          </w:tcPr>
          <w:p w14:paraId="5B903A35" w14:textId="3CCD8995" w:rsidR="00333798" w:rsidRPr="00EF0D5A" w:rsidRDefault="3773B981" w:rsidP="00D513C1">
            <w:pPr>
              <w:spacing w:after="120" w:line="240" w:lineRule="auto"/>
              <w:rPr>
                <w:rFonts w:asciiTheme="minorHAnsi" w:hAnsiTheme="minorHAnsi" w:cstheme="minorHAnsi"/>
                <w:u w:val="single"/>
              </w:rPr>
            </w:pPr>
            <w:r w:rsidRPr="00EF0D5A">
              <w:rPr>
                <w:rFonts w:asciiTheme="minorHAnsi" w:hAnsiTheme="minorHAnsi" w:cstheme="minorHAnsi"/>
                <w:b/>
                <w:bCs/>
              </w:rPr>
              <w:t>Uwaga uwzględniona</w:t>
            </w:r>
          </w:p>
          <w:p w14:paraId="7464DE31" w14:textId="65E24D33" w:rsidR="00333798" w:rsidRPr="00EF0D5A" w:rsidRDefault="3773B981" w:rsidP="00D513C1">
            <w:pPr>
              <w:spacing w:after="120" w:line="240" w:lineRule="auto"/>
              <w:rPr>
                <w:rFonts w:asciiTheme="minorHAnsi" w:hAnsiTheme="minorHAnsi" w:cstheme="minorHAnsi"/>
                <w:b/>
                <w:bCs/>
              </w:rPr>
            </w:pPr>
            <w:r w:rsidRPr="00EF0D5A">
              <w:rPr>
                <w:rFonts w:asciiTheme="minorHAnsi" w:hAnsiTheme="minorHAnsi" w:cstheme="minorHAnsi"/>
              </w:rPr>
              <w:t>Przekazano projekt do zaopiniowania przez Pierwszego Prezesa Sądu Najwyższego i Prezesa Naczelnego Sądu Administracyjnego.</w:t>
            </w:r>
            <w:r w:rsidR="605BB750" w:rsidRPr="00EF0D5A">
              <w:rPr>
                <w:rFonts w:asciiTheme="minorHAnsi" w:hAnsiTheme="minorHAnsi" w:cstheme="minorHAnsi"/>
              </w:rPr>
              <w:t xml:space="preserve"> Brak uwag Prezesa NSA i Pierwszego Prezesa SN.</w:t>
            </w:r>
            <w:r w:rsidR="000F32DD" w:rsidRPr="00EF0D5A">
              <w:rPr>
                <w:rFonts w:asciiTheme="minorHAnsi" w:hAnsiTheme="minorHAnsi" w:cstheme="minorHAnsi"/>
              </w:rPr>
              <w:t xml:space="preserve"> </w:t>
            </w:r>
          </w:p>
        </w:tc>
      </w:tr>
      <w:tr w:rsidR="00100573" w:rsidRPr="00EF0D5A" w14:paraId="6562159A" w14:textId="77777777" w:rsidTr="006176E7">
        <w:tc>
          <w:tcPr>
            <w:tcW w:w="486" w:type="dxa"/>
            <w:shd w:val="clear" w:color="auto" w:fill="auto"/>
          </w:tcPr>
          <w:p w14:paraId="049F31CB" w14:textId="77777777" w:rsidR="00F36588" w:rsidRPr="00EF0D5A" w:rsidRDefault="00F36588" w:rsidP="00D513C1">
            <w:pPr>
              <w:numPr>
                <w:ilvl w:val="0"/>
                <w:numId w:val="4"/>
              </w:numPr>
              <w:spacing w:after="120" w:line="240" w:lineRule="auto"/>
              <w:ind w:left="227" w:hanging="357"/>
              <w:jc w:val="center"/>
              <w:rPr>
                <w:rFonts w:asciiTheme="minorHAnsi" w:hAnsiTheme="minorHAnsi" w:cstheme="minorHAnsi"/>
              </w:rPr>
            </w:pPr>
          </w:p>
        </w:tc>
        <w:tc>
          <w:tcPr>
            <w:tcW w:w="1387" w:type="dxa"/>
            <w:shd w:val="clear" w:color="auto" w:fill="auto"/>
          </w:tcPr>
          <w:p w14:paraId="31AA728E" w14:textId="77777777" w:rsidR="00F36588" w:rsidRPr="00EF0D5A" w:rsidRDefault="00D26F71" w:rsidP="00D513C1">
            <w:pPr>
              <w:spacing w:after="120" w:line="240" w:lineRule="auto"/>
              <w:rPr>
                <w:rFonts w:asciiTheme="minorHAnsi" w:hAnsiTheme="minorHAnsi" w:cstheme="minorHAnsi"/>
              </w:rPr>
            </w:pPr>
            <w:r w:rsidRPr="00EF0D5A">
              <w:rPr>
                <w:rFonts w:asciiTheme="minorHAnsi" w:hAnsiTheme="minorHAnsi" w:cstheme="minorHAnsi"/>
              </w:rPr>
              <w:t>OSR</w:t>
            </w:r>
          </w:p>
        </w:tc>
        <w:tc>
          <w:tcPr>
            <w:tcW w:w="1417" w:type="dxa"/>
            <w:shd w:val="clear" w:color="auto" w:fill="auto"/>
          </w:tcPr>
          <w:p w14:paraId="62A48347" w14:textId="77777777" w:rsidR="00F36588" w:rsidRPr="00EF0D5A" w:rsidRDefault="00D26F71" w:rsidP="00D513C1">
            <w:pPr>
              <w:spacing w:after="120" w:line="240" w:lineRule="auto"/>
              <w:rPr>
                <w:rFonts w:asciiTheme="minorHAnsi" w:hAnsiTheme="minorHAnsi" w:cstheme="minorHAnsi"/>
                <w:b/>
              </w:rPr>
            </w:pPr>
            <w:r w:rsidRPr="00EF0D5A">
              <w:rPr>
                <w:rFonts w:asciiTheme="minorHAnsi" w:hAnsiTheme="minorHAnsi" w:cstheme="minorHAnsi"/>
                <w:b/>
              </w:rPr>
              <w:t>MF</w:t>
            </w:r>
          </w:p>
        </w:tc>
        <w:tc>
          <w:tcPr>
            <w:tcW w:w="6804" w:type="dxa"/>
            <w:shd w:val="clear" w:color="auto" w:fill="auto"/>
          </w:tcPr>
          <w:p w14:paraId="22F22A6C" w14:textId="77777777" w:rsidR="00FC7700" w:rsidRPr="00EF0D5A" w:rsidRDefault="00D26F71" w:rsidP="00D513C1">
            <w:pPr>
              <w:spacing w:after="120" w:line="240" w:lineRule="auto"/>
              <w:rPr>
                <w:rFonts w:asciiTheme="minorHAnsi" w:hAnsiTheme="minorHAnsi" w:cstheme="minorHAnsi"/>
              </w:rPr>
            </w:pPr>
            <w:r w:rsidRPr="00EF0D5A">
              <w:rPr>
                <w:rFonts w:asciiTheme="minorHAnsi" w:hAnsiTheme="minorHAnsi" w:cstheme="minorHAnsi"/>
              </w:rPr>
              <w:t>Projektowane przepisy mają na celu umożliwienie zastosowania w procesach uwierzytelniania za pomocą profilu zaufanego wygodniejszego dla użytkowników sposobu wykorzystania posiadanego numeru telefonu komórkowego jako jednego z czynników uwierzytelniania. Zgodnie z projektowanym art. 20ga ust. 24 ustawy koszty związane z budową i utrzymaniem systemu teleinformatycznego, o którym mowa w ust. 18, są finansowane ze środków Funduszu Szerokopasmowego, o którym mowa w art. 16a ust. 1 ustawy z dnia 7 maja 2010 r. o wspieraniu rozwoju usług i sieci telekomunikacyjnych., zwanego dalej „Funduszem Szerokopasmowym”. Ponadto w OSR pkt 6 – Wpływ na sektor finansów publicznych określono w źródłach finansowania, iż przedstawione rozwiązanie prawne nie będzie generowało zwiększenia wydatków budżetu państwa. Efektem wprowadzonych zmian będzie zmniejszenie wydatków budżetu państwa w części 27 – informatyzacja. Dodatkowo wskazano, iż wprowadzane przepisy skutkują zmniejszeniem przychodów Funduszu Szerokopasmowego z tytułu opłat za numerację (ustawa – Prawo telekomunikacyjne).</w:t>
            </w:r>
            <w:r w:rsidR="00FC7700" w:rsidRPr="00EF0D5A">
              <w:rPr>
                <w:rFonts w:asciiTheme="minorHAnsi" w:hAnsiTheme="minorHAnsi" w:cstheme="minorHAnsi"/>
              </w:rPr>
              <w:t xml:space="preserve"> </w:t>
            </w:r>
            <w:r w:rsidRPr="00EF0D5A">
              <w:rPr>
                <w:rFonts w:asciiTheme="minorHAnsi" w:hAnsiTheme="minorHAnsi" w:cstheme="minorHAnsi"/>
              </w:rPr>
              <w:t xml:space="preserve">Przy tym określono, że zmniejszenie </w:t>
            </w:r>
            <w:r w:rsidRPr="00EF0D5A">
              <w:rPr>
                <w:rFonts w:asciiTheme="minorHAnsi" w:hAnsiTheme="minorHAnsi" w:cstheme="minorHAnsi"/>
              </w:rPr>
              <w:lastRenderedPageBreak/>
              <w:t>przychodów Fun</w:t>
            </w:r>
            <w:r w:rsidR="00FC7700" w:rsidRPr="00EF0D5A">
              <w:rPr>
                <w:rFonts w:asciiTheme="minorHAnsi" w:hAnsiTheme="minorHAnsi" w:cstheme="minorHAnsi"/>
              </w:rPr>
              <w:t xml:space="preserve">duszu Szerokopasmowego z tytułu </w:t>
            </w:r>
            <w:r w:rsidRPr="00EF0D5A">
              <w:rPr>
                <w:rFonts w:asciiTheme="minorHAnsi" w:hAnsiTheme="minorHAnsi" w:cstheme="minorHAnsi"/>
              </w:rPr>
              <w:t>zmniejszenia wpływów z tytułu opłat za prawo do wy</w:t>
            </w:r>
            <w:r w:rsidR="00FC7700" w:rsidRPr="00EF0D5A">
              <w:rPr>
                <w:rFonts w:asciiTheme="minorHAnsi" w:hAnsiTheme="minorHAnsi" w:cstheme="minorHAnsi"/>
              </w:rPr>
              <w:t xml:space="preserve">korzystywania zasobów numeracji </w:t>
            </w:r>
            <w:r w:rsidRPr="00EF0D5A">
              <w:rPr>
                <w:rFonts w:asciiTheme="minorHAnsi" w:hAnsiTheme="minorHAnsi" w:cstheme="minorHAnsi"/>
              </w:rPr>
              <w:t xml:space="preserve">w zakresie wysokości opłat za numer abonencki </w:t>
            </w:r>
            <w:r w:rsidR="00FC7700" w:rsidRPr="00EF0D5A">
              <w:rPr>
                <w:rFonts w:asciiTheme="minorHAnsi" w:hAnsiTheme="minorHAnsi" w:cstheme="minorHAnsi"/>
              </w:rPr>
              <w:t xml:space="preserve">oraz za wyróżnik ruchomej sieci </w:t>
            </w:r>
            <w:r w:rsidRPr="00EF0D5A">
              <w:rPr>
                <w:rFonts w:asciiTheme="minorHAnsi" w:hAnsiTheme="minorHAnsi" w:cstheme="minorHAnsi"/>
              </w:rPr>
              <w:t xml:space="preserve">telekomunikacyjnej nie wpłynie w znaczący sposób na </w:t>
            </w:r>
            <w:r w:rsidR="00FC7700" w:rsidRPr="00EF0D5A">
              <w:rPr>
                <w:rFonts w:asciiTheme="minorHAnsi" w:hAnsiTheme="minorHAnsi" w:cstheme="minorHAnsi"/>
              </w:rPr>
              <w:t xml:space="preserve">inicjatywy podejmowane w ramach </w:t>
            </w:r>
            <w:r w:rsidRPr="00EF0D5A">
              <w:rPr>
                <w:rFonts w:asciiTheme="minorHAnsi" w:hAnsiTheme="minorHAnsi" w:cstheme="minorHAnsi"/>
              </w:rPr>
              <w:t>tego funduszu ze względu na prognozowane zwię</w:t>
            </w:r>
            <w:r w:rsidR="00FC7700" w:rsidRPr="00EF0D5A">
              <w:rPr>
                <w:rFonts w:asciiTheme="minorHAnsi" w:hAnsiTheme="minorHAnsi" w:cstheme="minorHAnsi"/>
              </w:rPr>
              <w:t xml:space="preserve">kszenie wpływów z tytułu innych </w:t>
            </w:r>
            <w:r w:rsidRPr="00EF0D5A">
              <w:rPr>
                <w:rFonts w:asciiTheme="minorHAnsi" w:hAnsiTheme="minorHAnsi" w:cstheme="minorHAnsi"/>
              </w:rPr>
              <w:t>prz</w:t>
            </w:r>
            <w:r w:rsidR="00FC7700" w:rsidRPr="00EF0D5A">
              <w:rPr>
                <w:rFonts w:asciiTheme="minorHAnsi" w:hAnsiTheme="minorHAnsi" w:cstheme="minorHAnsi"/>
              </w:rPr>
              <w:t>ychodów tego funduszu celowego.</w:t>
            </w:r>
          </w:p>
          <w:p w14:paraId="6CD75D3D" w14:textId="77777777" w:rsidR="00D26F71" w:rsidRPr="00EF0D5A" w:rsidRDefault="00D26F71" w:rsidP="00D513C1">
            <w:pPr>
              <w:spacing w:after="120" w:line="240" w:lineRule="auto"/>
              <w:rPr>
                <w:rFonts w:asciiTheme="minorHAnsi" w:hAnsiTheme="minorHAnsi" w:cstheme="minorHAnsi"/>
              </w:rPr>
            </w:pPr>
            <w:r w:rsidRPr="00EF0D5A">
              <w:rPr>
                <w:rFonts w:asciiTheme="minorHAnsi" w:hAnsiTheme="minorHAnsi" w:cstheme="minorHAnsi"/>
              </w:rPr>
              <w:t>1. Jednoznaczni</w:t>
            </w:r>
            <w:r w:rsidR="00FC7700" w:rsidRPr="00EF0D5A">
              <w:rPr>
                <w:rFonts w:asciiTheme="minorHAnsi" w:hAnsiTheme="minorHAnsi" w:cstheme="minorHAnsi"/>
              </w:rPr>
              <w:t xml:space="preserve">e odnieść się do kwestii wpływu </w:t>
            </w:r>
            <w:r w:rsidRPr="00EF0D5A">
              <w:rPr>
                <w:rFonts w:asciiTheme="minorHAnsi" w:hAnsiTheme="minorHAnsi" w:cstheme="minorHAnsi"/>
              </w:rPr>
              <w:t>proponowanych zmian na plan finansowy Funduszu Szerokopasmowego na 2023 rok i kolejne lata, bowiem informacja „nie wpłynie w znaczący sposób” jest niejednoznaczna.</w:t>
            </w:r>
          </w:p>
          <w:p w14:paraId="44CA6AD3" w14:textId="77777777" w:rsidR="00D26F71" w:rsidRPr="00EF0D5A" w:rsidRDefault="00D26F71" w:rsidP="00D513C1">
            <w:pPr>
              <w:spacing w:after="120" w:line="240" w:lineRule="auto"/>
              <w:rPr>
                <w:rFonts w:asciiTheme="minorHAnsi" w:hAnsiTheme="minorHAnsi" w:cstheme="minorHAnsi"/>
              </w:rPr>
            </w:pPr>
            <w:r w:rsidRPr="00EF0D5A">
              <w:rPr>
                <w:rFonts w:asciiTheme="minorHAnsi" w:hAnsiTheme="minorHAnsi" w:cstheme="minorHAnsi"/>
              </w:rPr>
              <w:t>2. Szczegółowo wyjaśnić, na czym będzie polegało i skutkowało zmniejszenie wydatków budżetu państwa w części 27 – Informatyzacja (OSR pkt 6 źródło finansowania). Ponadto w pkt 6 OSR w wierszu „Dodatkowe informacje(…)” wskazano, że podmioty publiczne, które będą zaangażowane w proces, tj. Minister właściwy do spraw informatyzacji oraz Prezes UKE, nie zostaną obciążone nowymi zadaniami o charakterze ciągłym. Doprecyzować przy tym należy, że zadania Prezesa UKE, wynikające z projektowanej regulacji, będą realizowane w ramach limitu wydatków corocznie planowanego w ustawie budżetowej dla cz. 76 – UKE, bez konieczności dodatkowych zwiększeń.</w:t>
            </w:r>
          </w:p>
          <w:p w14:paraId="643A5687" w14:textId="77777777" w:rsidR="00D26F71" w:rsidRPr="00EF0D5A" w:rsidRDefault="00D26F71" w:rsidP="00D513C1">
            <w:pPr>
              <w:spacing w:after="120" w:line="240" w:lineRule="auto"/>
              <w:rPr>
                <w:rFonts w:asciiTheme="minorHAnsi" w:hAnsiTheme="minorHAnsi" w:cstheme="minorHAnsi"/>
              </w:rPr>
            </w:pPr>
            <w:r w:rsidRPr="00EF0D5A">
              <w:rPr>
                <w:rFonts w:asciiTheme="minorHAnsi" w:hAnsiTheme="minorHAnsi" w:cstheme="minorHAnsi"/>
              </w:rPr>
              <w:t>3. W OSR w pkt 4. Podmioty, na które oddziałuje projekt, w odniesieniu do Prezesa UKE, podano zmniejszenie przychodów za numerację. Zapis ten powinien być wskazany jako oddziaływanie na Fundusz Szerokopasmowy. Opłaty za prawo do wykorzystywania zasobów numeracji wnosi się na rachunek bankowy UKE, a przychody te następnie zasilają Fundusz Szerokopasmowy. Skutek dotyczy więc Funduszu Szerokopasmowego.</w:t>
            </w:r>
          </w:p>
          <w:p w14:paraId="3901C7CB" w14:textId="77777777" w:rsidR="00D26F71" w:rsidRPr="00EF0D5A" w:rsidRDefault="00D26F71" w:rsidP="00D513C1">
            <w:pPr>
              <w:spacing w:after="120" w:line="240" w:lineRule="auto"/>
              <w:rPr>
                <w:rFonts w:asciiTheme="minorHAnsi" w:hAnsiTheme="minorHAnsi" w:cstheme="minorHAnsi"/>
              </w:rPr>
            </w:pPr>
            <w:r w:rsidRPr="00EF0D5A">
              <w:rPr>
                <w:rFonts w:asciiTheme="minorHAnsi" w:hAnsiTheme="minorHAnsi" w:cstheme="minorHAnsi"/>
              </w:rPr>
              <w:t xml:space="preserve">4. Zauważam również, że w uzasadnieniu do projektowanej ustawy, jak również w OSR do tej ustawy, nie ma informacji, jaki wpływ na ochronę danych osobowych osób fizycznych (użytkowników profilu zaufanego) będą miały projektowane przepisy i wprowadzona na ich podstawie </w:t>
            </w:r>
            <w:r w:rsidRPr="00EF0D5A">
              <w:rPr>
                <w:rFonts w:asciiTheme="minorHAnsi" w:hAnsiTheme="minorHAnsi" w:cstheme="minorHAnsi"/>
              </w:rPr>
              <w:lastRenderedPageBreak/>
              <w:t>możliwość korzystania z nowego mechanizmu uwierzytelniania (Mobile Connect) z wykorzystaniem telefonu komórkowego oraz czy została przeprowadzona ocena skutków dla ochrony danych osobowych w związku z ww. mechanizmem. Wydaje się, że wykonanie takiej oceny oraz zawarcie informacji o jej wynikach w OSR lub w uzasadnieniu do projektowanej regulacji, byłoby istotne i wskazane punktu widzenia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w:t>
            </w:r>
          </w:p>
        </w:tc>
        <w:tc>
          <w:tcPr>
            <w:tcW w:w="4218" w:type="dxa"/>
            <w:shd w:val="clear" w:color="auto" w:fill="auto"/>
          </w:tcPr>
          <w:p w14:paraId="61643E79" w14:textId="0D27BC68" w:rsidR="00F36588" w:rsidRPr="00EF0D5A" w:rsidRDefault="51BBD560" w:rsidP="00D513C1">
            <w:pPr>
              <w:spacing w:after="120" w:line="240" w:lineRule="auto"/>
              <w:rPr>
                <w:rFonts w:asciiTheme="minorHAnsi" w:hAnsiTheme="minorHAnsi" w:cstheme="minorHAnsi"/>
              </w:rPr>
            </w:pPr>
            <w:r w:rsidRPr="00EF0D5A">
              <w:rPr>
                <w:rFonts w:asciiTheme="minorHAnsi" w:eastAsia="Calibri" w:hAnsiTheme="minorHAnsi" w:cstheme="minorHAnsi"/>
                <w:b/>
                <w:bCs/>
              </w:rPr>
              <w:lastRenderedPageBreak/>
              <w:t>Uwaga wyjaśniona</w:t>
            </w:r>
          </w:p>
          <w:p w14:paraId="03093F59" w14:textId="532088A6" w:rsidR="00F36588" w:rsidRPr="00EF0D5A" w:rsidRDefault="51BBD560" w:rsidP="00D513C1">
            <w:pPr>
              <w:pStyle w:val="Akapitzlist"/>
              <w:numPr>
                <w:ilvl w:val="0"/>
                <w:numId w:val="1"/>
              </w:numPr>
              <w:spacing w:after="120" w:line="240" w:lineRule="auto"/>
              <w:contextualSpacing w:val="0"/>
              <w:rPr>
                <w:rFonts w:asciiTheme="minorHAnsi" w:eastAsia="Calibri" w:hAnsiTheme="minorHAnsi" w:cstheme="minorHAnsi"/>
              </w:rPr>
            </w:pPr>
            <w:r w:rsidRPr="00EF0D5A">
              <w:rPr>
                <w:rFonts w:asciiTheme="minorHAnsi" w:eastAsia="Calibri" w:hAnsiTheme="minorHAnsi" w:cstheme="minorHAnsi"/>
              </w:rPr>
              <w:t>W ocenie projektodawcy proponowane obniżenie przychod</w:t>
            </w:r>
            <w:r w:rsidR="00701360" w:rsidRPr="00EF0D5A">
              <w:rPr>
                <w:rFonts w:asciiTheme="minorHAnsi" w:eastAsia="Calibri" w:hAnsiTheme="minorHAnsi" w:cstheme="minorHAnsi"/>
              </w:rPr>
              <w:t>u</w:t>
            </w:r>
            <w:r w:rsidRPr="00EF0D5A">
              <w:rPr>
                <w:rFonts w:asciiTheme="minorHAnsi" w:eastAsia="Calibri" w:hAnsiTheme="minorHAnsi" w:cstheme="minorHAnsi"/>
              </w:rPr>
              <w:t xml:space="preserve"> Funduszu Szerokopasmowego nie wpłynie na inicjatywy finansowane z tego funduszu, ponieważ w związku z wejściem w życie ustawy</w:t>
            </w:r>
            <w:r w:rsidR="00D513C1" w:rsidRPr="00EF0D5A">
              <w:rPr>
                <w:rFonts w:asciiTheme="minorHAnsi" w:eastAsia="Calibri" w:hAnsiTheme="minorHAnsi" w:cstheme="minorHAnsi"/>
              </w:rPr>
              <w:t xml:space="preserve"> -</w:t>
            </w:r>
            <w:r w:rsidRPr="00EF0D5A">
              <w:rPr>
                <w:rFonts w:asciiTheme="minorHAnsi" w:eastAsia="Calibri" w:hAnsiTheme="minorHAnsi" w:cstheme="minorHAnsi"/>
              </w:rPr>
              <w:t xml:space="preserve"> Prawo komunikacji elektronicznej</w:t>
            </w:r>
            <w:r w:rsidR="00701360" w:rsidRPr="00EF0D5A">
              <w:rPr>
                <w:rFonts w:asciiTheme="minorHAnsi" w:eastAsia="Calibri" w:hAnsiTheme="minorHAnsi" w:cstheme="minorHAnsi"/>
              </w:rPr>
              <w:t xml:space="preserve"> (PKE)</w:t>
            </w:r>
            <w:r w:rsidRPr="00EF0D5A">
              <w:rPr>
                <w:rFonts w:asciiTheme="minorHAnsi" w:eastAsia="Calibri" w:hAnsiTheme="minorHAnsi" w:cstheme="minorHAnsi"/>
              </w:rPr>
              <w:t>, aktualnie procedowanej, której vacatio legis co do zasady wynosi 6 miesięcy, waloryzacji ulegną maksymalne stawki opłat , które stanowią przychód teg</w:t>
            </w:r>
            <w:r w:rsidR="00D513C1" w:rsidRPr="00EF0D5A">
              <w:rPr>
                <w:rFonts w:asciiTheme="minorHAnsi" w:eastAsia="Calibri" w:hAnsiTheme="minorHAnsi" w:cstheme="minorHAnsi"/>
              </w:rPr>
              <w:t>o funduszu. Minister właściwy do spraw</w:t>
            </w:r>
            <w:r w:rsidRPr="00EF0D5A">
              <w:rPr>
                <w:rFonts w:asciiTheme="minorHAnsi" w:eastAsia="Calibri" w:hAnsiTheme="minorHAnsi" w:cstheme="minorHAnsi"/>
              </w:rPr>
              <w:t xml:space="preserve"> informatyzacji określi w drodze rozporządzenia wysokości tych stawek w oparciu o przepisy art. 25 PKE. </w:t>
            </w:r>
          </w:p>
          <w:p w14:paraId="1E5D99E5" w14:textId="44129DF1" w:rsidR="00F36588" w:rsidRPr="00EF0D5A" w:rsidRDefault="51BBD560" w:rsidP="00D513C1">
            <w:pPr>
              <w:pStyle w:val="Akapitzlist"/>
              <w:numPr>
                <w:ilvl w:val="0"/>
                <w:numId w:val="1"/>
              </w:numPr>
              <w:spacing w:after="120" w:line="240" w:lineRule="auto"/>
              <w:contextualSpacing w:val="0"/>
              <w:rPr>
                <w:rFonts w:asciiTheme="minorHAnsi" w:eastAsia="Calibri" w:hAnsiTheme="minorHAnsi" w:cstheme="minorHAnsi"/>
              </w:rPr>
            </w:pPr>
            <w:r w:rsidRPr="00EF0D5A">
              <w:rPr>
                <w:rFonts w:asciiTheme="minorHAnsi" w:eastAsia="Calibri" w:hAnsiTheme="minorHAnsi" w:cstheme="minorHAnsi"/>
              </w:rPr>
              <w:lastRenderedPageBreak/>
              <w:t>Zmniejszenie wydatków budżetu państwa cz. 27 będzie polegało na braku konieczności nabywania od przedsiębiorców SMSów doręczanych w związku z potwierdzeniem profilu zaufanego. Doprecyzowano OSR zgodnie z uwagą.</w:t>
            </w:r>
          </w:p>
          <w:p w14:paraId="145F8DC1" w14:textId="29D1897B" w:rsidR="00F36588" w:rsidRPr="00EF0D5A" w:rsidRDefault="51BBD560" w:rsidP="00D513C1">
            <w:pPr>
              <w:pStyle w:val="Akapitzlist"/>
              <w:numPr>
                <w:ilvl w:val="0"/>
                <w:numId w:val="1"/>
              </w:numPr>
              <w:spacing w:after="120" w:line="240" w:lineRule="auto"/>
              <w:contextualSpacing w:val="0"/>
              <w:rPr>
                <w:rFonts w:asciiTheme="minorHAnsi" w:eastAsia="Calibri" w:hAnsiTheme="minorHAnsi" w:cstheme="minorHAnsi"/>
              </w:rPr>
            </w:pPr>
            <w:r w:rsidRPr="00EF0D5A">
              <w:rPr>
                <w:rFonts w:asciiTheme="minorHAnsi" w:eastAsia="Calibri" w:hAnsiTheme="minorHAnsi" w:cstheme="minorHAnsi"/>
              </w:rPr>
              <w:t>Uwaga uwzględniona</w:t>
            </w:r>
          </w:p>
          <w:p w14:paraId="62486C05" w14:textId="0AD35BEB" w:rsidR="00F36588" w:rsidRPr="00EF0D5A" w:rsidRDefault="51BBD560" w:rsidP="00D513C1">
            <w:pPr>
              <w:pStyle w:val="Akapitzlist"/>
              <w:numPr>
                <w:ilvl w:val="0"/>
                <w:numId w:val="1"/>
              </w:numPr>
              <w:spacing w:after="120" w:line="240" w:lineRule="auto"/>
              <w:contextualSpacing w:val="0"/>
              <w:rPr>
                <w:rFonts w:asciiTheme="minorHAnsi" w:hAnsiTheme="minorHAnsi" w:cstheme="minorHAnsi"/>
              </w:rPr>
            </w:pPr>
            <w:r w:rsidRPr="00EF0D5A">
              <w:rPr>
                <w:rFonts w:asciiTheme="minorHAnsi" w:eastAsia="Calibri" w:hAnsiTheme="minorHAnsi" w:cstheme="minorHAnsi"/>
              </w:rPr>
              <w:t>Projektowane przepisy w zakresie dopuszczenia usługi Mobile Connect w zakresie uwierzytelnień i autoryzacji nie wiążą się z przetwarzaniem danych osobowych użytkowników profilu zaufanego. W ramach tej usługi doręczany jest wyłącznie kod PIN na wskaz</w:t>
            </w:r>
            <w:r w:rsidR="00D32E9D" w:rsidRPr="00EF0D5A">
              <w:rPr>
                <w:rFonts w:asciiTheme="minorHAnsi" w:eastAsia="Calibri" w:hAnsiTheme="minorHAnsi" w:cstheme="minorHAnsi"/>
              </w:rPr>
              <w:t>any numer telefonu komórkowego.</w:t>
            </w:r>
          </w:p>
        </w:tc>
      </w:tr>
      <w:tr w:rsidR="00D26F71" w:rsidRPr="00EF0D5A" w14:paraId="73F4B179" w14:textId="77777777" w:rsidTr="006176E7">
        <w:tc>
          <w:tcPr>
            <w:tcW w:w="486" w:type="dxa"/>
            <w:shd w:val="clear" w:color="auto" w:fill="auto"/>
          </w:tcPr>
          <w:p w14:paraId="4101652C" w14:textId="77777777" w:rsidR="00D26F71" w:rsidRPr="00EF0D5A" w:rsidRDefault="00D26F71" w:rsidP="00D513C1">
            <w:pPr>
              <w:numPr>
                <w:ilvl w:val="0"/>
                <w:numId w:val="4"/>
              </w:numPr>
              <w:spacing w:after="120" w:line="240" w:lineRule="auto"/>
              <w:ind w:left="227" w:hanging="357"/>
              <w:jc w:val="center"/>
              <w:rPr>
                <w:rFonts w:asciiTheme="minorHAnsi" w:hAnsiTheme="minorHAnsi" w:cstheme="minorHAnsi"/>
              </w:rPr>
            </w:pPr>
          </w:p>
        </w:tc>
        <w:tc>
          <w:tcPr>
            <w:tcW w:w="1387" w:type="dxa"/>
            <w:shd w:val="clear" w:color="auto" w:fill="auto"/>
          </w:tcPr>
          <w:p w14:paraId="05F67058" w14:textId="77777777" w:rsidR="00D26F71" w:rsidRPr="00EF0D5A" w:rsidRDefault="00D26F71" w:rsidP="00D513C1">
            <w:pPr>
              <w:spacing w:after="120" w:line="240" w:lineRule="auto"/>
              <w:rPr>
                <w:rFonts w:asciiTheme="minorHAnsi" w:hAnsiTheme="minorHAnsi" w:cstheme="minorHAnsi"/>
              </w:rPr>
            </w:pPr>
            <w:r w:rsidRPr="00EF0D5A">
              <w:rPr>
                <w:rFonts w:asciiTheme="minorHAnsi" w:hAnsiTheme="minorHAnsi" w:cstheme="minorHAnsi"/>
              </w:rPr>
              <w:t>OSR</w:t>
            </w:r>
          </w:p>
        </w:tc>
        <w:tc>
          <w:tcPr>
            <w:tcW w:w="1417" w:type="dxa"/>
            <w:shd w:val="clear" w:color="auto" w:fill="auto"/>
          </w:tcPr>
          <w:p w14:paraId="47BB406F" w14:textId="77777777" w:rsidR="00D26F71" w:rsidRPr="00EF0D5A" w:rsidRDefault="00D26F71" w:rsidP="00D513C1">
            <w:pPr>
              <w:spacing w:after="120" w:line="240" w:lineRule="auto"/>
              <w:rPr>
                <w:rFonts w:asciiTheme="minorHAnsi" w:hAnsiTheme="minorHAnsi" w:cstheme="minorHAnsi"/>
                <w:b/>
              </w:rPr>
            </w:pPr>
            <w:r w:rsidRPr="00EF0D5A">
              <w:rPr>
                <w:rFonts w:asciiTheme="minorHAnsi" w:hAnsiTheme="minorHAnsi" w:cstheme="minorHAnsi"/>
                <w:b/>
              </w:rPr>
              <w:t>MRiT</w:t>
            </w:r>
          </w:p>
        </w:tc>
        <w:tc>
          <w:tcPr>
            <w:tcW w:w="6804" w:type="dxa"/>
            <w:shd w:val="clear" w:color="auto" w:fill="auto"/>
          </w:tcPr>
          <w:p w14:paraId="409A2F0B" w14:textId="77777777" w:rsidR="00D26F71" w:rsidRPr="00EF0D5A" w:rsidRDefault="00D26F71" w:rsidP="00D513C1">
            <w:pPr>
              <w:spacing w:after="120" w:line="240" w:lineRule="auto"/>
              <w:rPr>
                <w:rFonts w:asciiTheme="minorHAnsi" w:hAnsiTheme="minorHAnsi" w:cstheme="minorHAnsi"/>
              </w:rPr>
            </w:pPr>
            <w:r w:rsidRPr="00EF0D5A">
              <w:rPr>
                <w:rFonts w:asciiTheme="minorHAnsi" w:hAnsiTheme="minorHAnsi" w:cstheme="minorHAnsi"/>
              </w:rPr>
              <w:t xml:space="preserve">Projekt zakłada, że przedsiębiorcy telekomunikacyjni zostaną pozbawieni dochodów z SMS-ów za wysyłanie kodów autoryzacyjnych na podstawie umów zawieranych obecnie przez COI oraz zostaną zobligowani do nieodpłatnego wysyłania komunikatów informacyjnych do obywateli. Wprawdzie w OSR wyjaśniono, że zdaniem projektodawcy uszczerbek dochodów przedsiębiorców telekomunikacyjnych oraz poniesione przez nich koszty zostaną zrównoważone dzięki obniżeniu opłaty za numerację, jednak z przedstawionych w pkt 7 OSR szczegółowych wyliczeń wynika, że w dłuższej perspektywie wpływ ten będzie ujemny (wzrost wydatków dużych przedsiębiorstw w ciągu dekady wyniesie ok. 107,5 mln zł). Należałoby wyjaśnić, czy podstawową, najbardziej prawdopodobną prognozą jest ta o równowadze kosztów i korzyści dla przedsiębiorców telekomunikacyjnych, czy raczej ta zakładająca ujemny bilans kosztów i korzyści. O ile wysyłanie jednorazowych kodów autoryzacyjnych przez przedsiębiorców telekomunikacyjnych nie stanowi novum i nie nastręcza wątpliwości, zwłaszcza że dotychczas usługi te były świadczone odpłatnie, o tyle nałożenie na te podmioty nowego obowiązku nieodpłatnego wysyłania komunikatów informacyjnych (art. 20ga) wymaga już pogłębionej analizy, zwłaszcza w kontekście zakresu tego obowiązku i sposobu realizacji prawa do rekompensaty za poniesione koszty (projekt uzależnia ją od złożenia wniosku za dany rok kalendarzowy, a zatem </w:t>
            </w:r>
            <w:r w:rsidRPr="00EF0D5A">
              <w:rPr>
                <w:rFonts w:asciiTheme="minorHAnsi" w:hAnsiTheme="minorHAnsi" w:cstheme="minorHAnsi"/>
              </w:rPr>
              <w:lastRenderedPageBreak/>
              <w:t>rekompensata następuje z opóźnieniem i jest ściśle limitowana, bowiem wysokość obniżenia opłaty, o której mowa w ust. 12, nie może wynieść więcej niż 20% tej opłaty).</w:t>
            </w:r>
          </w:p>
          <w:p w14:paraId="2C731AFE" w14:textId="77777777" w:rsidR="00D26F71" w:rsidRPr="00EF0D5A" w:rsidRDefault="00D26F71" w:rsidP="00D513C1">
            <w:pPr>
              <w:spacing w:after="120" w:line="240" w:lineRule="auto"/>
              <w:rPr>
                <w:rFonts w:asciiTheme="minorHAnsi" w:hAnsiTheme="minorHAnsi" w:cstheme="minorHAnsi"/>
              </w:rPr>
            </w:pPr>
            <w:r w:rsidRPr="00EF0D5A">
              <w:rPr>
                <w:rFonts w:asciiTheme="minorHAnsi" w:hAnsiTheme="minorHAnsi" w:cstheme="minorHAnsi"/>
              </w:rPr>
              <w:t xml:space="preserve">Zwraca się uwagę w szczególności bardzo szeroki zakres obszarów, których komunikaty informacyjne mogą dotyczyć (ust. 3). Sprawy te nie będą dotyczyły np. wyjątkowych sytuacji kryzysowych czy anomalii pogodowych (jak w przypadku komunikatów RCB), lecz obejmą szeroki zakres zadań realizowanych przez organy administracji publicznej, rządowej i samorządowej. Wydaje się, że liczba i częstotliwość takich komunikatów może być znaczna. Obywateli będących odbiorcami tych komunikatów może zaskoczyć okoliczność, że ich otrzymywanie może wiązać się z opłatami w przypadku korzystania z roamingu międzynarodowego. Niemile zaskoczeni liczbą i częstotliwością zleceń przekazania komunikatów do odbiorców mogą być również sami przedsiębiorcy telekomunikacyjni, którzy nie będą mogli kwestionować zasadności wysłania komunikatu. Uprawnienie do weryfikacji zasadności zgłoszenia żądania przekazania komunikatu z celem przedmiotowym komunikatu oraz spełnienia wymagań technicznych komunikatu będzie przysługiwało wyłącznie ministrowi właściwemu do spraw informatyzacji, a przedsiębiorcy nie będą mogli złożyć odwołania ani wniosku o ponowne przeprowadzenie weryfikacji zasadności zgłoszenia żądania przekazania komunikatu (czynności dokonywane przez ministra będą miały charakter czynności materialno-technicznych). Warto byłoby więc przeanalizować możliwość uzupełnienia projektu o środek prawny dla przedsiębiorców telekomunikacyjnych, który pozwoliłby im na zwrócenie się o ponowne przeprowadzenie weryfikacji zasadności żądania i przedstawienie własnego stanowiska albo przynajmniej o przeprowadzenie takiej weryfikacji już po realizacji żądania i domagania się dodatkowej rekompensaty, jeżeli żądanie było niezasadne. Ponadto należałoby rozważyć nadanie regulacji, o której mowa w ust. 28, formy rozporządzenia. Wyrażona w ust. 28 norma upoważnia ministra do określenia (najprawdopodobniej w formie zarządzenia) w swoim dzienniku urzędowym szczegółowego zakresu weryfikacji oraz </w:t>
            </w:r>
            <w:r w:rsidRPr="00EF0D5A">
              <w:rPr>
                <w:rFonts w:asciiTheme="minorHAnsi" w:hAnsiTheme="minorHAnsi" w:cstheme="minorHAnsi"/>
              </w:rPr>
              <w:lastRenderedPageBreak/>
              <w:t>szczegółowego zakresu wymagań technicznych komunikatów informacyjnych. Komunikaty te będą przekazywane przez przedsiębiorców telekomunikacyjnych, a więc podmioty zewnętrzne w stosunku do administracji. Wydaje się, że określenie wymagań technicznych komunikatów, które będą przekazywane przez przedsiębiorców w odpowiednio dostosowanych do tych wymagań systemach teleinformatycznych będzie wpływało na sposób realizacji przez nich nowych obowiązków, jest to więc najprawdopodobniej materia, która powinna zostać uregulowana w rozporządzeniu. Zaletą takiej formy określenia szczegółowych wymagań technicznych byłaby możliwość przeprowadzenia konsultacji publicznych projektu rozporządzenia.</w:t>
            </w:r>
          </w:p>
        </w:tc>
        <w:tc>
          <w:tcPr>
            <w:tcW w:w="4218" w:type="dxa"/>
            <w:shd w:val="clear" w:color="auto" w:fill="auto"/>
          </w:tcPr>
          <w:p w14:paraId="63127024" w14:textId="79F54D05" w:rsidR="00D26F71" w:rsidRPr="00EF0D5A" w:rsidRDefault="4C83FCDF" w:rsidP="00D513C1">
            <w:pPr>
              <w:spacing w:after="120" w:line="240" w:lineRule="auto"/>
              <w:rPr>
                <w:rFonts w:asciiTheme="minorHAnsi" w:eastAsia="Calibri" w:hAnsiTheme="minorHAnsi" w:cstheme="minorHAnsi"/>
                <w:b/>
                <w:bCs/>
              </w:rPr>
            </w:pPr>
            <w:r w:rsidRPr="00EF0D5A">
              <w:rPr>
                <w:rFonts w:asciiTheme="minorHAnsi" w:eastAsia="Calibri" w:hAnsiTheme="minorHAnsi" w:cstheme="minorHAnsi"/>
                <w:b/>
                <w:bCs/>
              </w:rPr>
              <w:lastRenderedPageBreak/>
              <w:t>Uwaga wyjaśniona</w:t>
            </w:r>
          </w:p>
          <w:p w14:paraId="73E6E34F" w14:textId="58069E1E" w:rsidR="00D26F71" w:rsidRPr="00EF0D5A" w:rsidRDefault="4C83FCDF" w:rsidP="00D513C1">
            <w:pPr>
              <w:spacing w:after="120" w:line="240" w:lineRule="auto"/>
              <w:rPr>
                <w:rFonts w:asciiTheme="minorHAnsi" w:eastAsia="Calibri" w:hAnsiTheme="minorHAnsi" w:cstheme="minorHAnsi"/>
              </w:rPr>
            </w:pPr>
            <w:r w:rsidRPr="00EF0D5A">
              <w:rPr>
                <w:rFonts w:asciiTheme="minorHAnsi" w:eastAsia="Calibri" w:hAnsiTheme="minorHAnsi" w:cstheme="minorHAnsi"/>
              </w:rPr>
              <w:t xml:space="preserve">Duzi przedsiębiorcy nie odczują wzrostu wydatków a wyłącznie zmniejszenie przychodów pochodzących ze zrealizowanych zamówień publicznych w zakresie dostarczania wiadomości SMS. </w:t>
            </w:r>
          </w:p>
          <w:p w14:paraId="50A626FA" w14:textId="1A19AF9E" w:rsidR="00D26F71" w:rsidRPr="00EF0D5A" w:rsidRDefault="4C83FCDF" w:rsidP="00D513C1">
            <w:pPr>
              <w:spacing w:after="120" w:line="240" w:lineRule="auto"/>
              <w:rPr>
                <w:rFonts w:asciiTheme="minorHAnsi" w:eastAsia="Calibri" w:hAnsiTheme="minorHAnsi" w:cstheme="minorHAnsi"/>
              </w:rPr>
            </w:pPr>
            <w:r w:rsidRPr="00EF0D5A">
              <w:rPr>
                <w:rFonts w:asciiTheme="minorHAnsi" w:eastAsia="Calibri" w:hAnsiTheme="minorHAnsi" w:cstheme="minorHAnsi"/>
              </w:rPr>
              <w:t>Dostawcy usług telekomunikacyjnych odnotują w długiej perspektywie czasowej zmniejszenie przychodów w związku z nabywanymi przez podmioty publiczne SMSami oraz jednocześnie odnotują zmniejszenie obciążeni</w:t>
            </w:r>
            <w:r w:rsidR="00D513C1" w:rsidRPr="00EF0D5A">
              <w:rPr>
                <w:rFonts w:asciiTheme="minorHAnsi" w:eastAsia="Calibri" w:hAnsiTheme="minorHAnsi" w:cstheme="minorHAnsi"/>
              </w:rPr>
              <w:t>a</w:t>
            </w:r>
            <w:r w:rsidRPr="00EF0D5A">
              <w:rPr>
                <w:rFonts w:asciiTheme="minorHAnsi" w:eastAsia="Calibri" w:hAnsiTheme="minorHAnsi" w:cstheme="minorHAnsi"/>
              </w:rPr>
              <w:t xml:space="preserve"> daninami publicznymi</w:t>
            </w:r>
            <w:r w:rsidR="00D513C1" w:rsidRPr="00EF0D5A">
              <w:rPr>
                <w:rFonts w:asciiTheme="minorHAnsi" w:eastAsia="Calibri" w:hAnsiTheme="minorHAnsi" w:cstheme="minorHAnsi"/>
              </w:rPr>
              <w:t>,</w:t>
            </w:r>
            <w:r w:rsidRPr="00EF0D5A">
              <w:rPr>
                <w:rFonts w:asciiTheme="minorHAnsi" w:eastAsia="Calibri" w:hAnsiTheme="minorHAnsi" w:cstheme="minorHAnsi"/>
              </w:rPr>
              <w:t xml:space="preserve"> co będzie dla nich ostatecznie neutralne. Opłata za prawo do wykorzystania zasobów numeracji jest określana przez ministra właściwego </w:t>
            </w:r>
            <w:r w:rsidR="00D513C1" w:rsidRPr="00EF0D5A">
              <w:rPr>
                <w:rFonts w:asciiTheme="minorHAnsi" w:eastAsia="Calibri" w:hAnsiTheme="minorHAnsi" w:cstheme="minorHAnsi"/>
              </w:rPr>
              <w:t>do spraw</w:t>
            </w:r>
            <w:r w:rsidRPr="00EF0D5A">
              <w:rPr>
                <w:rFonts w:asciiTheme="minorHAnsi" w:eastAsia="Calibri" w:hAnsiTheme="minorHAnsi" w:cstheme="minorHAnsi"/>
              </w:rPr>
              <w:t xml:space="preserve"> informatyzacji w zakresie delegacji ustawowej określonej w ustawie </w:t>
            </w:r>
            <w:r w:rsidR="00D513C1" w:rsidRPr="00EF0D5A">
              <w:rPr>
                <w:rFonts w:asciiTheme="minorHAnsi" w:eastAsia="Calibri" w:hAnsiTheme="minorHAnsi" w:cstheme="minorHAnsi"/>
              </w:rPr>
              <w:t xml:space="preserve">- </w:t>
            </w:r>
            <w:r w:rsidRPr="00EF0D5A">
              <w:rPr>
                <w:rFonts w:asciiTheme="minorHAnsi" w:eastAsia="Calibri" w:hAnsiTheme="minorHAnsi" w:cstheme="minorHAnsi"/>
              </w:rPr>
              <w:t xml:space="preserve">Prawo telekomunikacyjne. Również procedowana </w:t>
            </w:r>
            <w:r w:rsidR="00627318" w:rsidRPr="00EF0D5A">
              <w:rPr>
                <w:rFonts w:asciiTheme="minorHAnsi" w:eastAsia="Calibri" w:hAnsiTheme="minorHAnsi" w:cstheme="minorHAnsi"/>
              </w:rPr>
              <w:t xml:space="preserve">aktualnie projekt ustawy </w:t>
            </w:r>
            <w:r w:rsidR="00D513C1" w:rsidRPr="00EF0D5A">
              <w:rPr>
                <w:rFonts w:asciiTheme="minorHAnsi" w:eastAsia="Calibri" w:hAnsiTheme="minorHAnsi" w:cstheme="minorHAnsi"/>
              </w:rPr>
              <w:t xml:space="preserve">- </w:t>
            </w:r>
            <w:r w:rsidRPr="00EF0D5A">
              <w:rPr>
                <w:rFonts w:asciiTheme="minorHAnsi" w:eastAsia="Calibri" w:hAnsiTheme="minorHAnsi" w:cstheme="minorHAnsi"/>
              </w:rPr>
              <w:t xml:space="preserve">Prawo </w:t>
            </w:r>
            <w:r w:rsidRPr="00EF0D5A">
              <w:rPr>
                <w:rFonts w:asciiTheme="minorHAnsi" w:eastAsia="Calibri" w:hAnsiTheme="minorHAnsi" w:cstheme="minorHAnsi"/>
              </w:rPr>
              <w:lastRenderedPageBreak/>
              <w:t xml:space="preserve">komunikacji elektronicznej zawiera zespół przepisów odnoszących się do określenia wysokości opłaty za prawo do wykorzystania zasobów numeracji. Projekt ustawy </w:t>
            </w:r>
            <w:r w:rsidR="00D513C1" w:rsidRPr="00EF0D5A">
              <w:rPr>
                <w:rFonts w:asciiTheme="minorHAnsi" w:eastAsia="Calibri" w:hAnsiTheme="minorHAnsi" w:cstheme="minorHAnsi"/>
              </w:rPr>
              <w:t xml:space="preserve">- </w:t>
            </w:r>
            <w:r w:rsidRPr="00EF0D5A">
              <w:rPr>
                <w:rFonts w:asciiTheme="minorHAnsi" w:eastAsia="Calibri" w:hAnsiTheme="minorHAnsi" w:cstheme="minorHAnsi"/>
              </w:rPr>
              <w:t>PKE zakłada powiązanie maksymalnej opłaty za prawo do wykorzystania zasobów numeracji z sytuacją ekonomiczno-gospodarczą kraju.</w:t>
            </w:r>
          </w:p>
          <w:p w14:paraId="1EB7485A" w14:textId="6FD7AF65" w:rsidR="00D26F71" w:rsidRPr="00EF0D5A" w:rsidRDefault="4C83FCDF" w:rsidP="00D513C1">
            <w:pPr>
              <w:spacing w:after="120" w:line="240" w:lineRule="auto"/>
              <w:rPr>
                <w:rFonts w:asciiTheme="minorHAnsi" w:eastAsia="Calibri" w:hAnsiTheme="minorHAnsi" w:cstheme="minorHAnsi"/>
              </w:rPr>
            </w:pPr>
            <w:r w:rsidRPr="00EF0D5A">
              <w:rPr>
                <w:rFonts w:asciiTheme="minorHAnsi" w:eastAsia="Calibri" w:hAnsiTheme="minorHAnsi" w:cstheme="minorHAnsi"/>
              </w:rPr>
              <w:t>Wobec powyższego można stwierdzić, że opłata ta ustalana przez ministra w drodze rozporządzenia może być waloryzowana co roku po opublikowaniu przez Prezesa GUS wysokości przeciętnego wynagrodzenia w gospodarce narodowej, o którym mowa w art. 20 pkt 1 lit. a ustawy z dnia 17 grudnia 1998 r. o emeryturach i rentach z Funduszu Ubezpieczeń Społecznych</w:t>
            </w:r>
            <w:r w:rsidR="00966C96" w:rsidRPr="00EF0D5A">
              <w:rPr>
                <w:rFonts w:asciiTheme="minorHAnsi" w:eastAsia="Calibri" w:hAnsiTheme="minorHAnsi" w:cstheme="minorHAnsi"/>
              </w:rPr>
              <w:t xml:space="preserve"> </w:t>
            </w:r>
            <w:r w:rsidR="006149E6" w:rsidRPr="00EF0D5A">
              <w:rPr>
                <w:rFonts w:asciiTheme="minorHAnsi" w:hAnsiTheme="minorHAnsi" w:cstheme="minorHAnsi"/>
              </w:rPr>
              <w:t>(</w:t>
            </w:r>
            <w:r w:rsidR="006149E6" w:rsidRPr="00EF0D5A">
              <w:rPr>
                <w:rFonts w:asciiTheme="minorHAnsi" w:eastAsia="Calibri" w:hAnsiTheme="minorHAnsi" w:cstheme="minorHAnsi"/>
              </w:rPr>
              <w:t>Dz.</w:t>
            </w:r>
            <w:r w:rsidR="00D513C1" w:rsidRPr="00EF0D5A">
              <w:rPr>
                <w:rFonts w:asciiTheme="minorHAnsi" w:eastAsia="Calibri" w:hAnsiTheme="minorHAnsi" w:cstheme="minorHAnsi"/>
              </w:rPr>
              <w:t xml:space="preserve"> </w:t>
            </w:r>
            <w:r w:rsidR="006149E6" w:rsidRPr="00EF0D5A">
              <w:rPr>
                <w:rFonts w:asciiTheme="minorHAnsi" w:eastAsia="Calibri" w:hAnsiTheme="minorHAnsi" w:cstheme="minorHAnsi"/>
              </w:rPr>
              <w:t>U. 2022 r. poz. 504)</w:t>
            </w:r>
            <w:r w:rsidR="00D23743" w:rsidRPr="00EF0D5A">
              <w:rPr>
                <w:rFonts w:asciiTheme="minorHAnsi" w:eastAsia="Calibri" w:hAnsiTheme="minorHAnsi" w:cstheme="minorHAnsi"/>
              </w:rPr>
              <w:t>.</w:t>
            </w:r>
          </w:p>
          <w:p w14:paraId="6AC19060" w14:textId="139EBED3" w:rsidR="00D26F71" w:rsidRPr="00EF0D5A" w:rsidRDefault="4C83FCDF" w:rsidP="00D513C1">
            <w:pPr>
              <w:spacing w:after="120" w:line="240" w:lineRule="auto"/>
              <w:rPr>
                <w:rFonts w:asciiTheme="minorHAnsi" w:eastAsia="Calibri" w:hAnsiTheme="minorHAnsi" w:cstheme="minorHAnsi"/>
              </w:rPr>
            </w:pPr>
            <w:r w:rsidRPr="00EF0D5A">
              <w:rPr>
                <w:rFonts w:asciiTheme="minorHAnsi" w:eastAsia="Calibri" w:hAnsiTheme="minorHAnsi" w:cstheme="minorHAnsi"/>
              </w:rPr>
              <w:t>Częstotliwość komunikatów, o których mowa w projekcie ustawy będzie podobna do tych, które obecnie są przekazywane przez podmioty publiczne i za które podmioty publiczne uiszczają opłaty, co w szczególności dla jednostek samorządu terytorialnego może stanowić znaczne obciążenie budżetu.</w:t>
            </w:r>
          </w:p>
          <w:p w14:paraId="7A2176B1" w14:textId="4E53CB75" w:rsidR="00D26F71" w:rsidRPr="00EF0D5A" w:rsidRDefault="4C83FCDF" w:rsidP="00D513C1">
            <w:pPr>
              <w:spacing w:after="120" w:line="240" w:lineRule="auto"/>
              <w:rPr>
                <w:rFonts w:asciiTheme="minorHAnsi" w:eastAsia="Calibri" w:hAnsiTheme="minorHAnsi" w:cstheme="minorHAnsi"/>
              </w:rPr>
            </w:pPr>
            <w:r w:rsidRPr="00EF0D5A">
              <w:rPr>
                <w:rFonts w:asciiTheme="minorHAnsi" w:eastAsia="Calibri" w:hAnsiTheme="minorHAnsi" w:cstheme="minorHAnsi"/>
              </w:rPr>
              <w:t xml:space="preserve">Opłata za przekazanie komunikatu w roamingu międzynarodowym może być naliczana tylko wówczas, gdy SMS został wysłany w związku z potwierdzeniem wykorzystania profilu zaufanego, tj. w przypadku inicjatywy użytkownika. Opłaty na abonentów nie mogą być nakładane w </w:t>
            </w:r>
            <w:r w:rsidRPr="00EF0D5A">
              <w:rPr>
                <w:rFonts w:asciiTheme="minorHAnsi" w:eastAsia="Calibri" w:hAnsiTheme="minorHAnsi" w:cstheme="minorHAnsi"/>
              </w:rPr>
              <w:lastRenderedPageBreak/>
              <w:t>związku z przekazywaniem komunikatów informacyjnych, o których mowa w art. 20ga.</w:t>
            </w:r>
          </w:p>
          <w:p w14:paraId="0FB7FFC7" w14:textId="3CEE12AA" w:rsidR="00D26F71" w:rsidRPr="00EF0D5A" w:rsidRDefault="4C83FCDF" w:rsidP="00D513C1">
            <w:pPr>
              <w:spacing w:after="120" w:line="240" w:lineRule="auto"/>
              <w:rPr>
                <w:rFonts w:asciiTheme="minorHAnsi" w:eastAsia="Calibri" w:hAnsiTheme="minorHAnsi" w:cstheme="minorHAnsi"/>
              </w:rPr>
            </w:pPr>
            <w:r w:rsidRPr="00EF0D5A">
              <w:rPr>
                <w:rFonts w:asciiTheme="minorHAnsi" w:eastAsia="Calibri" w:hAnsiTheme="minorHAnsi" w:cstheme="minorHAnsi"/>
              </w:rPr>
              <w:t>Wyłącznym podmiotem, który będzie mógł weryfikować zasadność przekazania komunikatu będzie minister właściwy d</w:t>
            </w:r>
            <w:r w:rsidR="00D513C1" w:rsidRPr="00EF0D5A">
              <w:rPr>
                <w:rFonts w:asciiTheme="minorHAnsi" w:eastAsia="Calibri" w:hAnsiTheme="minorHAnsi" w:cstheme="minorHAnsi"/>
              </w:rPr>
              <w:t>o spraw</w:t>
            </w:r>
            <w:r w:rsidRPr="00EF0D5A">
              <w:rPr>
                <w:rFonts w:asciiTheme="minorHAnsi" w:eastAsia="Calibri" w:hAnsiTheme="minorHAnsi" w:cstheme="minorHAnsi"/>
              </w:rPr>
              <w:t xml:space="preserve"> informatyzacji. Na podmioty prywatne nie będzie nałożony nadmierny obowiązek zaangażowania w ten proces. </w:t>
            </w:r>
          </w:p>
          <w:p w14:paraId="4B99056E" w14:textId="4AF39B80" w:rsidR="00D26F71" w:rsidRPr="00EF0D5A" w:rsidRDefault="4C83FCDF" w:rsidP="00627318">
            <w:pPr>
              <w:spacing w:after="120" w:line="240" w:lineRule="auto"/>
              <w:rPr>
                <w:rFonts w:asciiTheme="minorHAnsi" w:eastAsia="Calibri" w:hAnsiTheme="minorHAnsi" w:cstheme="minorHAnsi"/>
              </w:rPr>
            </w:pPr>
            <w:r w:rsidRPr="00EF0D5A">
              <w:rPr>
                <w:rFonts w:asciiTheme="minorHAnsi" w:eastAsia="Calibri" w:hAnsiTheme="minorHAnsi" w:cstheme="minorHAnsi"/>
              </w:rPr>
              <w:t xml:space="preserve">Warunki techniczne przekazywania komunikatów informacyjnych powinny być </w:t>
            </w:r>
            <w:r w:rsidR="00627318" w:rsidRPr="00EF0D5A">
              <w:rPr>
                <w:rFonts w:asciiTheme="minorHAnsi" w:eastAsia="Calibri" w:hAnsiTheme="minorHAnsi" w:cstheme="minorHAnsi"/>
              </w:rPr>
              <w:t>ustalone w regulaminie obsługi zgłoszeń żądania przekazania komunikatu informacyjnego</w:t>
            </w:r>
            <w:r w:rsidR="00D513C1" w:rsidRPr="00EF0D5A">
              <w:rPr>
                <w:rFonts w:asciiTheme="minorHAnsi" w:eastAsia="Calibri" w:hAnsiTheme="minorHAnsi" w:cstheme="minorHAnsi"/>
              </w:rPr>
              <w:t>,</w:t>
            </w:r>
            <w:r w:rsidRPr="00EF0D5A">
              <w:rPr>
                <w:rFonts w:asciiTheme="minorHAnsi" w:eastAsia="Calibri" w:hAnsiTheme="minorHAnsi" w:cstheme="minorHAnsi"/>
              </w:rPr>
              <w:t xml:space="preserve"> a nie rozporządzeniu, ponieważ będą one zawierać zespół wymagań technicznych i organizacyjnych niezbędnych do prawidłowego przetworzenia komunikatu informacyjnego, a także będą rozbudowane o różny zestaw wymagań dla różnego rodzaju interesariuszy. Wymagania te winny być aktualizowane szybko i możliwe jak najbardziej efektywnie biorąc pod uwagę zmieniające się otoczenie technologiczne.</w:t>
            </w:r>
          </w:p>
        </w:tc>
      </w:tr>
      <w:tr w:rsidR="00D26F71" w:rsidRPr="00EF0D5A" w14:paraId="783F89A1" w14:textId="77777777" w:rsidTr="006176E7">
        <w:tc>
          <w:tcPr>
            <w:tcW w:w="486" w:type="dxa"/>
            <w:shd w:val="clear" w:color="auto" w:fill="auto"/>
          </w:tcPr>
          <w:p w14:paraId="1299C43A" w14:textId="77777777" w:rsidR="00D26F71" w:rsidRPr="00EF0D5A" w:rsidRDefault="00D26F71" w:rsidP="00D513C1">
            <w:pPr>
              <w:numPr>
                <w:ilvl w:val="0"/>
                <w:numId w:val="4"/>
              </w:numPr>
              <w:spacing w:after="120" w:line="240" w:lineRule="auto"/>
              <w:ind w:left="227" w:hanging="357"/>
              <w:jc w:val="center"/>
              <w:rPr>
                <w:rFonts w:asciiTheme="minorHAnsi" w:hAnsiTheme="minorHAnsi" w:cstheme="minorHAnsi"/>
              </w:rPr>
            </w:pPr>
          </w:p>
        </w:tc>
        <w:tc>
          <w:tcPr>
            <w:tcW w:w="1387" w:type="dxa"/>
            <w:shd w:val="clear" w:color="auto" w:fill="auto"/>
          </w:tcPr>
          <w:p w14:paraId="751AEDE3" w14:textId="27F368D3" w:rsidR="00D26F71" w:rsidRPr="00EF0D5A" w:rsidRDefault="735DC317" w:rsidP="00D513C1">
            <w:pPr>
              <w:spacing w:after="120" w:line="240" w:lineRule="auto"/>
              <w:rPr>
                <w:rFonts w:asciiTheme="minorHAnsi" w:hAnsiTheme="minorHAnsi" w:cstheme="minorHAnsi"/>
              </w:rPr>
            </w:pPr>
            <w:r w:rsidRPr="00EF0D5A">
              <w:rPr>
                <w:rFonts w:asciiTheme="minorHAnsi" w:hAnsiTheme="minorHAnsi" w:cstheme="minorHAnsi"/>
              </w:rPr>
              <w:t>OSR</w:t>
            </w:r>
          </w:p>
        </w:tc>
        <w:tc>
          <w:tcPr>
            <w:tcW w:w="1417" w:type="dxa"/>
            <w:shd w:val="clear" w:color="auto" w:fill="auto"/>
          </w:tcPr>
          <w:p w14:paraId="3C5D680C" w14:textId="2B1629A6" w:rsidR="00D26F71" w:rsidRPr="00EF0D5A" w:rsidRDefault="735DC317" w:rsidP="00D513C1">
            <w:pPr>
              <w:spacing w:after="120" w:line="240" w:lineRule="auto"/>
              <w:rPr>
                <w:rFonts w:asciiTheme="minorHAnsi" w:hAnsiTheme="minorHAnsi" w:cstheme="minorHAnsi"/>
                <w:b/>
                <w:bCs/>
              </w:rPr>
            </w:pPr>
            <w:r w:rsidRPr="00EF0D5A">
              <w:rPr>
                <w:rFonts w:asciiTheme="minorHAnsi" w:hAnsiTheme="minorHAnsi" w:cstheme="minorHAnsi"/>
                <w:b/>
                <w:bCs/>
              </w:rPr>
              <w:t>MRiT</w:t>
            </w:r>
          </w:p>
        </w:tc>
        <w:tc>
          <w:tcPr>
            <w:tcW w:w="6804" w:type="dxa"/>
            <w:shd w:val="clear" w:color="auto" w:fill="auto"/>
          </w:tcPr>
          <w:p w14:paraId="2E2B4EB7" w14:textId="77777777" w:rsidR="00D26F71" w:rsidRPr="00EF0D5A" w:rsidRDefault="00D26F71" w:rsidP="00D513C1">
            <w:pPr>
              <w:spacing w:after="120" w:line="240" w:lineRule="auto"/>
              <w:rPr>
                <w:rFonts w:asciiTheme="minorHAnsi" w:hAnsiTheme="minorHAnsi" w:cstheme="minorHAnsi"/>
              </w:rPr>
            </w:pPr>
            <w:r w:rsidRPr="00EF0D5A">
              <w:rPr>
                <w:rFonts w:asciiTheme="minorHAnsi" w:hAnsiTheme="minorHAnsi" w:cstheme="minorHAnsi"/>
              </w:rPr>
              <w:t>W odniesieniu do nowych obciążeń nakładanych na przedsiębiorców należy nadto wskazać na brak informacji w pkt 8 OSR o zwiększeniu obciążeń administracyjnych przedsiębiorców telekomunikacyjnych, w szczególności o zwiększeniu liczby procedur i dokumentów (można wskazać np. na obowiązek rejestracji w nowym systemie teleinformatycznym oraz na nowy wniosek o obniżenie opłaty za prawo do wykorzystywania zasobów numeracji w zakresie wysokości opłat za numer abonencki oraz za wyróżnik ruchomej sieci telekomunikacyjnej).</w:t>
            </w:r>
          </w:p>
        </w:tc>
        <w:tc>
          <w:tcPr>
            <w:tcW w:w="4218" w:type="dxa"/>
            <w:shd w:val="clear" w:color="auto" w:fill="auto"/>
          </w:tcPr>
          <w:p w14:paraId="4DDBEF00" w14:textId="1E77C8E9" w:rsidR="00D26F71" w:rsidRPr="00EF0D5A" w:rsidRDefault="34F33B79" w:rsidP="00D513C1">
            <w:pPr>
              <w:spacing w:after="120" w:line="240" w:lineRule="auto"/>
              <w:rPr>
                <w:rFonts w:asciiTheme="minorHAnsi" w:hAnsiTheme="minorHAnsi" w:cstheme="minorHAnsi"/>
                <w:b/>
                <w:bCs/>
              </w:rPr>
            </w:pPr>
            <w:r w:rsidRPr="00EF0D5A">
              <w:rPr>
                <w:rFonts w:asciiTheme="minorHAnsi" w:hAnsiTheme="minorHAnsi" w:cstheme="minorHAnsi"/>
                <w:b/>
                <w:bCs/>
              </w:rPr>
              <w:t>Uwaga uwzględniona</w:t>
            </w:r>
          </w:p>
        </w:tc>
      </w:tr>
      <w:tr w:rsidR="00D26F71" w:rsidRPr="00D513C1" w14:paraId="7200BD83" w14:textId="77777777" w:rsidTr="006176E7">
        <w:tc>
          <w:tcPr>
            <w:tcW w:w="486" w:type="dxa"/>
            <w:shd w:val="clear" w:color="auto" w:fill="auto"/>
          </w:tcPr>
          <w:p w14:paraId="3461D779" w14:textId="77777777" w:rsidR="00D26F71" w:rsidRPr="00EF0D5A" w:rsidRDefault="00D26F71" w:rsidP="00D513C1">
            <w:pPr>
              <w:numPr>
                <w:ilvl w:val="0"/>
                <w:numId w:val="4"/>
              </w:numPr>
              <w:spacing w:after="120" w:line="240" w:lineRule="auto"/>
              <w:ind w:left="227" w:hanging="357"/>
              <w:jc w:val="center"/>
              <w:rPr>
                <w:rFonts w:asciiTheme="minorHAnsi" w:hAnsiTheme="minorHAnsi" w:cstheme="minorHAnsi"/>
              </w:rPr>
            </w:pPr>
          </w:p>
        </w:tc>
        <w:tc>
          <w:tcPr>
            <w:tcW w:w="1387" w:type="dxa"/>
            <w:shd w:val="clear" w:color="auto" w:fill="auto"/>
          </w:tcPr>
          <w:p w14:paraId="38C8C217" w14:textId="0483EA08" w:rsidR="00D26F71" w:rsidRPr="00EF0D5A" w:rsidRDefault="01335A3B" w:rsidP="00D513C1">
            <w:pPr>
              <w:spacing w:after="120" w:line="240" w:lineRule="auto"/>
              <w:rPr>
                <w:rFonts w:asciiTheme="minorHAnsi" w:hAnsiTheme="minorHAnsi" w:cstheme="minorHAnsi"/>
              </w:rPr>
            </w:pPr>
            <w:r w:rsidRPr="00EF0D5A">
              <w:rPr>
                <w:rFonts w:asciiTheme="minorHAnsi" w:hAnsiTheme="minorHAnsi" w:cstheme="minorHAnsi"/>
              </w:rPr>
              <w:t>uza</w:t>
            </w:r>
            <w:r w:rsidR="001544BA" w:rsidRPr="00EF0D5A">
              <w:rPr>
                <w:rFonts w:asciiTheme="minorHAnsi" w:hAnsiTheme="minorHAnsi" w:cstheme="minorHAnsi"/>
              </w:rPr>
              <w:t>sa</w:t>
            </w:r>
            <w:r w:rsidRPr="00EF0D5A">
              <w:rPr>
                <w:rFonts w:asciiTheme="minorHAnsi" w:hAnsiTheme="minorHAnsi" w:cstheme="minorHAnsi"/>
              </w:rPr>
              <w:t>dnienie</w:t>
            </w:r>
          </w:p>
        </w:tc>
        <w:tc>
          <w:tcPr>
            <w:tcW w:w="1417" w:type="dxa"/>
            <w:shd w:val="clear" w:color="auto" w:fill="auto"/>
          </w:tcPr>
          <w:p w14:paraId="5B5BB916" w14:textId="3F5AEBEA" w:rsidR="00D26F71" w:rsidRPr="00EF0D5A" w:rsidRDefault="01335A3B" w:rsidP="00D513C1">
            <w:pPr>
              <w:spacing w:after="120" w:line="240" w:lineRule="auto"/>
              <w:rPr>
                <w:rFonts w:asciiTheme="minorHAnsi" w:hAnsiTheme="minorHAnsi" w:cstheme="minorHAnsi"/>
                <w:b/>
                <w:bCs/>
              </w:rPr>
            </w:pPr>
            <w:r w:rsidRPr="00EF0D5A">
              <w:rPr>
                <w:rFonts w:asciiTheme="minorHAnsi" w:hAnsiTheme="minorHAnsi" w:cstheme="minorHAnsi"/>
                <w:b/>
                <w:bCs/>
              </w:rPr>
              <w:t>MRiT</w:t>
            </w:r>
          </w:p>
        </w:tc>
        <w:tc>
          <w:tcPr>
            <w:tcW w:w="6804" w:type="dxa"/>
            <w:shd w:val="clear" w:color="auto" w:fill="auto"/>
          </w:tcPr>
          <w:p w14:paraId="4E5E4B7B" w14:textId="77777777" w:rsidR="00D26F71" w:rsidRPr="00EF0D5A" w:rsidRDefault="00D26F71" w:rsidP="00D513C1">
            <w:pPr>
              <w:spacing w:after="120" w:line="240" w:lineRule="auto"/>
              <w:rPr>
                <w:rFonts w:asciiTheme="minorHAnsi" w:hAnsiTheme="minorHAnsi" w:cstheme="minorHAnsi"/>
              </w:rPr>
            </w:pPr>
            <w:r w:rsidRPr="00EF0D5A">
              <w:rPr>
                <w:rFonts w:asciiTheme="minorHAnsi" w:hAnsiTheme="minorHAnsi" w:cstheme="minorHAnsi"/>
              </w:rPr>
              <w:t>Z uwagi na zawarte w uzasadnieniu jednoznaczne stwierdzenie o możliwości wpływu projektu aktu normatywnego na małych i średnich przedsiębiorców, ocena ta powinna zostać uzupełniona o wymaganą w art. 68 Prawa przedsiębiorców informację o sposobie proporcjonalnego ograniczenia obowiązków administracyjnych wobec tych przedsiębiorców albo o przyczynach braku możliwości zastosowania takich ograniczeń</w:t>
            </w:r>
          </w:p>
        </w:tc>
        <w:tc>
          <w:tcPr>
            <w:tcW w:w="4218" w:type="dxa"/>
            <w:shd w:val="clear" w:color="auto" w:fill="auto"/>
          </w:tcPr>
          <w:p w14:paraId="3CF2D8B6" w14:textId="73601537" w:rsidR="00D26F71" w:rsidRPr="00D513C1" w:rsidRDefault="2729187F" w:rsidP="00D513C1">
            <w:pPr>
              <w:spacing w:after="120" w:line="240" w:lineRule="auto"/>
              <w:rPr>
                <w:rFonts w:asciiTheme="minorHAnsi" w:hAnsiTheme="minorHAnsi" w:cstheme="minorHAnsi"/>
              </w:rPr>
            </w:pPr>
            <w:r w:rsidRPr="00EF0D5A">
              <w:rPr>
                <w:rFonts w:asciiTheme="minorHAnsi" w:hAnsiTheme="minorHAnsi" w:cstheme="minorHAnsi"/>
                <w:b/>
                <w:bCs/>
              </w:rPr>
              <w:t>Uwaga uwzględniona</w:t>
            </w:r>
          </w:p>
        </w:tc>
      </w:tr>
    </w:tbl>
    <w:p w14:paraId="0FB78278" w14:textId="77777777" w:rsidR="00AD5F17" w:rsidRPr="00D513C1" w:rsidRDefault="00AD5F17" w:rsidP="00D513C1">
      <w:pPr>
        <w:spacing w:after="120" w:line="240" w:lineRule="auto"/>
        <w:rPr>
          <w:rFonts w:asciiTheme="minorHAnsi" w:hAnsiTheme="minorHAnsi" w:cstheme="minorHAnsi"/>
        </w:rPr>
      </w:pPr>
    </w:p>
    <w:sectPr w:rsidR="00AD5F17" w:rsidRPr="00D513C1" w:rsidSect="00EC0A61">
      <w:headerReference w:type="default" r:id="rId11"/>
      <w:footerReference w:type="even" r:id="rId12"/>
      <w:footerReference w:type="default" r:id="rId13"/>
      <w:headerReference w:type="first" r:id="rId14"/>
      <w:footerReference w:type="first" r:id="rId15"/>
      <w:pgSz w:w="16838" w:h="11906" w:orient="landscape"/>
      <w:pgMar w:top="746" w:right="1417" w:bottom="1080" w:left="1417" w:header="426"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B661519" w16cex:dateUtc="2023-01-07T14:16:02.009Z"/>
  <w16cex:commentExtensible w16cex:durableId="6A215334" w16cex:dateUtc="2023-01-07T14:16:15.829Z"/>
  <w16cex:commentExtensible w16cex:durableId="5A9BC7B7" w16cex:dateUtc="2023-01-07T14:16:26.524Z"/>
  <w16cex:commentExtensible w16cex:durableId="3A424AA9" w16cex:dateUtc="2023-01-07T14:16:50.125Z"/>
</w16cex:commentsExtensible>
</file>

<file path=word/commentsIds.xml><?xml version="1.0" encoding="utf-8"?>
<w16cid:commentsIds xmlns:mc="http://schemas.openxmlformats.org/markup-compatibility/2006" xmlns:w16cid="http://schemas.microsoft.com/office/word/2016/wordml/cid" mc:Ignorable="w16cid">
  <w16cid:commentId w16cid:paraId="48A7E874" w16cid:durableId="0B661519"/>
  <w16cid:commentId w16cid:paraId="1D130118" w16cid:durableId="6A215334"/>
  <w16cid:commentId w16cid:paraId="3FBA5D74" w16cid:durableId="5A9BC7B7"/>
  <w16cid:commentId w16cid:paraId="344D3C35" w16cid:durableId="3A424AA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505996" w14:textId="77777777" w:rsidR="00B93FAE" w:rsidRDefault="00B93FAE">
      <w:pPr>
        <w:spacing w:after="0" w:line="240" w:lineRule="auto"/>
      </w:pPr>
      <w:r>
        <w:separator/>
      </w:r>
    </w:p>
  </w:endnote>
  <w:endnote w:type="continuationSeparator" w:id="0">
    <w:p w14:paraId="3799F16D" w14:textId="77777777" w:rsidR="00B93FAE" w:rsidRDefault="00B93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4D5D3" w14:textId="77777777" w:rsidR="00D174B7" w:rsidRDefault="00D174B7" w:rsidP="00987F1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2946DB82" w14:textId="77777777" w:rsidR="00D174B7" w:rsidRDefault="00D174B7" w:rsidP="00987F1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C86F6" w14:textId="77777777" w:rsidR="00D174B7" w:rsidRPr="00EC0A61" w:rsidRDefault="00D174B7" w:rsidP="00EC0A61">
    <w:pPr>
      <w:pStyle w:val="Stopka"/>
      <w:tabs>
        <w:tab w:val="clear" w:pos="4536"/>
        <w:tab w:val="clear" w:pos="9072"/>
        <w:tab w:val="right" w:pos="14004"/>
      </w:tabs>
      <w:rPr>
        <w:rFonts w:ascii="Cambria" w:hAnsi="Cambria"/>
      </w:rPr>
    </w:pPr>
    <w:r>
      <w:rPr>
        <w:rFonts w:ascii="Cambria" w:hAnsi="Cambria"/>
      </w:rPr>
      <w:tab/>
    </w:r>
    <w:r w:rsidRPr="00EC0A61">
      <w:rPr>
        <w:rFonts w:ascii="Cambria" w:hAnsi="Cambria"/>
      </w:rPr>
      <w:t xml:space="preserve"> </w:t>
    </w:r>
    <w:r>
      <w:fldChar w:fldCharType="begin"/>
    </w:r>
    <w:r>
      <w:instrText>PAGE   \* MERGEFORMAT</w:instrText>
    </w:r>
    <w:r>
      <w:fldChar w:fldCharType="separate"/>
    </w:r>
    <w:r w:rsidR="00B3646E" w:rsidRPr="00B3646E">
      <w:rPr>
        <w:rFonts w:ascii="Cambria" w:hAnsi="Cambria"/>
        <w:noProof/>
      </w:rPr>
      <w:t>6</w:t>
    </w:r>
    <w:r>
      <w:fldChar w:fldCharType="end"/>
    </w:r>
  </w:p>
  <w:p w14:paraId="6D98A12B" w14:textId="77777777" w:rsidR="00D174B7" w:rsidRPr="00CD18E2" w:rsidRDefault="00D174B7" w:rsidP="00987F10">
    <w:pPr>
      <w:pStyle w:val="Stopka"/>
      <w:ind w:right="360"/>
      <w:rPr>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E0A41" w14:textId="77777777" w:rsidR="00D174B7" w:rsidRPr="00A92FD3" w:rsidRDefault="00D174B7" w:rsidP="00A92FD3">
    <w:pPr>
      <w:pStyle w:val="Stopka"/>
      <w:tabs>
        <w:tab w:val="clear" w:pos="4536"/>
        <w:tab w:val="clear" w:pos="9072"/>
        <w:tab w:val="right" w:pos="14004"/>
      </w:tabs>
      <w:rPr>
        <w:rFonts w:ascii="Calibri" w:hAnsi="Calibri" w:cs="Calibri"/>
        <w:b/>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419C28" w14:textId="77777777" w:rsidR="00B93FAE" w:rsidRDefault="00B93FAE">
      <w:pPr>
        <w:spacing w:after="0" w:line="240" w:lineRule="auto"/>
      </w:pPr>
      <w:r>
        <w:separator/>
      </w:r>
    </w:p>
  </w:footnote>
  <w:footnote w:type="continuationSeparator" w:id="0">
    <w:p w14:paraId="39298AEC" w14:textId="77777777" w:rsidR="00B93FAE" w:rsidRDefault="00B93F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65"/>
      <w:gridCol w:w="4665"/>
      <w:gridCol w:w="4665"/>
    </w:tblGrid>
    <w:tr w:rsidR="7306F58E" w14:paraId="25DCC4A5" w14:textId="77777777" w:rsidTr="7306F58E">
      <w:trPr>
        <w:trHeight w:val="300"/>
      </w:trPr>
      <w:tc>
        <w:tcPr>
          <w:tcW w:w="4665" w:type="dxa"/>
        </w:tcPr>
        <w:p w14:paraId="7EE165F6" w14:textId="1C949090" w:rsidR="7306F58E" w:rsidRDefault="7306F58E" w:rsidP="7306F58E">
          <w:pPr>
            <w:pStyle w:val="Nagwek"/>
            <w:ind w:left="-115"/>
          </w:pPr>
        </w:p>
      </w:tc>
      <w:tc>
        <w:tcPr>
          <w:tcW w:w="4665" w:type="dxa"/>
        </w:tcPr>
        <w:p w14:paraId="0FFA3D91" w14:textId="02AD4D5C" w:rsidR="7306F58E" w:rsidRDefault="7306F58E" w:rsidP="7306F58E">
          <w:pPr>
            <w:pStyle w:val="Nagwek"/>
            <w:jc w:val="center"/>
          </w:pPr>
        </w:p>
      </w:tc>
      <w:tc>
        <w:tcPr>
          <w:tcW w:w="4665" w:type="dxa"/>
        </w:tcPr>
        <w:p w14:paraId="29B1A86A" w14:textId="5ED304D1" w:rsidR="7306F58E" w:rsidRDefault="7306F58E" w:rsidP="7306F58E">
          <w:pPr>
            <w:pStyle w:val="Nagwek"/>
            <w:ind w:right="-115"/>
            <w:jc w:val="right"/>
          </w:pPr>
        </w:p>
      </w:tc>
    </w:tr>
  </w:tbl>
  <w:p w14:paraId="29FC800D" w14:textId="6FC19C6F" w:rsidR="7306F58E" w:rsidRDefault="7306F58E" w:rsidP="7306F58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BF3C5" w14:textId="77777777" w:rsidR="00D174B7" w:rsidRPr="00EC0A61" w:rsidRDefault="00D174B7" w:rsidP="00EC0A61">
    <w:pPr>
      <w:pStyle w:val="Nagwek"/>
      <w:spacing w:after="0" w:line="240" w:lineRule="auto"/>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AB1718"/>
    <w:multiLevelType w:val="hybridMultilevel"/>
    <w:tmpl w:val="5248EE6C"/>
    <w:lvl w:ilvl="0" w:tplc="FAF88FF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41E1B7D"/>
    <w:multiLevelType w:val="hybridMultilevel"/>
    <w:tmpl w:val="F8F67C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CE537C6"/>
    <w:multiLevelType w:val="hybridMultilevel"/>
    <w:tmpl w:val="F10AA27A"/>
    <w:lvl w:ilvl="0" w:tplc="C8DAE4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7968D3D"/>
    <w:multiLevelType w:val="hybridMultilevel"/>
    <w:tmpl w:val="1E40E508"/>
    <w:lvl w:ilvl="0" w:tplc="0B52BEEA">
      <w:start w:val="1"/>
      <w:numFmt w:val="bullet"/>
      <w:lvlText w:val=""/>
      <w:lvlJc w:val="left"/>
      <w:pPr>
        <w:ind w:left="720" w:hanging="360"/>
      </w:pPr>
      <w:rPr>
        <w:rFonts w:ascii="Symbol" w:hAnsi="Symbol" w:hint="default"/>
      </w:rPr>
    </w:lvl>
    <w:lvl w:ilvl="1" w:tplc="8D4E5050">
      <w:start w:val="1"/>
      <w:numFmt w:val="bullet"/>
      <w:lvlText w:val="o"/>
      <w:lvlJc w:val="left"/>
      <w:pPr>
        <w:ind w:left="1440" w:hanging="360"/>
      </w:pPr>
      <w:rPr>
        <w:rFonts w:ascii="Courier New" w:hAnsi="Courier New" w:hint="default"/>
      </w:rPr>
    </w:lvl>
    <w:lvl w:ilvl="2" w:tplc="73DC638A">
      <w:start w:val="1"/>
      <w:numFmt w:val="bullet"/>
      <w:lvlText w:val=""/>
      <w:lvlJc w:val="left"/>
      <w:pPr>
        <w:ind w:left="2160" w:hanging="360"/>
      </w:pPr>
      <w:rPr>
        <w:rFonts w:ascii="Wingdings" w:hAnsi="Wingdings" w:hint="default"/>
      </w:rPr>
    </w:lvl>
    <w:lvl w:ilvl="3" w:tplc="448E701E">
      <w:start w:val="1"/>
      <w:numFmt w:val="bullet"/>
      <w:lvlText w:val=""/>
      <w:lvlJc w:val="left"/>
      <w:pPr>
        <w:ind w:left="2880" w:hanging="360"/>
      </w:pPr>
      <w:rPr>
        <w:rFonts w:ascii="Symbol" w:hAnsi="Symbol" w:hint="default"/>
      </w:rPr>
    </w:lvl>
    <w:lvl w:ilvl="4" w:tplc="C054F676">
      <w:start w:val="1"/>
      <w:numFmt w:val="bullet"/>
      <w:lvlText w:val="o"/>
      <w:lvlJc w:val="left"/>
      <w:pPr>
        <w:ind w:left="3600" w:hanging="360"/>
      </w:pPr>
      <w:rPr>
        <w:rFonts w:ascii="Courier New" w:hAnsi="Courier New" w:hint="default"/>
      </w:rPr>
    </w:lvl>
    <w:lvl w:ilvl="5" w:tplc="A0AEA090">
      <w:start w:val="1"/>
      <w:numFmt w:val="bullet"/>
      <w:lvlText w:val=""/>
      <w:lvlJc w:val="left"/>
      <w:pPr>
        <w:ind w:left="4320" w:hanging="360"/>
      </w:pPr>
      <w:rPr>
        <w:rFonts w:ascii="Wingdings" w:hAnsi="Wingdings" w:hint="default"/>
      </w:rPr>
    </w:lvl>
    <w:lvl w:ilvl="6" w:tplc="1EB697BA">
      <w:start w:val="1"/>
      <w:numFmt w:val="bullet"/>
      <w:lvlText w:val=""/>
      <w:lvlJc w:val="left"/>
      <w:pPr>
        <w:ind w:left="5040" w:hanging="360"/>
      </w:pPr>
      <w:rPr>
        <w:rFonts w:ascii="Symbol" w:hAnsi="Symbol" w:hint="default"/>
      </w:rPr>
    </w:lvl>
    <w:lvl w:ilvl="7" w:tplc="2806B96E">
      <w:start w:val="1"/>
      <w:numFmt w:val="bullet"/>
      <w:lvlText w:val="o"/>
      <w:lvlJc w:val="left"/>
      <w:pPr>
        <w:ind w:left="5760" w:hanging="360"/>
      </w:pPr>
      <w:rPr>
        <w:rFonts w:ascii="Courier New" w:hAnsi="Courier New" w:hint="default"/>
      </w:rPr>
    </w:lvl>
    <w:lvl w:ilvl="8" w:tplc="4D7E609A">
      <w:start w:val="1"/>
      <w:numFmt w:val="bullet"/>
      <w:lvlText w:val=""/>
      <w:lvlJc w:val="left"/>
      <w:pPr>
        <w:ind w:left="6480" w:hanging="360"/>
      </w:pPr>
      <w:rPr>
        <w:rFonts w:ascii="Wingdings" w:hAnsi="Wingdings" w:hint="default"/>
      </w:rPr>
    </w:lvl>
  </w:abstractNum>
  <w:abstractNum w:abstractNumId="4" w15:restartNumberingAfterBreak="0">
    <w:nsid w:val="77CC28AC"/>
    <w:multiLevelType w:val="hybridMultilevel"/>
    <w:tmpl w:val="FD462A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8A77ED6"/>
    <w:multiLevelType w:val="hybridMultilevel"/>
    <w:tmpl w:val="3DE85C2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7C07655E"/>
    <w:multiLevelType w:val="hybridMultilevel"/>
    <w:tmpl w:val="2D42CC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7CCCFB1B"/>
    <w:multiLevelType w:val="hybridMultilevel"/>
    <w:tmpl w:val="D2E8ADB0"/>
    <w:lvl w:ilvl="0" w:tplc="D7B6190A">
      <w:start w:val="1"/>
      <w:numFmt w:val="decimal"/>
      <w:lvlText w:val="%1."/>
      <w:lvlJc w:val="left"/>
      <w:pPr>
        <w:ind w:left="360" w:hanging="360"/>
      </w:pPr>
    </w:lvl>
    <w:lvl w:ilvl="1" w:tplc="1BD65428">
      <w:start w:val="1"/>
      <w:numFmt w:val="lowerLetter"/>
      <w:lvlText w:val="%2."/>
      <w:lvlJc w:val="left"/>
      <w:pPr>
        <w:ind w:left="1080" w:hanging="360"/>
      </w:pPr>
    </w:lvl>
    <w:lvl w:ilvl="2" w:tplc="EC809096">
      <w:start w:val="1"/>
      <w:numFmt w:val="lowerRoman"/>
      <w:lvlText w:val="%3."/>
      <w:lvlJc w:val="right"/>
      <w:pPr>
        <w:ind w:left="1800" w:hanging="180"/>
      </w:pPr>
    </w:lvl>
    <w:lvl w:ilvl="3" w:tplc="4A4CC1BE">
      <w:start w:val="1"/>
      <w:numFmt w:val="decimal"/>
      <w:lvlText w:val="%4."/>
      <w:lvlJc w:val="left"/>
      <w:pPr>
        <w:ind w:left="2520" w:hanging="360"/>
      </w:pPr>
    </w:lvl>
    <w:lvl w:ilvl="4" w:tplc="3F04CBF8">
      <w:start w:val="1"/>
      <w:numFmt w:val="lowerLetter"/>
      <w:lvlText w:val="%5."/>
      <w:lvlJc w:val="left"/>
      <w:pPr>
        <w:ind w:left="3240" w:hanging="360"/>
      </w:pPr>
    </w:lvl>
    <w:lvl w:ilvl="5" w:tplc="5CE0550A">
      <w:start w:val="1"/>
      <w:numFmt w:val="lowerRoman"/>
      <w:lvlText w:val="%6."/>
      <w:lvlJc w:val="right"/>
      <w:pPr>
        <w:ind w:left="3960" w:hanging="180"/>
      </w:pPr>
    </w:lvl>
    <w:lvl w:ilvl="6" w:tplc="ED045590">
      <w:start w:val="1"/>
      <w:numFmt w:val="decimal"/>
      <w:lvlText w:val="%7."/>
      <w:lvlJc w:val="left"/>
      <w:pPr>
        <w:ind w:left="4680" w:hanging="360"/>
      </w:pPr>
    </w:lvl>
    <w:lvl w:ilvl="7" w:tplc="F9887946">
      <w:start w:val="1"/>
      <w:numFmt w:val="lowerLetter"/>
      <w:lvlText w:val="%8."/>
      <w:lvlJc w:val="left"/>
      <w:pPr>
        <w:ind w:left="5400" w:hanging="360"/>
      </w:pPr>
    </w:lvl>
    <w:lvl w:ilvl="8" w:tplc="16EA8DDE">
      <w:start w:val="1"/>
      <w:numFmt w:val="lowerRoman"/>
      <w:lvlText w:val="%9."/>
      <w:lvlJc w:val="right"/>
      <w:pPr>
        <w:ind w:left="6120" w:hanging="180"/>
      </w:pPr>
    </w:lvl>
  </w:abstractNum>
  <w:num w:numId="1">
    <w:abstractNumId w:val="7"/>
  </w:num>
  <w:num w:numId="2">
    <w:abstractNumId w:val="3"/>
  </w:num>
  <w:num w:numId="3">
    <w:abstractNumId w:val="5"/>
  </w:num>
  <w:num w:numId="4">
    <w:abstractNumId w:val="1"/>
  </w:num>
  <w:num w:numId="5">
    <w:abstractNumId w:val="6"/>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6BE"/>
    <w:rsid w:val="00000856"/>
    <w:rsid w:val="00000871"/>
    <w:rsid w:val="00001825"/>
    <w:rsid w:val="00004D65"/>
    <w:rsid w:val="00004F9C"/>
    <w:rsid w:val="00005598"/>
    <w:rsid w:val="0000643F"/>
    <w:rsid w:val="00016DF3"/>
    <w:rsid w:val="000178C3"/>
    <w:rsid w:val="000201DD"/>
    <w:rsid w:val="0002097A"/>
    <w:rsid w:val="00020BED"/>
    <w:rsid w:val="00021CD4"/>
    <w:rsid w:val="000242E5"/>
    <w:rsid w:val="00026469"/>
    <w:rsid w:val="000267F5"/>
    <w:rsid w:val="00026C17"/>
    <w:rsid w:val="00032282"/>
    <w:rsid w:val="000324B0"/>
    <w:rsid w:val="00032D98"/>
    <w:rsid w:val="00035C69"/>
    <w:rsid w:val="00044BDA"/>
    <w:rsid w:val="00045B39"/>
    <w:rsid w:val="00050D7C"/>
    <w:rsid w:val="00052C63"/>
    <w:rsid w:val="00052FC6"/>
    <w:rsid w:val="00054BB8"/>
    <w:rsid w:val="0006033F"/>
    <w:rsid w:val="0006245B"/>
    <w:rsid w:val="00062B2F"/>
    <w:rsid w:val="00064632"/>
    <w:rsid w:val="00066544"/>
    <w:rsid w:val="00066973"/>
    <w:rsid w:val="00066A81"/>
    <w:rsid w:val="000702A3"/>
    <w:rsid w:val="00071433"/>
    <w:rsid w:val="00071F8E"/>
    <w:rsid w:val="00080442"/>
    <w:rsid w:val="00082FB5"/>
    <w:rsid w:val="00083AF5"/>
    <w:rsid w:val="00083F71"/>
    <w:rsid w:val="00084259"/>
    <w:rsid w:val="00084548"/>
    <w:rsid w:val="00084C19"/>
    <w:rsid w:val="0008558A"/>
    <w:rsid w:val="00085C11"/>
    <w:rsid w:val="000869A3"/>
    <w:rsid w:val="00086E3A"/>
    <w:rsid w:val="0009116E"/>
    <w:rsid w:val="00093F6D"/>
    <w:rsid w:val="00094AFC"/>
    <w:rsid w:val="0009511F"/>
    <w:rsid w:val="0009584A"/>
    <w:rsid w:val="0009712E"/>
    <w:rsid w:val="00097223"/>
    <w:rsid w:val="000A04DC"/>
    <w:rsid w:val="000A406C"/>
    <w:rsid w:val="000A5954"/>
    <w:rsid w:val="000B14AF"/>
    <w:rsid w:val="000B3560"/>
    <w:rsid w:val="000C154D"/>
    <w:rsid w:val="000C17BF"/>
    <w:rsid w:val="000C3218"/>
    <w:rsid w:val="000C6855"/>
    <w:rsid w:val="000C7067"/>
    <w:rsid w:val="000D1907"/>
    <w:rsid w:val="000D1D8E"/>
    <w:rsid w:val="000D2E7A"/>
    <w:rsid w:val="000D43D2"/>
    <w:rsid w:val="000D5A76"/>
    <w:rsid w:val="000D69D0"/>
    <w:rsid w:val="000D6F9C"/>
    <w:rsid w:val="000E1C0B"/>
    <w:rsid w:val="000E21B3"/>
    <w:rsid w:val="000E26F9"/>
    <w:rsid w:val="000E35CF"/>
    <w:rsid w:val="000E3C35"/>
    <w:rsid w:val="000E4FC2"/>
    <w:rsid w:val="000E512D"/>
    <w:rsid w:val="000E5AC0"/>
    <w:rsid w:val="000F28FB"/>
    <w:rsid w:val="000F32DD"/>
    <w:rsid w:val="000F34BF"/>
    <w:rsid w:val="000F41AE"/>
    <w:rsid w:val="00100573"/>
    <w:rsid w:val="00100BFB"/>
    <w:rsid w:val="0010204A"/>
    <w:rsid w:val="00103B1A"/>
    <w:rsid w:val="00104205"/>
    <w:rsid w:val="00106253"/>
    <w:rsid w:val="001078E3"/>
    <w:rsid w:val="00107E1E"/>
    <w:rsid w:val="001104B6"/>
    <w:rsid w:val="001167E2"/>
    <w:rsid w:val="001169AD"/>
    <w:rsid w:val="00117785"/>
    <w:rsid w:val="001202C4"/>
    <w:rsid w:val="00123E14"/>
    <w:rsid w:val="0013047D"/>
    <w:rsid w:val="001305B9"/>
    <w:rsid w:val="0013100B"/>
    <w:rsid w:val="0013193F"/>
    <w:rsid w:val="001327C4"/>
    <w:rsid w:val="001345FE"/>
    <w:rsid w:val="00134CE8"/>
    <w:rsid w:val="00135915"/>
    <w:rsid w:val="001377BF"/>
    <w:rsid w:val="00137D9B"/>
    <w:rsid w:val="00140B6A"/>
    <w:rsid w:val="00142CF8"/>
    <w:rsid w:val="001438F7"/>
    <w:rsid w:val="00143B48"/>
    <w:rsid w:val="00144913"/>
    <w:rsid w:val="00147B2E"/>
    <w:rsid w:val="00152E07"/>
    <w:rsid w:val="001536C1"/>
    <w:rsid w:val="001544BA"/>
    <w:rsid w:val="00156051"/>
    <w:rsid w:val="001561D1"/>
    <w:rsid w:val="0016182B"/>
    <w:rsid w:val="00162DF2"/>
    <w:rsid w:val="001651A2"/>
    <w:rsid w:val="00166E05"/>
    <w:rsid w:val="00167D3B"/>
    <w:rsid w:val="00170275"/>
    <w:rsid w:val="00170768"/>
    <w:rsid w:val="001755BE"/>
    <w:rsid w:val="001778D9"/>
    <w:rsid w:val="00180E1B"/>
    <w:rsid w:val="001812C4"/>
    <w:rsid w:val="00183888"/>
    <w:rsid w:val="00184223"/>
    <w:rsid w:val="00184DF9"/>
    <w:rsid w:val="001860FE"/>
    <w:rsid w:val="0018660E"/>
    <w:rsid w:val="0019003D"/>
    <w:rsid w:val="00193FAD"/>
    <w:rsid w:val="001949F4"/>
    <w:rsid w:val="00195764"/>
    <w:rsid w:val="001A1E36"/>
    <w:rsid w:val="001A21FC"/>
    <w:rsid w:val="001A3888"/>
    <w:rsid w:val="001A5FB4"/>
    <w:rsid w:val="001B1837"/>
    <w:rsid w:val="001B190E"/>
    <w:rsid w:val="001B2686"/>
    <w:rsid w:val="001B497B"/>
    <w:rsid w:val="001B624D"/>
    <w:rsid w:val="001B627F"/>
    <w:rsid w:val="001C30C4"/>
    <w:rsid w:val="001C4D92"/>
    <w:rsid w:val="001C506E"/>
    <w:rsid w:val="001C5C1C"/>
    <w:rsid w:val="001C7AE2"/>
    <w:rsid w:val="001D003D"/>
    <w:rsid w:val="001D1AF6"/>
    <w:rsid w:val="001D2B22"/>
    <w:rsid w:val="001D3F5E"/>
    <w:rsid w:val="001D5C71"/>
    <w:rsid w:val="001E013C"/>
    <w:rsid w:val="001E038B"/>
    <w:rsid w:val="001E1413"/>
    <w:rsid w:val="001E2761"/>
    <w:rsid w:val="001E49D1"/>
    <w:rsid w:val="001E714E"/>
    <w:rsid w:val="001F1356"/>
    <w:rsid w:val="001F13AC"/>
    <w:rsid w:val="001F20F7"/>
    <w:rsid w:val="002015A5"/>
    <w:rsid w:val="002026E0"/>
    <w:rsid w:val="00203242"/>
    <w:rsid w:val="00203739"/>
    <w:rsid w:val="00206F5C"/>
    <w:rsid w:val="002072B7"/>
    <w:rsid w:val="002131A5"/>
    <w:rsid w:val="002159E8"/>
    <w:rsid w:val="00216124"/>
    <w:rsid w:val="00217433"/>
    <w:rsid w:val="002177C6"/>
    <w:rsid w:val="002266DA"/>
    <w:rsid w:val="00226956"/>
    <w:rsid w:val="0023009D"/>
    <w:rsid w:val="002316BF"/>
    <w:rsid w:val="00231E0E"/>
    <w:rsid w:val="00231F8D"/>
    <w:rsid w:val="00232F53"/>
    <w:rsid w:val="0023303F"/>
    <w:rsid w:val="00233B07"/>
    <w:rsid w:val="00234D58"/>
    <w:rsid w:val="00235C8B"/>
    <w:rsid w:val="002377EA"/>
    <w:rsid w:val="00245B81"/>
    <w:rsid w:val="002522EC"/>
    <w:rsid w:val="00255DDC"/>
    <w:rsid w:val="0025670C"/>
    <w:rsid w:val="00256DDE"/>
    <w:rsid w:val="00256FBA"/>
    <w:rsid w:val="00260826"/>
    <w:rsid w:val="00266974"/>
    <w:rsid w:val="00266B21"/>
    <w:rsid w:val="0027066E"/>
    <w:rsid w:val="0027258E"/>
    <w:rsid w:val="00276733"/>
    <w:rsid w:val="00277043"/>
    <w:rsid w:val="00280262"/>
    <w:rsid w:val="0028054A"/>
    <w:rsid w:val="002821F0"/>
    <w:rsid w:val="00283863"/>
    <w:rsid w:val="0028536C"/>
    <w:rsid w:val="00286956"/>
    <w:rsid w:val="00287E65"/>
    <w:rsid w:val="00290808"/>
    <w:rsid w:val="00295188"/>
    <w:rsid w:val="002977B3"/>
    <w:rsid w:val="002A4B14"/>
    <w:rsid w:val="002B25B5"/>
    <w:rsid w:val="002B3D13"/>
    <w:rsid w:val="002C2CA9"/>
    <w:rsid w:val="002C2E90"/>
    <w:rsid w:val="002C38DF"/>
    <w:rsid w:val="002D0FF5"/>
    <w:rsid w:val="002D108C"/>
    <w:rsid w:val="002D3337"/>
    <w:rsid w:val="002D5B3D"/>
    <w:rsid w:val="002E3714"/>
    <w:rsid w:val="002E37D4"/>
    <w:rsid w:val="002E43EB"/>
    <w:rsid w:val="002E52FB"/>
    <w:rsid w:val="002E63CB"/>
    <w:rsid w:val="002E674D"/>
    <w:rsid w:val="002E7CC5"/>
    <w:rsid w:val="002F128F"/>
    <w:rsid w:val="002F4EC7"/>
    <w:rsid w:val="002F4FBF"/>
    <w:rsid w:val="002F7CEC"/>
    <w:rsid w:val="003014AC"/>
    <w:rsid w:val="0030386E"/>
    <w:rsid w:val="00305314"/>
    <w:rsid w:val="00307220"/>
    <w:rsid w:val="003101CB"/>
    <w:rsid w:val="00312929"/>
    <w:rsid w:val="00313860"/>
    <w:rsid w:val="0031396B"/>
    <w:rsid w:val="00313F5D"/>
    <w:rsid w:val="00314502"/>
    <w:rsid w:val="003159DE"/>
    <w:rsid w:val="0031641D"/>
    <w:rsid w:val="00321855"/>
    <w:rsid w:val="0032278C"/>
    <w:rsid w:val="0032646F"/>
    <w:rsid w:val="003276A1"/>
    <w:rsid w:val="003329DD"/>
    <w:rsid w:val="003329FC"/>
    <w:rsid w:val="00333237"/>
    <w:rsid w:val="00333798"/>
    <w:rsid w:val="00334031"/>
    <w:rsid w:val="0033563B"/>
    <w:rsid w:val="00335B58"/>
    <w:rsid w:val="003366E4"/>
    <w:rsid w:val="003378E3"/>
    <w:rsid w:val="0034010B"/>
    <w:rsid w:val="003421C7"/>
    <w:rsid w:val="003445A2"/>
    <w:rsid w:val="00345FB0"/>
    <w:rsid w:val="00351239"/>
    <w:rsid w:val="0035173A"/>
    <w:rsid w:val="00352BC5"/>
    <w:rsid w:val="003564E5"/>
    <w:rsid w:val="0036085F"/>
    <w:rsid w:val="00361F02"/>
    <w:rsid w:val="00363A01"/>
    <w:rsid w:val="00363F52"/>
    <w:rsid w:val="003645D7"/>
    <w:rsid w:val="00366FB7"/>
    <w:rsid w:val="00367A6D"/>
    <w:rsid w:val="00370766"/>
    <w:rsid w:val="00372936"/>
    <w:rsid w:val="00372B57"/>
    <w:rsid w:val="00372F00"/>
    <w:rsid w:val="00373BF9"/>
    <w:rsid w:val="00380A9A"/>
    <w:rsid w:val="00380CDA"/>
    <w:rsid w:val="0038273A"/>
    <w:rsid w:val="0038345C"/>
    <w:rsid w:val="00384A67"/>
    <w:rsid w:val="00387490"/>
    <w:rsid w:val="003902EB"/>
    <w:rsid w:val="00394CC4"/>
    <w:rsid w:val="0039514E"/>
    <w:rsid w:val="003960D1"/>
    <w:rsid w:val="003966DD"/>
    <w:rsid w:val="00396FD7"/>
    <w:rsid w:val="003A0A36"/>
    <w:rsid w:val="003A24E9"/>
    <w:rsid w:val="003A271F"/>
    <w:rsid w:val="003A54C5"/>
    <w:rsid w:val="003A6E16"/>
    <w:rsid w:val="003A726A"/>
    <w:rsid w:val="003B1FDC"/>
    <w:rsid w:val="003B2735"/>
    <w:rsid w:val="003B5165"/>
    <w:rsid w:val="003B58CE"/>
    <w:rsid w:val="003C0869"/>
    <w:rsid w:val="003C0D7F"/>
    <w:rsid w:val="003C112B"/>
    <w:rsid w:val="003C1CBF"/>
    <w:rsid w:val="003C245C"/>
    <w:rsid w:val="003C5BA5"/>
    <w:rsid w:val="003D06D8"/>
    <w:rsid w:val="003D23A8"/>
    <w:rsid w:val="003D309F"/>
    <w:rsid w:val="003D5D98"/>
    <w:rsid w:val="003D6024"/>
    <w:rsid w:val="003E1005"/>
    <w:rsid w:val="003E1081"/>
    <w:rsid w:val="003E11D4"/>
    <w:rsid w:val="003E16FB"/>
    <w:rsid w:val="003E1788"/>
    <w:rsid w:val="003E3615"/>
    <w:rsid w:val="003E7718"/>
    <w:rsid w:val="003F460E"/>
    <w:rsid w:val="003F78E1"/>
    <w:rsid w:val="004001A1"/>
    <w:rsid w:val="00400560"/>
    <w:rsid w:val="00401591"/>
    <w:rsid w:val="00402BF4"/>
    <w:rsid w:val="00405DAA"/>
    <w:rsid w:val="00406DBF"/>
    <w:rsid w:val="00407613"/>
    <w:rsid w:val="00407FE3"/>
    <w:rsid w:val="004111E7"/>
    <w:rsid w:val="00412D26"/>
    <w:rsid w:val="00414613"/>
    <w:rsid w:val="004150A2"/>
    <w:rsid w:val="004161FC"/>
    <w:rsid w:val="00417509"/>
    <w:rsid w:val="0042176B"/>
    <w:rsid w:val="00421896"/>
    <w:rsid w:val="00424881"/>
    <w:rsid w:val="00427ECD"/>
    <w:rsid w:val="00433077"/>
    <w:rsid w:val="004339F8"/>
    <w:rsid w:val="00434DD8"/>
    <w:rsid w:val="00441497"/>
    <w:rsid w:val="0044288B"/>
    <w:rsid w:val="004430C1"/>
    <w:rsid w:val="00443AB2"/>
    <w:rsid w:val="00444B39"/>
    <w:rsid w:val="004522E8"/>
    <w:rsid w:val="004549F9"/>
    <w:rsid w:val="00454C35"/>
    <w:rsid w:val="00456A25"/>
    <w:rsid w:val="004612FA"/>
    <w:rsid w:val="00461AE0"/>
    <w:rsid w:val="004623A4"/>
    <w:rsid w:val="004624BE"/>
    <w:rsid w:val="004650CD"/>
    <w:rsid w:val="00466565"/>
    <w:rsid w:val="00466AD3"/>
    <w:rsid w:val="004674F7"/>
    <w:rsid w:val="00467AF1"/>
    <w:rsid w:val="00470A7F"/>
    <w:rsid w:val="00482BA4"/>
    <w:rsid w:val="00483D4E"/>
    <w:rsid w:val="0048453B"/>
    <w:rsid w:val="00490598"/>
    <w:rsid w:val="00491179"/>
    <w:rsid w:val="004915C3"/>
    <w:rsid w:val="004A2394"/>
    <w:rsid w:val="004A341A"/>
    <w:rsid w:val="004A7371"/>
    <w:rsid w:val="004A7953"/>
    <w:rsid w:val="004B0B9C"/>
    <w:rsid w:val="004B16D7"/>
    <w:rsid w:val="004B19AA"/>
    <w:rsid w:val="004B2D9E"/>
    <w:rsid w:val="004B4771"/>
    <w:rsid w:val="004B482E"/>
    <w:rsid w:val="004C557C"/>
    <w:rsid w:val="004C7B6B"/>
    <w:rsid w:val="004D1CE4"/>
    <w:rsid w:val="004D30A6"/>
    <w:rsid w:val="004D5A8D"/>
    <w:rsid w:val="004D68D7"/>
    <w:rsid w:val="004E0D83"/>
    <w:rsid w:val="004E0E67"/>
    <w:rsid w:val="004E0F52"/>
    <w:rsid w:val="004E27B6"/>
    <w:rsid w:val="004E3B7E"/>
    <w:rsid w:val="004E4133"/>
    <w:rsid w:val="004E56BD"/>
    <w:rsid w:val="004E6567"/>
    <w:rsid w:val="004F139B"/>
    <w:rsid w:val="004F2386"/>
    <w:rsid w:val="004F245F"/>
    <w:rsid w:val="004F2A68"/>
    <w:rsid w:val="004F742D"/>
    <w:rsid w:val="00503587"/>
    <w:rsid w:val="00503B70"/>
    <w:rsid w:val="0050404E"/>
    <w:rsid w:val="0050477C"/>
    <w:rsid w:val="00504F4D"/>
    <w:rsid w:val="0050724E"/>
    <w:rsid w:val="0051655B"/>
    <w:rsid w:val="00522AB4"/>
    <w:rsid w:val="0052307B"/>
    <w:rsid w:val="0052372C"/>
    <w:rsid w:val="0052447E"/>
    <w:rsid w:val="00524DF6"/>
    <w:rsid w:val="00527216"/>
    <w:rsid w:val="005272A4"/>
    <w:rsid w:val="005301F4"/>
    <w:rsid w:val="00531396"/>
    <w:rsid w:val="00533D3D"/>
    <w:rsid w:val="00535707"/>
    <w:rsid w:val="00535C09"/>
    <w:rsid w:val="005401A1"/>
    <w:rsid w:val="005418D8"/>
    <w:rsid w:val="005459CE"/>
    <w:rsid w:val="00545FA1"/>
    <w:rsid w:val="00546199"/>
    <w:rsid w:val="00546554"/>
    <w:rsid w:val="00547BD0"/>
    <w:rsid w:val="00550204"/>
    <w:rsid w:val="005507FD"/>
    <w:rsid w:val="00555353"/>
    <w:rsid w:val="005561DA"/>
    <w:rsid w:val="005575E2"/>
    <w:rsid w:val="00557608"/>
    <w:rsid w:val="00560D89"/>
    <w:rsid w:val="005613AC"/>
    <w:rsid w:val="00564063"/>
    <w:rsid w:val="00565E16"/>
    <w:rsid w:val="00566168"/>
    <w:rsid w:val="005661BD"/>
    <w:rsid w:val="00571CC3"/>
    <w:rsid w:val="0057391E"/>
    <w:rsid w:val="00573C52"/>
    <w:rsid w:val="0057741A"/>
    <w:rsid w:val="00577C6D"/>
    <w:rsid w:val="00577D28"/>
    <w:rsid w:val="00583733"/>
    <w:rsid w:val="005868E9"/>
    <w:rsid w:val="0059187A"/>
    <w:rsid w:val="00595C7F"/>
    <w:rsid w:val="005965E9"/>
    <w:rsid w:val="00596EC4"/>
    <w:rsid w:val="005A0152"/>
    <w:rsid w:val="005B01F8"/>
    <w:rsid w:val="005B26E7"/>
    <w:rsid w:val="005B60BA"/>
    <w:rsid w:val="005B6E1B"/>
    <w:rsid w:val="005B70D3"/>
    <w:rsid w:val="005C0D53"/>
    <w:rsid w:val="005C3FA9"/>
    <w:rsid w:val="005C4789"/>
    <w:rsid w:val="005D0941"/>
    <w:rsid w:val="005D1229"/>
    <w:rsid w:val="005D382C"/>
    <w:rsid w:val="005D4B0C"/>
    <w:rsid w:val="005D6A16"/>
    <w:rsid w:val="005E06D8"/>
    <w:rsid w:val="005E1429"/>
    <w:rsid w:val="005E2528"/>
    <w:rsid w:val="005E4008"/>
    <w:rsid w:val="005E643E"/>
    <w:rsid w:val="005E68FC"/>
    <w:rsid w:val="005F1D8F"/>
    <w:rsid w:val="005F24DB"/>
    <w:rsid w:val="005F384A"/>
    <w:rsid w:val="005F6066"/>
    <w:rsid w:val="0060102F"/>
    <w:rsid w:val="00601949"/>
    <w:rsid w:val="00602029"/>
    <w:rsid w:val="00603984"/>
    <w:rsid w:val="006046F0"/>
    <w:rsid w:val="006060C2"/>
    <w:rsid w:val="00606E72"/>
    <w:rsid w:val="006109F3"/>
    <w:rsid w:val="006114CB"/>
    <w:rsid w:val="0061191D"/>
    <w:rsid w:val="00612F50"/>
    <w:rsid w:val="00613B37"/>
    <w:rsid w:val="006149E6"/>
    <w:rsid w:val="00614D7C"/>
    <w:rsid w:val="006151A1"/>
    <w:rsid w:val="00615B34"/>
    <w:rsid w:val="0061676C"/>
    <w:rsid w:val="006176E7"/>
    <w:rsid w:val="00617955"/>
    <w:rsid w:val="00623E88"/>
    <w:rsid w:val="00623FD8"/>
    <w:rsid w:val="00625C6F"/>
    <w:rsid w:val="00625F0B"/>
    <w:rsid w:val="00626352"/>
    <w:rsid w:val="00627318"/>
    <w:rsid w:val="00634840"/>
    <w:rsid w:val="0063510B"/>
    <w:rsid w:val="00635526"/>
    <w:rsid w:val="00637033"/>
    <w:rsid w:val="0064141E"/>
    <w:rsid w:val="006428DE"/>
    <w:rsid w:val="0064407A"/>
    <w:rsid w:val="00646847"/>
    <w:rsid w:val="00647CE5"/>
    <w:rsid w:val="0065103D"/>
    <w:rsid w:val="0065255C"/>
    <w:rsid w:val="006541D7"/>
    <w:rsid w:val="00656C14"/>
    <w:rsid w:val="00661FF6"/>
    <w:rsid w:val="006630B2"/>
    <w:rsid w:val="00671839"/>
    <w:rsid w:val="00673D88"/>
    <w:rsid w:val="00674957"/>
    <w:rsid w:val="006749F0"/>
    <w:rsid w:val="0068069E"/>
    <w:rsid w:val="00682884"/>
    <w:rsid w:val="006848BA"/>
    <w:rsid w:val="0068616C"/>
    <w:rsid w:val="00690EE3"/>
    <w:rsid w:val="00697EA0"/>
    <w:rsid w:val="006A0512"/>
    <w:rsid w:val="006A1AF0"/>
    <w:rsid w:val="006A4E8B"/>
    <w:rsid w:val="006B2506"/>
    <w:rsid w:val="006B27D0"/>
    <w:rsid w:val="006B2AFD"/>
    <w:rsid w:val="006B583C"/>
    <w:rsid w:val="006B626A"/>
    <w:rsid w:val="006B7225"/>
    <w:rsid w:val="006B792D"/>
    <w:rsid w:val="006C0139"/>
    <w:rsid w:val="006C3087"/>
    <w:rsid w:val="006C47F3"/>
    <w:rsid w:val="006C5E89"/>
    <w:rsid w:val="006C645F"/>
    <w:rsid w:val="006C791B"/>
    <w:rsid w:val="006C7E3C"/>
    <w:rsid w:val="006D08E0"/>
    <w:rsid w:val="006D1D8E"/>
    <w:rsid w:val="006E185F"/>
    <w:rsid w:val="006E2EC4"/>
    <w:rsid w:val="006E33F9"/>
    <w:rsid w:val="006E663E"/>
    <w:rsid w:val="006E663F"/>
    <w:rsid w:val="006E6F45"/>
    <w:rsid w:val="006E710F"/>
    <w:rsid w:val="006F2CF8"/>
    <w:rsid w:val="006F2DA9"/>
    <w:rsid w:val="006F31F5"/>
    <w:rsid w:val="006F371A"/>
    <w:rsid w:val="006F482D"/>
    <w:rsid w:val="006F4CF1"/>
    <w:rsid w:val="006F5294"/>
    <w:rsid w:val="00701360"/>
    <w:rsid w:val="00703A20"/>
    <w:rsid w:val="00704C05"/>
    <w:rsid w:val="00713D57"/>
    <w:rsid w:val="007140AE"/>
    <w:rsid w:val="00717552"/>
    <w:rsid w:val="0072001B"/>
    <w:rsid w:val="00725127"/>
    <w:rsid w:val="00725F05"/>
    <w:rsid w:val="00726E6B"/>
    <w:rsid w:val="0073205F"/>
    <w:rsid w:val="00736703"/>
    <w:rsid w:val="0074191B"/>
    <w:rsid w:val="00744F2D"/>
    <w:rsid w:val="00745AB5"/>
    <w:rsid w:val="007471B2"/>
    <w:rsid w:val="007478F0"/>
    <w:rsid w:val="0075101B"/>
    <w:rsid w:val="007517B3"/>
    <w:rsid w:val="00752628"/>
    <w:rsid w:val="0075278A"/>
    <w:rsid w:val="007528CA"/>
    <w:rsid w:val="00753291"/>
    <w:rsid w:val="007612BC"/>
    <w:rsid w:val="0076317D"/>
    <w:rsid w:val="00772B52"/>
    <w:rsid w:val="007735DE"/>
    <w:rsid w:val="00774871"/>
    <w:rsid w:val="00775B31"/>
    <w:rsid w:val="00775B5C"/>
    <w:rsid w:val="007763EF"/>
    <w:rsid w:val="00782322"/>
    <w:rsid w:val="0078483D"/>
    <w:rsid w:val="00784F95"/>
    <w:rsid w:val="007860C5"/>
    <w:rsid w:val="00787217"/>
    <w:rsid w:val="00793518"/>
    <w:rsid w:val="007949CC"/>
    <w:rsid w:val="00794F6A"/>
    <w:rsid w:val="0079652C"/>
    <w:rsid w:val="007A1DA4"/>
    <w:rsid w:val="007A21D5"/>
    <w:rsid w:val="007A5F71"/>
    <w:rsid w:val="007A62EF"/>
    <w:rsid w:val="007B144C"/>
    <w:rsid w:val="007B15BA"/>
    <w:rsid w:val="007B3CF1"/>
    <w:rsid w:val="007B5F8D"/>
    <w:rsid w:val="007C67A4"/>
    <w:rsid w:val="007D3412"/>
    <w:rsid w:val="007D417E"/>
    <w:rsid w:val="007D4BF3"/>
    <w:rsid w:val="007D7065"/>
    <w:rsid w:val="007E3706"/>
    <w:rsid w:val="007F15B6"/>
    <w:rsid w:val="007F35C3"/>
    <w:rsid w:val="0080124F"/>
    <w:rsid w:val="00806B55"/>
    <w:rsid w:val="00811881"/>
    <w:rsid w:val="008137F7"/>
    <w:rsid w:val="00814AC9"/>
    <w:rsid w:val="00820503"/>
    <w:rsid w:val="00821430"/>
    <w:rsid w:val="0082166F"/>
    <w:rsid w:val="008236E9"/>
    <w:rsid w:val="00827E61"/>
    <w:rsid w:val="00831B4C"/>
    <w:rsid w:val="00832640"/>
    <w:rsid w:val="00833427"/>
    <w:rsid w:val="0083469D"/>
    <w:rsid w:val="00836170"/>
    <w:rsid w:val="0083722F"/>
    <w:rsid w:val="00841F47"/>
    <w:rsid w:val="00847642"/>
    <w:rsid w:val="00851A1A"/>
    <w:rsid w:val="00854AD6"/>
    <w:rsid w:val="00855818"/>
    <w:rsid w:val="00855ECF"/>
    <w:rsid w:val="008579E5"/>
    <w:rsid w:val="00865827"/>
    <w:rsid w:val="0086640F"/>
    <w:rsid w:val="00867F6E"/>
    <w:rsid w:val="00873E0C"/>
    <w:rsid w:val="0087421C"/>
    <w:rsid w:val="008762D9"/>
    <w:rsid w:val="0087653F"/>
    <w:rsid w:val="00880221"/>
    <w:rsid w:val="008818A3"/>
    <w:rsid w:val="00883E82"/>
    <w:rsid w:val="00886C7A"/>
    <w:rsid w:val="00887284"/>
    <w:rsid w:val="00890FE6"/>
    <w:rsid w:val="00893CF3"/>
    <w:rsid w:val="00895EFD"/>
    <w:rsid w:val="00897789"/>
    <w:rsid w:val="00897A59"/>
    <w:rsid w:val="008A1365"/>
    <w:rsid w:val="008A26B4"/>
    <w:rsid w:val="008A2B89"/>
    <w:rsid w:val="008B05C7"/>
    <w:rsid w:val="008B2686"/>
    <w:rsid w:val="008B2C51"/>
    <w:rsid w:val="008B3532"/>
    <w:rsid w:val="008B3650"/>
    <w:rsid w:val="008B48B3"/>
    <w:rsid w:val="008B5362"/>
    <w:rsid w:val="008B673A"/>
    <w:rsid w:val="008B7AAA"/>
    <w:rsid w:val="008B7FA5"/>
    <w:rsid w:val="008C6100"/>
    <w:rsid w:val="008C6C0E"/>
    <w:rsid w:val="008C720F"/>
    <w:rsid w:val="008D3C47"/>
    <w:rsid w:val="008D3D65"/>
    <w:rsid w:val="008D4868"/>
    <w:rsid w:val="008D4898"/>
    <w:rsid w:val="008E007B"/>
    <w:rsid w:val="008E118E"/>
    <w:rsid w:val="008E3240"/>
    <w:rsid w:val="008E3388"/>
    <w:rsid w:val="008E49E6"/>
    <w:rsid w:val="008E682C"/>
    <w:rsid w:val="008F1F6B"/>
    <w:rsid w:val="008F33C4"/>
    <w:rsid w:val="008F3E81"/>
    <w:rsid w:val="008F6607"/>
    <w:rsid w:val="008F6983"/>
    <w:rsid w:val="008F69FB"/>
    <w:rsid w:val="008F6FFC"/>
    <w:rsid w:val="008F72A3"/>
    <w:rsid w:val="00905688"/>
    <w:rsid w:val="00913DD2"/>
    <w:rsid w:val="009140A8"/>
    <w:rsid w:val="009145FE"/>
    <w:rsid w:val="009166EE"/>
    <w:rsid w:val="009169AA"/>
    <w:rsid w:val="0091723A"/>
    <w:rsid w:val="0091762E"/>
    <w:rsid w:val="00917CFF"/>
    <w:rsid w:val="00921E19"/>
    <w:rsid w:val="009228DC"/>
    <w:rsid w:val="00927596"/>
    <w:rsid w:val="009308C2"/>
    <w:rsid w:val="009334AB"/>
    <w:rsid w:val="00933823"/>
    <w:rsid w:val="0093434A"/>
    <w:rsid w:val="0094190A"/>
    <w:rsid w:val="00942C69"/>
    <w:rsid w:val="00944DF5"/>
    <w:rsid w:val="0094647C"/>
    <w:rsid w:val="00951CCB"/>
    <w:rsid w:val="00955763"/>
    <w:rsid w:val="00956728"/>
    <w:rsid w:val="009575E9"/>
    <w:rsid w:val="00964DAA"/>
    <w:rsid w:val="00965438"/>
    <w:rsid w:val="00966C96"/>
    <w:rsid w:val="009718E2"/>
    <w:rsid w:val="00971A5B"/>
    <w:rsid w:val="009721B3"/>
    <w:rsid w:val="00973071"/>
    <w:rsid w:val="009749DF"/>
    <w:rsid w:val="00975C26"/>
    <w:rsid w:val="00976A8D"/>
    <w:rsid w:val="009834F9"/>
    <w:rsid w:val="00983929"/>
    <w:rsid w:val="00984C1A"/>
    <w:rsid w:val="00985CB5"/>
    <w:rsid w:val="00987F10"/>
    <w:rsid w:val="00994DFD"/>
    <w:rsid w:val="009958D3"/>
    <w:rsid w:val="009A276D"/>
    <w:rsid w:val="009A412C"/>
    <w:rsid w:val="009A4C1E"/>
    <w:rsid w:val="009A527C"/>
    <w:rsid w:val="009A624A"/>
    <w:rsid w:val="009B4661"/>
    <w:rsid w:val="009B76B1"/>
    <w:rsid w:val="009C10EE"/>
    <w:rsid w:val="009C19DC"/>
    <w:rsid w:val="009C3758"/>
    <w:rsid w:val="009D3F66"/>
    <w:rsid w:val="009D7694"/>
    <w:rsid w:val="009D7BDA"/>
    <w:rsid w:val="009E29C5"/>
    <w:rsid w:val="009E2C72"/>
    <w:rsid w:val="009E4187"/>
    <w:rsid w:val="009E4657"/>
    <w:rsid w:val="009E4A36"/>
    <w:rsid w:val="009E4AC6"/>
    <w:rsid w:val="009E5A77"/>
    <w:rsid w:val="009E679E"/>
    <w:rsid w:val="009F2047"/>
    <w:rsid w:val="009F3C3C"/>
    <w:rsid w:val="009F4643"/>
    <w:rsid w:val="009F5393"/>
    <w:rsid w:val="009F70E7"/>
    <w:rsid w:val="00A0083C"/>
    <w:rsid w:val="00A0254E"/>
    <w:rsid w:val="00A05D5E"/>
    <w:rsid w:val="00A06600"/>
    <w:rsid w:val="00A066EA"/>
    <w:rsid w:val="00A06812"/>
    <w:rsid w:val="00A070FD"/>
    <w:rsid w:val="00A14990"/>
    <w:rsid w:val="00A16131"/>
    <w:rsid w:val="00A16447"/>
    <w:rsid w:val="00A174C0"/>
    <w:rsid w:val="00A17CED"/>
    <w:rsid w:val="00A21028"/>
    <w:rsid w:val="00A222B5"/>
    <w:rsid w:val="00A22869"/>
    <w:rsid w:val="00A23159"/>
    <w:rsid w:val="00A24B0C"/>
    <w:rsid w:val="00A25921"/>
    <w:rsid w:val="00A26129"/>
    <w:rsid w:val="00A3322D"/>
    <w:rsid w:val="00A33F01"/>
    <w:rsid w:val="00A3462D"/>
    <w:rsid w:val="00A34741"/>
    <w:rsid w:val="00A34E41"/>
    <w:rsid w:val="00A36078"/>
    <w:rsid w:val="00A41306"/>
    <w:rsid w:val="00A45B57"/>
    <w:rsid w:val="00A50893"/>
    <w:rsid w:val="00A51020"/>
    <w:rsid w:val="00A52B89"/>
    <w:rsid w:val="00A52C41"/>
    <w:rsid w:val="00A52F02"/>
    <w:rsid w:val="00A5337D"/>
    <w:rsid w:val="00A569DE"/>
    <w:rsid w:val="00A575BE"/>
    <w:rsid w:val="00A61324"/>
    <w:rsid w:val="00A61C4F"/>
    <w:rsid w:val="00A65D80"/>
    <w:rsid w:val="00A665B5"/>
    <w:rsid w:val="00A70125"/>
    <w:rsid w:val="00A72544"/>
    <w:rsid w:val="00A73F46"/>
    <w:rsid w:val="00A77D61"/>
    <w:rsid w:val="00A8291C"/>
    <w:rsid w:val="00A8614F"/>
    <w:rsid w:val="00A86FFC"/>
    <w:rsid w:val="00A907DE"/>
    <w:rsid w:val="00A92EFE"/>
    <w:rsid w:val="00A92FD3"/>
    <w:rsid w:val="00A93013"/>
    <w:rsid w:val="00A934AD"/>
    <w:rsid w:val="00A943EF"/>
    <w:rsid w:val="00A94FFF"/>
    <w:rsid w:val="00A95275"/>
    <w:rsid w:val="00A969D1"/>
    <w:rsid w:val="00A96A71"/>
    <w:rsid w:val="00AA17C8"/>
    <w:rsid w:val="00AA22C3"/>
    <w:rsid w:val="00AA54DF"/>
    <w:rsid w:val="00AA5C81"/>
    <w:rsid w:val="00AA7FC5"/>
    <w:rsid w:val="00AB102B"/>
    <w:rsid w:val="00AB10FA"/>
    <w:rsid w:val="00AB56CC"/>
    <w:rsid w:val="00AB61CB"/>
    <w:rsid w:val="00AC329E"/>
    <w:rsid w:val="00AC3750"/>
    <w:rsid w:val="00AC3A02"/>
    <w:rsid w:val="00AC3F1E"/>
    <w:rsid w:val="00AC4F5E"/>
    <w:rsid w:val="00AC600F"/>
    <w:rsid w:val="00AC6032"/>
    <w:rsid w:val="00AC657D"/>
    <w:rsid w:val="00AC6D14"/>
    <w:rsid w:val="00AD0C9D"/>
    <w:rsid w:val="00AD0EFC"/>
    <w:rsid w:val="00AD3D56"/>
    <w:rsid w:val="00AD5F17"/>
    <w:rsid w:val="00AD6094"/>
    <w:rsid w:val="00AE021D"/>
    <w:rsid w:val="00AE1745"/>
    <w:rsid w:val="00AE1C09"/>
    <w:rsid w:val="00AE3080"/>
    <w:rsid w:val="00AF195F"/>
    <w:rsid w:val="00AF1AA9"/>
    <w:rsid w:val="00AF2619"/>
    <w:rsid w:val="00AF378C"/>
    <w:rsid w:val="00AF4862"/>
    <w:rsid w:val="00B008AE"/>
    <w:rsid w:val="00B01D0D"/>
    <w:rsid w:val="00B0216D"/>
    <w:rsid w:val="00B02BA2"/>
    <w:rsid w:val="00B03B75"/>
    <w:rsid w:val="00B0629B"/>
    <w:rsid w:val="00B069C0"/>
    <w:rsid w:val="00B1345C"/>
    <w:rsid w:val="00B13E6B"/>
    <w:rsid w:val="00B16651"/>
    <w:rsid w:val="00B16A30"/>
    <w:rsid w:val="00B16BA6"/>
    <w:rsid w:val="00B17FBB"/>
    <w:rsid w:val="00B205ED"/>
    <w:rsid w:val="00B25CCB"/>
    <w:rsid w:val="00B25E7F"/>
    <w:rsid w:val="00B269B1"/>
    <w:rsid w:val="00B31AB4"/>
    <w:rsid w:val="00B33742"/>
    <w:rsid w:val="00B342DC"/>
    <w:rsid w:val="00B3646E"/>
    <w:rsid w:val="00B37500"/>
    <w:rsid w:val="00B41670"/>
    <w:rsid w:val="00B44600"/>
    <w:rsid w:val="00B47C40"/>
    <w:rsid w:val="00B50EDB"/>
    <w:rsid w:val="00B52CA2"/>
    <w:rsid w:val="00B545AA"/>
    <w:rsid w:val="00B56998"/>
    <w:rsid w:val="00B57323"/>
    <w:rsid w:val="00B5784D"/>
    <w:rsid w:val="00B6063C"/>
    <w:rsid w:val="00B642C5"/>
    <w:rsid w:val="00B65D37"/>
    <w:rsid w:val="00B70031"/>
    <w:rsid w:val="00B718DF"/>
    <w:rsid w:val="00B72587"/>
    <w:rsid w:val="00B72C26"/>
    <w:rsid w:val="00B7309E"/>
    <w:rsid w:val="00B73ABC"/>
    <w:rsid w:val="00B7631F"/>
    <w:rsid w:val="00B76556"/>
    <w:rsid w:val="00B77FB3"/>
    <w:rsid w:val="00B817C9"/>
    <w:rsid w:val="00B857C9"/>
    <w:rsid w:val="00B870E3"/>
    <w:rsid w:val="00B933F1"/>
    <w:rsid w:val="00B936F2"/>
    <w:rsid w:val="00B937D3"/>
    <w:rsid w:val="00B93FAE"/>
    <w:rsid w:val="00B9414C"/>
    <w:rsid w:val="00B941D0"/>
    <w:rsid w:val="00BA2DE6"/>
    <w:rsid w:val="00BA38D4"/>
    <w:rsid w:val="00BA3FD3"/>
    <w:rsid w:val="00BA7EBB"/>
    <w:rsid w:val="00BB26B9"/>
    <w:rsid w:val="00BB2868"/>
    <w:rsid w:val="00BB53F6"/>
    <w:rsid w:val="00BB6959"/>
    <w:rsid w:val="00BB6D17"/>
    <w:rsid w:val="00BB6D24"/>
    <w:rsid w:val="00BB6EB0"/>
    <w:rsid w:val="00BC022A"/>
    <w:rsid w:val="00BC5317"/>
    <w:rsid w:val="00BC5FCC"/>
    <w:rsid w:val="00BC71AB"/>
    <w:rsid w:val="00BD0D17"/>
    <w:rsid w:val="00BD2C47"/>
    <w:rsid w:val="00BE0F33"/>
    <w:rsid w:val="00BE25ED"/>
    <w:rsid w:val="00BE46D0"/>
    <w:rsid w:val="00BE5686"/>
    <w:rsid w:val="00BE7856"/>
    <w:rsid w:val="00BF1716"/>
    <w:rsid w:val="00BF3EEB"/>
    <w:rsid w:val="00BF6B43"/>
    <w:rsid w:val="00BF70E4"/>
    <w:rsid w:val="00BF7198"/>
    <w:rsid w:val="00C011FF"/>
    <w:rsid w:val="00C022F9"/>
    <w:rsid w:val="00C023DD"/>
    <w:rsid w:val="00C02E35"/>
    <w:rsid w:val="00C04A93"/>
    <w:rsid w:val="00C05544"/>
    <w:rsid w:val="00C059B6"/>
    <w:rsid w:val="00C075B8"/>
    <w:rsid w:val="00C119B4"/>
    <w:rsid w:val="00C15292"/>
    <w:rsid w:val="00C16121"/>
    <w:rsid w:val="00C221F2"/>
    <w:rsid w:val="00C22952"/>
    <w:rsid w:val="00C23B4C"/>
    <w:rsid w:val="00C23FFF"/>
    <w:rsid w:val="00C24BFE"/>
    <w:rsid w:val="00C256B3"/>
    <w:rsid w:val="00C340EC"/>
    <w:rsid w:val="00C3446A"/>
    <w:rsid w:val="00C37CEC"/>
    <w:rsid w:val="00C4713D"/>
    <w:rsid w:val="00C47197"/>
    <w:rsid w:val="00C5346B"/>
    <w:rsid w:val="00C600C2"/>
    <w:rsid w:val="00C60B0D"/>
    <w:rsid w:val="00C63539"/>
    <w:rsid w:val="00C64D1A"/>
    <w:rsid w:val="00C653E7"/>
    <w:rsid w:val="00C675EE"/>
    <w:rsid w:val="00C707E3"/>
    <w:rsid w:val="00C72D5F"/>
    <w:rsid w:val="00C737A4"/>
    <w:rsid w:val="00C774C6"/>
    <w:rsid w:val="00C80DCA"/>
    <w:rsid w:val="00C81D2D"/>
    <w:rsid w:val="00C91E10"/>
    <w:rsid w:val="00C93E59"/>
    <w:rsid w:val="00C9686B"/>
    <w:rsid w:val="00CA1499"/>
    <w:rsid w:val="00CA5648"/>
    <w:rsid w:val="00CA58C1"/>
    <w:rsid w:val="00CB004C"/>
    <w:rsid w:val="00CB122E"/>
    <w:rsid w:val="00CB2010"/>
    <w:rsid w:val="00CB412B"/>
    <w:rsid w:val="00CB495C"/>
    <w:rsid w:val="00CB5F71"/>
    <w:rsid w:val="00CB61B4"/>
    <w:rsid w:val="00CC0F07"/>
    <w:rsid w:val="00CC35BD"/>
    <w:rsid w:val="00CC5DFF"/>
    <w:rsid w:val="00CC7640"/>
    <w:rsid w:val="00CD18E2"/>
    <w:rsid w:val="00CD1AFA"/>
    <w:rsid w:val="00CD1B8E"/>
    <w:rsid w:val="00CD1C0F"/>
    <w:rsid w:val="00CD2686"/>
    <w:rsid w:val="00CD2A3D"/>
    <w:rsid w:val="00CD5BF7"/>
    <w:rsid w:val="00CD7A41"/>
    <w:rsid w:val="00CE098D"/>
    <w:rsid w:val="00CE0FA2"/>
    <w:rsid w:val="00CE39C7"/>
    <w:rsid w:val="00CE569E"/>
    <w:rsid w:val="00CE6D5A"/>
    <w:rsid w:val="00CF0B60"/>
    <w:rsid w:val="00CF170A"/>
    <w:rsid w:val="00CF1923"/>
    <w:rsid w:val="00CF20BE"/>
    <w:rsid w:val="00CF4BDC"/>
    <w:rsid w:val="00CF6FAB"/>
    <w:rsid w:val="00D01400"/>
    <w:rsid w:val="00D031A2"/>
    <w:rsid w:val="00D03499"/>
    <w:rsid w:val="00D04355"/>
    <w:rsid w:val="00D06194"/>
    <w:rsid w:val="00D06A63"/>
    <w:rsid w:val="00D10A00"/>
    <w:rsid w:val="00D172D9"/>
    <w:rsid w:val="00D174B7"/>
    <w:rsid w:val="00D17C0D"/>
    <w:rsid w:val="00D202CB"/>
    <w:rsid w:val="00D2075D"/>
    <w:rsid w:val="00D20F48"/>
    <w:rsid w:val="00D23743"/>
    <w:rsid w:val="00D26F02"/>
    <w:rsid w:val="00D26F71"/>
    <w:rsid w:val="00D26F80"/>
    <w:rsid w:val="00D31CD4"/>
    <w:rsid w:val="00D32731"/>
    <w:rsid w:val="00D32E9D"/>
    <w:rsid w:val="00D32FCB"/>
    <w:rsid w:val="00D33D30"/>
    <w:rsid w:val="00D34B67"/>
    <w:rsid w:val="00D350A7"/>
    <w:rsid w:val="00D359AB"/>
    <w:rsid w:val="00D36B9B"/>
    <w:rsid w:val="00D37D4B"/>
    <w:rsid w:val="00D416E6"/>
    <w:rsid w:val="00D43B5D"/>
    <w:rsid w:val="00D44D00"/>
    <w:rsid w:val="00D46590"/>
    <w:rsid w:val="00D47560"/>
    <w:rsid w:val="00D4758F"/>
    <w:rsid w:val="00D50B46"/>
    <w:rsid w:val="00D513C1"/>
    <w:rsid w:val="00D553C0"/>
    <w:rsid w:val="00D562F7"/>
    <w:rsid w:val="00D56303"/>
    <w:rsid w:val="00D56FA2"/>
    <w:rsid w:val="00D5717A"/>
    <w:rsid w:val="00D6285E"/>
    <w:rsid w:val="00D63417"/>
    <w:rsid w:val="00D704C7"/>
    <w:rsid w:val="00D7115E"/>
    <w:rsid w:val="00D73822"/>
    <w:rsid w:val="00D75725"/>
    <w:rsid w:val="00D80AD7"/>
    <w:rsid w:val="00D812C8"/>
    <w:rsid w:val="00D82DA3"/>
    <w:rsid w:val="00D83FFF"/>
    <w:rsid w:val="00D84EB5"/>
    <w:rsid w:val="00D9219A"/>
    <w:rsid w:val="00D93343"/>
    <w:rsid w:val="00D93E42"/>
    <w:rsid w:val="00D96000"/>
    <w:rsid w:val="00D964F3"/>
    <w:rsid w:val="00D967E5"/>
    <w:rsid w:val="00DA01DF"/>
    <w:rsid w:val="00DA303C"/>
    <w:rsid w:val="00DA3AA8"/>
    <w:rsid w:val="00DA3F4B"/>
    <w:rsid w:val="00DA539B"/>
    <w:rsid w:val="00DA53AD"/>
    <w:rsid w:val="00DA6873"/>
    <w:rsid w:val="00DB086E"/>
    <w:rsid w:val="00DB09E6"/>
    <w:rsid w:val="00DB32F8"/>
    <w:rsid w:val="00DB4C16"/>
    <w:rsid w:val="00DB527B"/>
    <w:rsid w:val="00DB5B92"/>
    <w:rsid w:val="00DC03AB"/>
    <w:rsid w:val="00DC0423"/>
    <w:rsid w:val="00DC1455"/>
    <w:rsid w:val="00DC3319"/>
    <w:rsid w:val="00DC36D9"/>
    <w:rsid w:val="00DC704A"/>
    <w:rsid w:val="00DC7E6E"/>
    <w:rsid w:val="00DD08D4"/>
    <w:rsid w:val="00DD0C66"/>
    <w:rsid w:val="00DD1E9D"/>
    <w:rsid w:val="00DD22C0"/>
    <w:rsid w:val="00DD2564"/>
    <w:rsid w:val="00DD3EA0"/>
    <w:rsid w:val="00DD6F2C"/>
    <w:rsid w:val="00DD7332"/>
    <w:rsid w:val="00DE4A77"/>
    <w:rsid w:val="00DE5867"/>
    <w:rsid w:val="00DF1E3B"/>
    <w:rsid w:val="00DF2335"/>
    <w:rsid w:val="00DF6785"/>
    <w:rsid w:val="00DF7C6E"/>
    <w:rsid w:val="00E00B26"/>
    <w:rsid w:val="00E04117"/>
    <w:rsid w:val="00E059C1"/>
    <w:rsid w:val="00E0688D"/>
    <w:rsid w:val="00E06CF3"/>
    <w:rsid w:val="00E113FD"/>
    <w:rsid w:val="00E12403"/>
    <w:rsid w:val="00E1543F"/>
    <w:rsid w:val="00E1607F"/>
    <w:rsid w:val="00E17EFA"/>
    <w:rsid w:val="00E21930"/>
    <w:rsid w:val="00E2227D"/>
    <w:rsid w:val="00E23737"/>
    <w:rsid w:val="00E24101"/>
    <w:rsid w:val="00E2636C"/>
    <w:rsid w:val="00E30BDD"/>
    <w:rsid w:val="00E34D81"/>
    <w:rsid w:val="00E34EAD"/>
    <w:rsid w:val="00E35024"/>
    <w:rsid w:val="00E42095"/>
    <w:rsid w:val="00E44C34"/>
    <w:rsid w:val="00E452F2"/>
    <w:rsid w:val="00E50E01"/>
    <w:rsid w:val="00E51481"/>
    <w:rsid w:val="00E5258E"/>
    <w:rsid w:val="00E525BD"/>
    <w:rsid w:val="00E5273F"/>
    <w:rsid w:val="00E56ADF"/>
    <w:rsid w:val="00E57A8A"/>
    <w:rsid w:val="00E57DBE"/>
    <w:rsid w:val="00E61079"/>
    <w:rsid w:val="00E62113"/>
    <w:rsid w:val="00E648C4"/>
    <w:rsid w:val="00E6500C"/>
    <w:rsid w:val="00E65D55"/>
    <w:rsid w:val="00E66E8C"/>
    <w:rsid w:val="00E66F53"/>
    <w:rsid w:val="00E70020"/>
    <w:rsid w:val="00E706A6"/>
    <w:rsid w:val="00E723E6"/>
    <w:rsid w:val="00E741B7"/>
    <w:rsid w:val="00E74705"/>
    <w:rsid w:val="00E76690"/>
    <w:rsid w:val="00E77561"/>
    <w:rsid w:val="00E801BF"/>
    <w:rsid w:val="00E802F5"/>
    <w:rsid w:val="00E81596"/>
    <w:rsid w:val="00E81E29"/>
    <w:rsid w:val="00E8418F"/>
    <w:rsid w:val="00E84605"/>
    <w:rsid w:val="00E85923"/>
    <w:rsid w:val="00E86521"/>
    <w:rsid w:val="00E938C5"/>
    <w:rsid w:val="00E9426B"/>
    <w:rsid w:val="00E94D7E"/>
    <w:rsid w:val="00E96853"/>
    <w:rsid w:val="00EA04A4"/>
    <w:rsid w:val="00EA0CE9"/>
    <w:rsid w:val="00EA7DC3"/>
    <w:rsid w:val="00EA7E20"/>
    <w:rsid w:val="00EB00FD"/>
    <w:rsid w:val="00EB0258"/>
    <w:rsid w:val="00EB1ED5"/>
    <w:rsid w:val="00EB1EDA"/>
    <w:rsid w:val="00EB23E1"/>
    <w:rsid w:val="00EB42B3"/>
    <w:rsid w:val="00EB4A66"/>
    <w:rsid w:val="00EB52C2"/>
    <w:rsid w:val="00EB5F34"/>
    <w:rsid w:val="00EB78DF"/>
    <w:rsid w:val="00EC0A61"/>
    <w:rsid w:val="00EC156C"/>
    <w:rsid w:val="00EC162B"/>
    <w:rsid w:val="00EC1B8C"/>
    <w:rsid w:val="00EC2751"/>
    <w:rsid w:val="00ED0FF6"/>
    <w:rsid w:val="00ED157B"/>
    <w:rsid w:val="00ED27DF"/>
    <w:rsid w:val="00ED3D74"/>
    <w:rsid w:val="00ED656D"/>
    <w:rsid w:val="00ED7FAE"/>
    <w:rsid w:val="00EE0259"/>
    <w:rsid w:val="00EE3B01"/>
    <w:rsid w:val="00EE69E8"/>
    <w:rsid w:val="00EE7220"/>
    <w:rsid w:val="00EF08AB"/>
    <w:rsid w:val="00EF0D5A"/>
    <w:rsid w:val="00EF1772"/>
    <w:rsid w:val="00EF1984"/>
    <w:rsid w:val="00EF62A7"/>
    <w:rsid w:val="00EF6CA6"/>
    <w:rsid w:val="00EF700D"/>
    <w:rsid w:val="00F02FB3"/>
    <w:rsid w:val="00F031AC"/>
    <w:rsid w:val="00F035D5"/>
    <w:rsid w:val="00F0684F"/>
    <w:rsid w:val="00F0706C"/>
    <w:rsid w:val="00F1076E"/>
    <w:rsid w:val="00F1192F"/>
    <w:rsid w:val="00F11C0E"/>
    <w:rsid w:val="00F1516D"/>
    <w:rsid w:val="00F2046B"/>
    <w:rsid w:val="00F21682"/>
    <w:rsid w:val="00F23847"/>
    <w:rsid w:val="00F23A4E"/>
    <w:rsid w:val="00F24391"/>
    <w:rsid w:val="00F27B8F"/>
    <w:rsid w:val="00F305A9"/>
    <w:rsid w:val="00F31EDC"/>
    <w:rsid w:val="00F35B92"/>
    <w:rsid w:val="00F36149"/>
    <w:rsid w:val="00F36588"/>
    <w:rsid w:val="00F376C4"/>
    <w:rsid w:val="00F37757"/>
    <w:rsid w:val="00F4013F"/>
    <w:rsid w:val="00F41D92"/>
    <w:rsid w:val="00F432E3"/>
    <w:rsid w:val="00F45FCF"/>
    <w:rsid w:val="00F51919"/>
    <w:rsid w:val="00F52C49"/>
    <w:rsid w:val="00F55E47"/>
    <w:rsid w:val="00F56BB4"/>
    <w:rsid w:val="00F6039F"/>
    <w:rsid w:val="00F61308"/>
    <w:rsid w:val="00F6354D"/>
    <w:rsid w:val="00F63F2F"/>
    <w:rsid w:val="00F66477"/>
    <w:rsid w:val="00F67C58"/>
    <w:rsid w:val="00F67E06"/>
    <w:rsid w:val="00F74555"/>
    <w:rsid w:val="00F745E8"/>
    <w:rsid w:val="00F75AED"/>
    <w:rsid w:val="00F76C09"/>
    <w:rsid w:val="00F77FEF"/>
    <w:rsid w:val="00F87622"/>
    <w:rsid w:val="00F87C39"/>
    <w:rsid w:val="00F91B4C"/>
    <w:rsid w:val="00F928CE"/>
    <w:rsid w:val="00F929FF"/>
    <w:rsid w:val="00F934FD"/>
    <w:rsid w:val="00F94346"/>
    <w:rsid w:val="00F94A66"/>
    <w:rsid w:val="00F951C7"/>
    <w:rsid w:val="00F97783"/>
    <w:rsid w:val="00FA06B0"/>
    <w:rsid w:val="00FA0938"/>
    <w:rsid w:val="00FA0F1E"/>
    <w:rsid w:val="00FA2029"/>
    <w:rsid w:val="00FA7113"/>
    <w:rsid w:val="00FA7405"/>
    <w:rsid w:val="00FB0918"/>
    <w:rsid w:val="00FB1036"/>
    <w:rsid w:val="00FB1947"/>
    <w:rsid w:val="00FB198E"/>
    <w:rsid w:val="00FB335C"/>
    <w:rsid w:val="00FB53B7"/>
    <w:rsid w:val="00FB5975"/>
    <w:rsid w:val="00FB65B3"/>
    <w:rsid w:val="00FB7CE1"/>
    <w:rsid w:val="00FC0E5B"/>
    <w:rsid w:val="00FC0E91"/>
    <w:rsid w:val="00FC378A"/>
    <w:rsid w:val="00FC3CD7"/>
    <w:rsid w:val="00FC51E5"/>
    <w:rsid w:val="00FC62C0"/>
    <w:rsid w:val="00FC65D8"/>
    <w:rsid w:val="00FC7700"/>
    <w:rsid w:val="00FD12A7"/>
    <w:rsid w:val="00FE117D"/>
    <w:rsid w:val="00FE1574"/>
    <w:rsid w:val="00FE16BB"/>
    <w:rsid w:val="00FE5192"/>
    <w:rsid w:val="00FE54F4"/>
    <w:rsid w:val="00FE6C6E"/>
    <w:rsid w:val="00FE6DC5"/>
    <w:rsid w:val="00FF16BE"/>
    <w:rsid w:val="00FF32A3"/>
    <w:rsid w:val="00FF43F5"/>
    <w:rsid w:val="00FF5509"/>
    <w:rsid w:val="00FF6B0A"/>
    <w:rsid w:val="00FF6D24"/>
    <w:rsid w:val="01335A3B"/>
    <w:rsid w:val="09028D52"/>
    <w:rsid w:val="092357B2"/>
    <w:rsid w:val="0C389A7D"/>
    <w:rsid w:val="0C3A2E14"/>
    <w:rsid w:val="10AAED5F"/>
    <w:rsid w:val="10D65469"/>
    <w:rsid w:val="120F5580"/>
    <w:rsid w:val="159B9471"/>
    <w:rsid w:val="163D7BBC"/>
    <w:rsid w:val="192907F3"/>
    <w:rsid w:val="1A06AB66"/>
    <w:rsid w:val="1D87EA73"/>
    <w:rsid w:val="1DF27C2E"/>
    <w:rsid w:val="1F8A177D"/>
    <w:rsid w:val="1F8E4C8F"/>
    <w:rsid w:val="22E7E9C4"/>
    <w:rsid w:val="2729187F"/>
    <w:rsid w:val="2975BD24"/>
    <w:rsid w:val="29D49119"/>
    <w:rsid w:val="2A5A81D6"/>
    <w:rsid w:val="2BDCFFEA"/>
    <w:rsid w:val="2BE24A41"/>
    <w:rsid w:val="2DB9A2F2"/>
    <w:rsid w:val="32847E80"/>
    <w:rsid w:val="334B3A26"/>
    <w:rsid w:val="349E4C0C"/>
    <w:rsid w:val="34AB9A84"/>
    <w:rsid w:val="34F33B79"/>
    <w:rsid w:val="3773B981"/>
    <w:rsid w:val="3CF45051"/>
    <w:rsid w:val="3E8442B9"/>
    <w:rsid w:val="4679EAE7"/>
    <w:rsid w:val="4C83FCDF"/>
    <w:rsid w:val="4DAE4D25"/>
    <w:rsid w:val="50A41494"/>
    <w:rsid w:val="51BBD560"/>
    <w:rsid w:val="5631FB66"/>
    <w:rsid w:val="565098AB"/>
    <w:rsid w:val="58A6BD28"/>
    <w:rsid w:val="58E212A7"/>
    <w:rsid w:val="5ACBB11E"/>
    <w:rsid w:val="5BDCCA53"/>
    <w:rsid w:val="5C3E1A6A"/>
    <w:rsid w:val="5E68104B"/>
    <w:rsid w:val="605BB750"/>
    <w:rsid w:val="64596B07"/>
    <w:rsid w:val="65188841"/>
    <w:rsid w:val="662B023C"/>
    <w:rsid w:val="6707E834"/>
    <w:rsid w:val="69CD0536"/>
    <w:rsid w:val="70363A70"/>
    <w:rsid w:val="7306F58E"/>
    <w:rsid w:val="735DC317"/>
    <w:rsid w:val="7992E35E"/>
    <w:rsid w:val="79ACF757"/>
    <w:rsid w:val="7E96F15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4B0A24"/>
  <w15:chartTrackingRefBased/>
  <w15:docId w15:val="{60C8E8D8-583F-493B-87BB-CC97AF5AF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01DF"/>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FF16BE"/>
    <w:rPr>
      <w:rFonts w:cs="Times New Roman"/>
      <w:color w:val="0000FF"/>
      <w:u w:val="single"/>
    </w:rPr>
  </w:style>
  <w:style w:type="paragraph" w:styleId="Stopka">
    <w:name w:val="footer"/>
    <w:basedOn w:val="Normalny"/>
    <w:link w:val="StopkaZnak"/>
    <w:uiPriority w:val="99"/>
    <w:rsid w:val="00FF16BE"/>
    <w:pPr>
      <w:tabs>
        <w:tab w:val="center" w:pos="4536"/>
        <w:tab w:val="right" w:pos="9072"/>
      </w:tabs>
      <w:spacing w:after="0" w:line="240" w:lineRule="auto"/>
    </w:pPr>
    <w:rPr>
      <w:rFonts w:ascii="Times New Roman" w:hAnsi="Times New Roman"/>
      <w:sz w:val="24"/>
      <w:szCs w:val="24"/>
      <w:lang w:eastAsia="pl-PL"/>
    </w:rPr>
  </w:style>
  <w:style w:type="character" w:customStyle="1" w:styleId="StopkaZnak">
    <w:name w:val="Stopka Znak"/>
    <w:link w:val="Stopka"/>
    <w:uiPriority w:val="99"/>
    <w:locked/>
    <w:rsid w:val="00FF16BE"/>
    <w:rPr>
      <w:rFonts w:ascii="Times New Roman" w:hAnsi="Times New Roman" w:cs="Times New Roman"/>
      <w:sz w:val="24"/>
    </w:rPr>
  </w:style>
  <w:style w:type="character" w:styleId="Numerstrony">
    <w:name w:val="page number"/>
    <w:uiPriority w:val="99"/>
    <w:rsid w:val="00FF16BE"/>
    <w:rPr>
      <w:rFonts w:cs="Times New Roman"/>
    </w:rPr>
  </w:style>
  <w:style w:type="table" w:styleId="Tabela-Siatka">
    <w:name w:val="Table Grid"/>
    <w:basedOn w:val="Standardowy"/>
    <w:uiPriority w:val="59"/>
    <w:rsid w:val="001866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B65B3"/>
    <w:pPr>
      <w:tabs>
        <w:tab w:val="center" w:pos="4536"/>
        <w:tab w:val="right" w:pos="9072"/>
      </w:tabs>
    </w:pPr>
  </w:style>
  <w:style w:type="character" w:customStyle="1" w:styleId="NagwekZnak">
    <w:name w:val="Nagłówek Znak"/>
    <w:link w:val="Nagwek"/>
    <w:uiPriority w:val="99"/>
    <w:locked/>
    <w:rsid w:val="00FB65B3"/>
    <w:rPr>
      <w:rFonts w:cs="Times New Roman"/>
      <w:sz w:val="22"/>
      <w:lang w:val="x-none" w:eastAsia="en-US"/>
    </w:rPr>
  </w:style>
  <w:style w:type="paragraph" w:styleId="Tekstdymka">
    <w:name w:val="Balloon Text"/>
    <w:basedOn w:val="Normalny"/>
    <w:link w:val="TekstdymkaZnak"/>
    <w:uiPriority w:val="99"/>
    <w:semiHidden/>
    <w:unhideWhenUsed/>
    <w:rsid w:val="00FB65B3"/>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FB65B3"/>
    <w:rPr>
      <w:rFonts w:ascii="Tahoma" w:hAnsi="Tahoma" w:cs="Times New Roman"/>
      <w:sz w:val="16"/>
      <w:lang w:val="x-none" w:eastAsia="en-US"/>
    </w:rPr>
  </w:style>
  <w:style w:type="paragraph" w:styleId="Tekstprzypisukocowego">
    <w:name w:val="endnote text"/>
    <w:basedOn w:val="Normalny"/>
    <w:link w:val="TekstprzypisukocowegoZnak"/>
    <w:uiPriority w:val="99"/>
    <w:semiHidden/>
    <w:unhideWhenUsed/>
    <w:rsid w:val="00FB65B3"/>
    <w:rPr>
      <w:sz w:val="20"/>
      <w:szCs w:val="20"/>
    </w:rPr>
  </w:style>
  <w:style w:type="character" w:customStyle="1" w:styleId="TekstprzypisukocowegoZnak">
    <w:name w:val="Tekst przypisu końcowego Znak"/>
    <w:link w:val="Tekstprzypisukocowego"/>
    <w:uiPriority w:val="99"/>
    <w:semiHidden/>
    <w:locked/>
    <w:rsid w:val="00FB65B3"/>
    <w:rPr>
      <w:rFonts w:cs="Times New Roman"/>
      <w:lang w:val="x-none" w:eastAsia="en-US"/>
    </w:rPr>
  </w:style>
  <w:style w:type="character" w:styleId="Odwoanieprzypisukocowego">
    <w:name w:val="endnote reference"/>
    <w:uiPriority w:val="99"/>
    <w:semiHidden/>
    <w:unhideWhenUsed/>
    <w:rsid w:val="00FB65B3"/>
    <w:rPr>
      <w:rFonts w:cs="Times New Roman"/>
      <w:vertAlign w:val="superscript"/>
    </w:rPr>
  </w:style>
  <w:style w:type="paragraph" w:styleId="Bezodstpw">
    <w:name w:val="No Spacing"/>
    <w:uiPriority w:val="1"/>
    <w:qFormat/>
    <w:rsid w:val="00EC0A61"/>
    <w:rPr>
      <w:rFonts w:cs="Times New Roman"/>
      <w:sz w:val="22"/>
      <w:szCs w:val="22"/>
      <w:lang w:eastAsia="en-US"/>
    </w:rPr>
  </w:style>
  <w:style w:type="character" w:styleId="Odwoaniedokomentarza">
    <w:name w:val="annotation reference"/>
    <w:uiPriority w:val="99"/>
    <w:semiHidden/>
    <w:unhideWhenUsed/>
    <w:qFormat/>
    <w:rsid w:val="008B5362"/>
    <w:rPr>
      <w:sz w:val="16"/>
      <w:szCs w:val="16"/>
    </w:rPr>
  </w:style>
  <w:style w:type="paragraph" w:styleId="Tekstkomentarza">
    <w:name w:val="annotation text"/>
    <w:basedOn w:val="Normalny"/>
    <w:link w:val="TekstkomentarzaZnak"/>
    <w:uiPriority w:val="99"/>
    <w:unhideWhenUsed/>
    <w:qFormat/>
    <w:rsid w:val="008B5362"/>
    <w:rPr>
      <w:sz w:val="20"/>
      <w:szCs w:val="20"/>
    </w:rPr>
  </w:style>
  <w:style w:type="character" w:customStyle="1" w:styleId="TekstkomentarzaZnak">
    <w:name w:val="Tekst komentarza Znak"/>
    <w:link w:val="Tekstkomentarza"/>
    <w:uiPriority w:val="99"/>
    <w:qFormat/>
    <w:rsid w:val="008B5362"/>
    <w:rPr>
      <w:rFonts w:cs="Times New Roman"/>
      <w:lang w:eastAsia="en-US"/>
    </w:rPr>
  </w:style>
  <w:style w:type="paragraph" w:styleId="Tematkomentarza">
    <w:name w:val="annotation subject"/>
    <w:basedOn w:val="Tekstkomentarza"/>
    <w:next w:val="Tekstkomentarza"/>
    <w:link w:val="TematkomentarzaZnak"/>
    <w:uiPriority w:val="99"/>
    <w:semiHidden/>
    <w:unhideWhenUsed/>
    <w:rsid w:val="008B5362"/>
    <w:rPr>
      <w:b/>
      <w:bCs/>
    </w:rPr>
  </w:style>
  <w:style w:type="character" w:customStyle="1" w:styleId="TematkomentarzaZnak">
    <w:name w:val="Temat komentarza Znak"/>
    <w:link w:val="Tematkomentarza"/>
    <w:uiPriority w:val="99"/>
    <w:semiHidden/>
    <w:rsid w:val="008B5362"/>
    <w:rPr>
      <w:rFonts w:cs="Times New Roman"/>
      <w:b/>
      <w:bCs/>
      <w:lang w:eastAsia="en-US"/>
    </w:rPr>
  </w:style>
  <w:style w:type="paragraph" w:styleId="Poprawka">
    <w:name w:val="Revision"/>
    <w:hidden/>
    <w:uiPriority w:val="99"/>
    <w:semiHidden/>
    <w:rsid w:val="00345FB0"/>
    <w:rPr>
      <w:rFonts w:cs="Times New Roman"/>
      <w:sz w:val="22"/>
      <w:szCs w:val="22"/>
      <w:lang w:eastAsia="en-US"/>
    </w:rPr>
  </w:style>
  <w:style w:type="paragraph" w:customStyle="1" w:styleId="ZUSTzmustartykuempunktem">
    <w:name w:val="Z/UST(§) – zm. ust. (§) artykułem (punktem)"/>
    <w:basedOn w:val="Normalny"/>
    <w:uiPriority w:val="30"/>
    <w:qFormat/>
    <w:rsid w:val="00ED27DF"/>
    <w:pPr>
      <w:suppressAutoHyphens/>
      <w:autoSpaceDE w:val="0"/>
      <w:autoSpaceDN w:val="0"/>
      <w:adjustRightInd w:val="0"/>
      <w:spacing w:after="0" w:line="360" w:lineRule="auto"/>
      <w:ind w:left="510" w:firstLine="510"/>
      <w:jc w:val="both"/>
    </w:pPr>
    <w:rPr>
      <w:rFonts w:ascii="Times" w:hAnsi="Times" w:cs="Arial"/>
      <w:sz w:val="24"/>
      <w:szCs w:val="20"/>
      <w:lang w:eastAsia="pl-PL"/>
    </w:rPr>
  </w:style>
  <w:style w:type="paragraph" w:customStyle="1" w:styleId="USTustnpkodeksu">
    <w:name w:val="UST(§) – ust. (§ np. kodeksu)"/>
    <w:basedOn w:val="Normalny"/>
    <w:uiPriority w:val="12"/>
    <w:qFormat/>
    <w:rsid w:val="00ED27DF"/>
    <w:pPr>
      <w:suppressAutoHyphens/>
      <w:autoSpaceDE w:val="0"/>
      <w:autoSpaceDN w:val="0"/>
      <w:adjustRightInd w:val="0"/>
      <w:spacing w:after="0" w:line="360" w:lineRule="auto"/>
      <w:ind w:firstLine="510"/>
      <w:jc w:val="both"/>
    </w:pPr>
    <w:rPr>
      <w:rFonts w:ascii="Times" w:hAnsi="Times" w:cs="Arial"/>
      <w:bCs/>
      <w:sz w:val="24"/>
      <w:szCs w:val="20"/>
      <w:lang w:eastAsia="pl-PL"/>
    </w:rPr>
  </w:style>
  <w:style w:type="paragraph" w:customStyle="1" w:styleId="PKTpunkt">
    <w:name w:val="PKT – punkt"/>
    <w:link w:val="PKTpunktZnak"/>
    <w:uiPriority w:val="16"/>
    <w:qFormat/>
    <w:rsid w:val="00ED27DF"/>
    <w:pPr>
      <w:spacing w:line="360" w:lineRule="auto"/>
      <w:ind w:left="510" w:hanging="510"/>
      <w:jc w:val="both"/>
    </w:pPr>
    <w:rPr>
      <w:rFonts w:ascii="Times" w:hAnsi="Times" w:cs="Arial"/>
      <w:bCs/>
      <w:sz w:val="24"/>
      <w:lang w:eastAsia="pl-PL"/>
    </w:rPr>
  </w:style>
  <w:style w:type="paragraph" w:customStyle="1" w:styleId="LITlitera">
    <w:name w:val="LIT – litera"/>
    <w:basedOn w:val="PKTpunkt"/>
    <w:uiPriority w:val="14"/>
    <w:qFormat/>
    <w:rsid w:val="00ED27DF"/>
    <w:pPr>
      <w:ind w:left="986" w:hanging="476"/>
    </w:pPr>
  </w:style>
  <w:style w:type="character" w:customStyle="1" w:styleId="PKTpunktZnak">
    <w:name w:val="PKT – punkt Znak"/>
    <w:link w:val="PKTpunkt"/>
    <w:uiPriority w:val="16"/>
    <w:locked/>
    <w:rsid w:val="00ED27DF"/>
    <w:rPr>
      <w:rFonts w:ascii="Times" w:hAnsi="Times" w:cs="Arial"/>
      <w:bCs/>
      <w:sz w:val="24"/>
    </w:rPr>
  </w:style>
  <w:style w:type="paragraph" w:customStyle="1" w:styleId="CZWSPPKTczwsplnapunktw">
    <w:name w:val="CZ_WSP_PKT – część wspólna punktów"/>
    <w:basedOn w:val="PKTpunkt"/>
    <w:next w:val="USTustnpkodeksu"/>
    <w:uiPriority w:val="16"/>
    <w:qFormat/>
    <w:rsid w:val="00A8291C"/>
    <w:pPr>
      <w:ind w:left="0" w:firstLine="0"/>
    </w:pPr>
  </w:style>
  <w:style w:type="paragraph" w:styleId="Akapitzlist">
    <w:name w:val="List Paragraph"/>
    <w:basedOn w:val="Norma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58816">
      <w:bodyDiv w:val="1"/>
      <w:marLeft w:val="0"/>
      <w:marRight w:val="0"/>
      <w:marTop w:val="0"/>
      <w:marBottom w:val="0"/>
      <w:divBdr>
        <w:top w:val="none" w:sz="0" w:space="0" w:color="auto"/>
        <w:left w:val="none" w:sz="0" w:space="0" w:color="auto"/>
        <w:bottom w:val="none" w:sz="0" w:space="0" w:color="auto"/>
        <w:right w:val="none" w:sz="0" w:space="0" w:color="auto"/>
      </w:divBdr>
    </w:div>
    <w:div w:id="400104062">
      <w:bodyDiv w:val="1"/>
      <w:marLeft w:val="0"/>
      <w:marRight w:val="0"/>
      <w:marTop w:val="0"/>
      <w:marBottom w:val="0"/>
      <w:divBdr>
        <w:top w:val="none" w:sz="0" w:space="0" w:color="auto"/>
        <w:left w:val="none" w:sz="0" w:space="0" w:color="auto"/>
        <w:bottom w:val="none" w:sz="0" w:space="0" w:color="auto"/>
        <w:right w:val="none" w:sz="0" w:space="0" w:color="auto"/>
      </w:divBdr>
    </w:div>
    <w:div w:id="882401079">
      <w:bodyDiv w:val="1"/>
      <w:marLeft w:val="0"/>
      <w:marRight w:val="0"/>
      <w:marTop w:val="0"/>
      <w:marBottom w:val="0"/>
      <w:divBdr>
        <w:top w:val="none" w:sz="0" w:space="0" w:color="auto"/>
        <w:left w:val="none" w:sz="0" w:space="0" w:color="auto"/>
        <w:bottom w:val="none" w:sz="0" w:space="0" w:color="auto"/>
        <w:right w:val="none" w:sz="0" w:space="0" w:color="auto"/>
      </w:divBdr>
      <w:divsChild>
        <w:div w:id="379407220">
          <w:marLeft w:val="300"/>
          <w:marRight w:val="0"/>
          <w:marTop w:val="0"/>
          <w:marBottom w:val="0"/>
          <w:divBdr>
            <w:top w:val="none" w:sz="0" w:space="0" w:color="auto"/>
            <w:left w:val="none" w:sz="0" w:space="0" w:color="auto"/>
            <w:bottom w:val="none" w:sz="0" w:space="0" w:color="auto"/>
            <w:right w:val="none" w:sz="0" w:space="0" w:color="auto"/>
          </w:divBdr>
        </w:div>
        <w:div w:id="810635941">
          <w:marLeft w:val="300"/>
          <w:marRight w:val="0"/>
          <w:marTop w:val="0"/>
          <w:marBottom w:val="0"/>
          <w:divBdr>
            <w:top w:val="none" w:sz="0" w:space="0" w:color="auto"/>
            <w:left w:val="none" w:sz="0" w:space="0" w:color="auto"/>
            <w:bottom w:val="none" w:sz="0" w:space="0" w:color="auto"/>
            <w:right w:val="none" w:sz="0" w:space="0" w:color="auto"/>
          </w:divBdr>
        </w:div>
        <w:div w:id="825126319">
          <w:marLeft w:val="300"/>
          <w:marRight w:val="0"/>
          <w:marTop w:val="0"/>
          <w:marBottom w:val="0"/>
          <w:divBdr>
            <w:top w:val="none" w:sz="0" w:space="0" w:color="auto"/>
            <w:left w:val="none" w:sz="0" w:space="0" w:color="auto"/>
            <w:bottom w:val="none" w:sz="0" w:space="0" w:color="auto"/>
            <w:right w:val="none" w:sz="0" w:space="0" w:color="auto"/>
          </w:divBdr>
        </w:div>
        <w:div w:id="1895461560">
          <w:marLeft w:val="300"/>
          <w:marRight w:val="0"/>
          <w:marTop w:val="0"/>
          <w:marBottom w:val="0"/>
          <w:divBdr>
            <w:top w:val="none" w:sz="0" w:space="0" w:color="auto"/>
            <w:left w:val="none" w:sz="0" w:space="0" w:color="auto"/>
            <w:bottom w:val="none" w:sz="0" w:space="0" w:color="auto"/>
            <w:right w:val="none" w:sz="0" w:space="0" w:color="auto"/>
          </w:divBdr>
        </w:div>
      </w:divsChild>
    </w:div>
    <w:div w:id="1188761695">
      <w:bodyDiv w:val="1"/>
      <w:marLeft w:val="0"/>
      <w:marRight w:val="0"/>
      <w:marTop w:val="0"/>
      <w:marBottom w:val="0"/>
      <w:divBdr>
        <w:top w:val="none" w:sz="0" w:space="0" w:color="auto"/>
        <w:left w:val="none" w:sz="0" w:space="0" w:color="auto"/>
        <w:bottom w:val="none" w:sz="0" w:space="0" w:color="auto"/>
        <w:right w:val="none" w:sz="0" w:space="0" w:color="auto"/>
      </w:divBdr>
      <w:divsChild>
        <w:div w:id="841970761">
          <w:marLeft w:val="0"/>
          <w:marRight w:val="0"/>
          <w:marTop w:val="0"/>
          <w:marBottom w:val="0"/>
          <w:divBdr>
            <w:top w:val="none" w:sz="0" w:space="0" w:color="auto"/>
            <w:left w:val="none" w:sz="0" w:space="0" w:color="auto"/>
            <w:bottom w:val="none" w:sz="0" w:space="0" w:color="auto"/>
            <w:right w:val="none" w:sz="0" w:space="0" w:color="auto"/>
          </w:divBdr>
          <w:divsChild>
            <w:div w:id="127405428">
              <w:marLeft w:val="0"/>
              <w:marRight w:val="0"/>
              <w:marTop w:val="105"/>
              <w:marBottom w:val="0"/>
              <w:divBdr>
                <w:top w:val="none" w:sz="0" w:space="0" w:color="auto"/>
                <w:left w:val="none" w:sz="0" w:space="0" w:color="auto"/>
                <w:bottom w:val="none" w:sz="0" w:space="0" w:color="auto"/>
                <w:right w:val="none" w:sz="0" w:space="0" w:color="auto"/>
              </w:divBdr>
            </w:div>
          </w:divsChild>
        </w:div>
        <w:div w:id="1730693542">
          <w:marLeft w:val="0"/>
          <w:marRight w:val="0"/>
          <w:marTop w:val="150"/>
          <w:marBottom w:val="168"/>
          <w:divBdr>
            <w:top w:val="none" w:sz="0" w:space="0" w:color="auto"/>
            <w:left w:val="none" w:sz="0" w:space="0" w:color="auto"/>
            <w:bottom w:val="none" w:sz="0" w:space="0" w:color="auto"/>
            <w:right w:val="none" w:sz="0" w:space="0" w:color="auto"/>
          </w:divBdr>
        </w:div>
      </w:divsChild>
    </w:div>
    <w:div w:id="1996450957">
      <w:bodyDiv w:val="1"/>
      <w:marLeft w:val="0"/>
      <w:marRight w:val="0"/>
      <w:marTop w:val="0"/>
      <w:marBottom w:val="0"/>
      <w:divBdr>
        <w:top w:val="none" w:sz="0" w:space="0" w:color="auto"/>
        <w:left w:val="none" w:sz="0" w:space="0" w:color="auto"/>
        <w:bottom w:val="none" w:sz="0" w:space="0" w:color="auto"/>
        <w:right w:val="none" w:sz="0" w:space="0" w:color="auto"/>
      </w:divBdr>
      <w:divsChild>
        <w:div w:id="2124643226">
          <w:marLeft w:val="300"/>
          <w:marRight w:val="0"/>
          <w:marTop w:val="0"/>
          <w:marBottom w:val="0"/>
          <w:divBdr>
            <w:top w:val="none" w:sz="0" w:space="0" w:color="auto"/>
            <w:left w:val="none" w:sz="0" w:space="0" w:color="auto"/>
            <w:bottom w:val="none" w:sz="0" w:space="0" w:color="auto"/>
            <w:right w:val="none" w:sz="0" w:space="0" w:color="auto"/>
          </w:divBdr>
          <w:divsChild>
            <w:div w:id="943920504">
              <w:marLeft w:val="300"/>
              <w:marRight w:val="0"/>
              <w:marTop w:val="0"/>
              <w:marBottom w:val="0"/>
              <w:divBdr>
                <w:top w:val="none" w:sz="0" w:space="0" w:color="auto"/>
                <w:left w:val="none" w:sz="0" w:space="0" w:color="auto"/>
                <w:bottom w:val="none" w:sz="0" w:space="0" w:color="auto"/>
                <w:right w:val="none" w:sz="0" w:space="0" w:color="auto"/>
              </w:divBdr>
            </w:div>
            <w:div w:id="945581611">
              <w:marLeft w:val="300"/>
              <w:marRight w:val="0"/>
              <w:marTop w:val="0"/>
              <w:marBottom w:val="0"/>
              <w:divBdr>
                <w:top w:val="none" w:sz="0" w:space="0" w:color="auto"/>
                <w:left w:val="none" w:sz="0" w:space="0" w:color="auto"/>
                <w:bottom w:val="none" w:sz="0" w:space="0" w:color="auto"/>
                <w:right w:val="none" w:sz="0" w:space="0" w:color="auto"/>
              </w:divBdr>
            </w:div>
            <w:div w:id="152968086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06925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be7d37cdc6a743e8"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c28ea3225680456c"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3D0F16DE8572B43975EBFC951D5D0A9" ma:contentTypeVersion="1" ma:contentTypeDescription="Utwórz nowy dokument." ma:contentTypeScope="" ma:versionID="e7c1428b87016e9fc4dbd2db439a6b8e">
  <xsd:schema xmlns:xsd="http://www.w3.org/2001/XMLSchema" xmlns:xs="http://www.w3.org/2001/XMLSchema" xmlns:p="http://schemas.microsoft.com/office/2006/metadata/properties" xmlns:ns2="67579e97-3510-4fd2-8f7e-2d728f4aef4f" xmlns:ns3="b50b19ac-091f-4480-9549-580b1b781567" targetNamespace="http://schemas.microsoft.com/office/2006/metadata/properties" ma:root="true" ma:fieldsID="9821110112c6bb0662939309a490738a" ns2:_="" ns3:_="">
    <xsd:import namespace="67579e97-3510-4fd2-8f7e-2d728f4aef4f"/>
    <xsd:import namespace="b50b19ac-091f-4480-9549-580b1b781567"/>
    <xsd:element name="properties">
      <xsd:complexType>
        <xsd:sequence>
          <xsd:element name="documentManagement">
            <xsd:complexType>
              <xsd:all>
                <xsd:element ref="ns2:MediaServiceMetadata" minOccurs="0"/>
                <xsd:element ref="ns2:MediaServiceFastMetadata" minOccurs="0"/>
                <xsd:element ref="ns2:Status" minOccurs="0"/>
                <xsd:element ref="ns2:Udost_x0119_pnion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79e97-3510-4fd2-8f7e-2d728f4ae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default="Wprowadź wybór #1" ma:description="status" ma:internalName="Status">
      <xsd:simpleType>
        <xsd:restriction base="dms:Unknown">
          <xsd:enumeration value="Wprowadź wybór #1"/>
          <xsd:enumeration value="Wprowadź wybór #2"/>
          <xsd:enumeration value="Wprowadź wybór #3"/>
        </xsd:restriction>
      </xsd:simpleType>
    </xsd:element>
    <xsd:element name="Udost_x0119_pnione" ma:index="11" nillable="true" ma:displayName="Udostępnione" ma:default="1" ma:format="Dropdown" ma:internalName="Udost_x0119_pnion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0b19ac-091f-4480-9549-580b1b781567"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Udost_x0119_pnione xmlns="67579e97-3510-4fd2-8f7e-2d728f4aef4f">true</Udost_x0119_pnione>
    <Status xmlns="67579e97-3510-4fd2-8f7e-2d728f4aef4f">Wprowadź wybór #1</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F21F9-B1A2-4006-B5B6-34C03E5B160C}">
  <ds:schemaRefs>
    <ds:schemaRef ds:uri="http://schemas.microsoft.com/sharepoint/v3/contenttype/forms"/>
  </ds:schemaRefs>
</ds:datastoreItem>
</file>

<file path=customXml/itemProps2.xml><?xml version="1.0" encoding="utf-8"?>
<ds:datastoreItem xmlns:ds="http://schemas.openxmlformats.org/officeDocument/2006/customXml" ds:itemID="{2E56F09C-88ED-4E8B-9967-8A0CB4C6F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579e97-3510-4fd2-8f7e-2d728f4aef4f"/>
    <ds:schemaRef ds:uri="b50b19ac-091f-4480-9549-580b1b781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0BBD2D-64C0-4115-BA1C-037BC1AAA37F}">
  <ds:schemaRefs>
    <ds:schemaRef ds:uri="http://schemas.microsoft.com/office/2006/metadata/properties"/>
    <ds:schemaRef ds:uri="http://schemas.microsoft.com/office/infopath/2007/PartnerControls"/>
    <ds:schemaRef ds:uri="67579e97-3510-4fd2-8f7e-2d728f4aef4f"/>
  </ds:schemaRefs>
</ds:datastoreItem>
</file>

<file path=customXml/itemProps4.xml><?xml version="1.0" encoding="utf-8"?>
<ds:datastoreItem xmlns:ds="http://schemas.openxmlformats.org/officeDocument/2006/customXml" ds:itemID="{47CEC4DF-9451-4541-8C69-451FE2B7E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2713</Words>
  <Characters>16278</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18954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umwm</dc:creator>
  <cp:keywords/>
  <cp:lastModifiedBy>Witkowska-Krzymowska Magdalena</cp:lastModifiedBy>
  <cp:revision>142</cp:revision>
  <cp:lastPrinted>2022-07-21T01:43:00Z</cp:lastPrinted>
  <dcterms:created xsi:type="dcterms:W3CDTF">2023-01-05T08:29:00Z</dcterms:created>
  <dcterms:modified xsi:type="dcterms:W3CDTF">2023-04-21T12:30:00Z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0x010100F3D0F16DE8572B43975EBFC951D5D0A9</vt:lpwstr>
  </property>
</Properties>
</file>