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0FB68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06563039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259A5D0" w14:textId="6283F5EA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4573E">
              <w:t xml:space="preserve"> </w:t>
            </w:r>
            <w:r w:rsidR="00E4573E" w:rsidRPr="00E457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Rozwój e-usług dla pacjentów w zakresie diagnostyki (e</w:t>
            </w:r>
            <w:r w:rsidR="00E457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-</w:t>
            </w:r>
            <w:r w:rsidR="00E4573E" w:rsidRPr="00E457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diagnostyka)</w:t>
            </w:r>
          </w:p>
          <w:p w14:paraId="243AFF05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4A01DA89" w14:textId="77777777" w:rsidTr="00A06425">
        <w:tc>
          <w:tcPr>
            <w:tcW w:w="562" w:type="dxa"/>
            <w:shd w:val="clear" w:color="auto" w:fill="auto"/>
            <w:vAlign w:val="center"/>
          </w:tcPr>
          <w:p w14:paraId="3384A02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18AE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3BA93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BD7C49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F9E311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2CD534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22516AE" w14:textId="77777777" w:rsidTr="00A06425">
        <w:tc>
          <w:tcPr>
            <w:tcW w:w="562" w:type="dxa"/>
            <w:shd w:val="clear" w:color="auto" w:fill="auto"/>
          </w:tcPr>
          <w:p w14:paraId="442995B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A6115BA" w14:textId="709B71C8" w:rsidR="00A06425" w:rsidRPr="00A06425" w:rsidRDefault="00FB28E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843" w:type="dxa"/>
            <w:shd w:val="clear" w:color="auto" w:fill="auto"/>
          </w:tcPr>
          <w:p w14:paraId="498B334C" w14:textId="53EDD22C" w:rsidR="00A06425" w:rsidRPr="00A06425" w:rsidRDefault="00706F4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14:paraId="2B624D23" w14:textId="77777777" w:rsidR="00A06425" w:rsidRDefault="00706F4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Opis zakresu projektu oraz jego kontekstu (adresowane problemy, potencjalne korzyści) rodzi obawy, iż planowane prace doprowadzą do zdublowania funkcjonalności centralnego publicznego systemu IT w ochronie zdrowia, tj. systemu e-zdrowie (P1).</w:t>
            </w:r>
          </w:p>
          <w:p w14:paraId="54BF2221" w14:textId="5F5C8138" w:rsidR="00706F44" w:rsidRDefault="00706F4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ramach systemu P1 wdrożona została usługa dotycząca raportowania tzw. Zdarzeń Medycznych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 xml:space="preserve"> (ZM)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indeksowania Elektronicznej Dokumentacji Medycznej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 xml:space="preserve"> (EDM)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której celem jest m.in. zapewnienie kadrze medycznej (również pracującej w placówkach medycznych innych niż placówka, k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óra wytworzyła dany EDM) dostępu do danych medycznych i 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>dokumentacji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poziomu swojego systemu gabinetowego/ 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>szpitalnego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Również pacjenci, w ramach Internetowych Kont Pacjenta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 xml:space="preserve"> (IKP)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maja dostęp do swoich historii leczenia i EDM</w:t>
            </w:r>
            <w:r w:rsidR="00674012">
              <w:rPr>
                <w:rFonts w:asciiTheme="minorHAnsi" w:hAnsiTheme="minorHAnsi" w:cstheme="minorHAnsi"/>
                <w:sz w:val="22"/>
                <w:szCs w:val="22"/>
              </w:rPr>
              <w:t xml:space="preserve"> (w tym wyników badań diagnostycznych (laboratoryjnych, obrazowych) z możliwością publikacji tzw. manifestu DICOM dla badań obrazowych)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Planowane w projekcie rozwiązania zdaj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się powielać ww. ideę, tyle że na mniejsza skalę (na poziomie grupy placówek MSWiA). Podobnie jest w przypadku e-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>rejestracji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usługi zdrowotne, która 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 xml:space="preserve">to usługa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została już zbudowana 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 xml:space="preserve">centralnie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systemie P1 i 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>wdrożona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>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wybranych świadczeń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 xml:space="preserve"> (np. szczepienia COVID-19 i HPV)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jest sukcesywnie rozszerzana o kolejne zakresy. 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>Dostęp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 e-rejestracji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systemie P1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 dla pacjentów możliwy  poziomu IKP. </w:t>
            </w:r>
          </w:p>
          <w:p w14:paraId="7C3BC352" w14:textId="450564ED" w:rsidR="00706F44" w:rsidRPr="00A06425" w:rsidRDefault="00706F4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naszej opinii wysiłek należy 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 xml:space="preserve">więc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skoncentrować na wsparciu placówek </w:t>
            </w:r>
            <w:r w:rsidR="00570DA3">
              <w:rPr>
                <w:rFonts w:asciiTheme="minorHAnsi" w:hAnsiTheme="minorHAnsi" w:cstheme="minorHAnsi"/>
                <w:sz w:val="22"/>
                <w:szCs w:val="22"/>
              </w:rPr>
              <w:t>w osiągnieciu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 xml:space="preserve"> przez nie</w:t>
            </w:r>
            <w:r w:rsidR="00570DA3">
              <w:rPr>
                <w:rFonts w:asciiTheme="minorHAnsi" w:hAnsiTheme="minorHAnsi" w:cstheme="minorHAnsi"/>
                <w:sz w:val="22"/>
                <w:szCs w:val="22"/>
              </w:rPr>
              <w:t xml:space="preserve"> zdolności </w:t>
            </w:r>
            <w:r w:rsidR="00C11FE6">
              <w:rPr>
                <w:rFonts w:asciiTheme="minorHAnsi" w:hAnsiTheme="minorHAnsi" w:cstheme="minorHAnsi"/>
                <w:sz w:val="22"/>
                <w:szCs w:val="22"/>
              </w:rPr>
              <w:t xml:space="preserve">do korzystania z e-usług w ramach systemu P1. Warto też podkreślić, że tylko osadzenie e-usług o centralny system jakim jest P1 daje pacjentom i kadrze medycznej pełny dostęp do danych i dokumentacji medycznej. </w:t>
            </w:r>
            <w:r w:rsidR="00183B21">
              <w:rPr>
                <w:rFonts w:asciiTheme="minorHAnsi" w:hAnsiTheme="minorHAnsi" w:cstheme="minorHAnsi"/>
                <w:sz w:val="22"/>
                <w:szCs w:val="22"/>
              </w:rPr>
              <w:t xml:space="preserve">Takie stanowisko zdaje się też prezentować Komisja Europejska, która w ostatnim czasie w krytyczny sposób odniosła się do wyspowych rozwiązań typu regionalne platformy e-zdrowia. </w:t>
            </w:r>
          </w:p>
        </w:tc>
        <w:tc>
          <w:tcPr>
            <w:tcW w:w="5812" w:type="dxa"/>
            <w:shd w:val="clear" w:color="auto" w:fill="auto"/>
          </w:tcPr>
          <w:p w14:paraId="1BC12364" w14:textId="5032BEE1" w:rsidR="00A06425" w:rsidRPr="00A06425" w:rsidRDefault="00706F4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Zmodyfikowanie zakresu projektu tak by zapewnić jego komplementarność z wdrożonymi i wdrażanymi funkcjonalnościami systemu e-zdrowie (P1)</w:t>
            </w:r>
          </w:p>
        </w:tc>
        <w:tc>
          <w:tcPr>
            <w:tcW w:w="1359" w:type="dxa"/>
          </w:tcPr>
          <w:p w14:paraId="5B777DE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7C3E" w:rsidRPr="00A06425" w14:paraId="3BEE4937" w14:textId="77777777" w:rsidTr="00A06425">
        <w:tc>
          <w:tcPr>
            <w:tcW w:w="562" w:type="dxa"/>
            <w:shd w:val="clear" w:color="auto" w:fill="auto"/>
          </w:tcPr>
          <w:p w14:paraId="476B31BC" w14:textId="136F4751" w:rsidR="00F77C3E" w:rsidRPr="00A06425" w:rsidRDefault="00881FA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65FD0E3" w14:textId="0A92B5E9" w:rsidR="00F77C3E" w:rsidRDefault="00F77C3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843" w:type="dxa"/>
            <w:shd w:val="clear" w:color="auto" w:fill="auto"/>
          </w:tcPr>
          <w:p w14:paraId="54DD7B44" w14:textId="0167D039" w:rsidR="00F77C3E" w:rsidRDefault="00F77C3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7C3E">
              <w:rPr>
                <w:rFonts w:asciiTheme="minorHAnsi" w:hAnsiTheme="minorHAnsi" w:cstheme="minorHAnsi"/>
                <w:sz w:val="22"/>
                <w:szCs w:val="22"/>
              </w:rPr>
              <w:t>2.2. Udostępnione e-usługi</w:t>
            </w:r>
          </w:p>
        </w:tc>
        <w:tc>
          <w:tcPr>
            <w:tcW w:w="4678" w:type="dxa"/>
            <w:shd w:val="clear" w:color="auto" w:fill="auto"/>
          </w:tcPr>
          <w:p w14:paraId="684CF68A" w14:textId="77777777" w:rsidR="00F77C3E" w:rsidRDefault="00F77C3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Usługa e-rejestracji powstała w ramach systemu e-Zdrowie P1. Rejestracja na badania diagnostyczne oraz świadczenia ambulatoryjne została poddana pilotażowi.</w:t>
            </w:r>
          </w:p>
          <w:p w14:paraId="4FCEC1A2" w14:textId="3C5270B5" w:rsidR="00F77C3E" w:rsidRDefault="00F77C3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 powinien przewidzieć integracją z usługa centralnej e-rejestracji a nie budować osobną usługę. </w:t>
            </w:r>
          </w:p>
        </w:tc>
        <w:tc>
          <w:tcPr>
            <w:tcW w:w="5812" w:type="dxa"/>
            <w:shd w:val="clear" w:color="auto" w:fill="auto"/>
          </w:tcPr>
          <w:p w14:paraId="49E74D33" w14:textId="1CEA51E5" w:rsidR="00F77C3E" w:rsidRDefault="00F77C3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Dokonać zmian w OZPI polegających na wskazaniu integracji z centralną usługą w P1</w:t>
            </w:r>
          </w:p>
        </w:tc>
        <w:tc>
          <w:tcPr>
            <w:tcW w:w="1359" w:type="dxa"/>
          </w:tcPr>
          <w:p w14:paraId="49898634" w14:textId="77777777" w:rsidR="00F77C3E" w:rsidRPr="00A06425" w:rsidRDefault="00F77C3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7C3E" w:rsidRPr="00A06425" w14:paraId="05853255" w14:textId="77777777" w:rsidTr="00A06425">
        <w:tc>
          <w:tcPr>
            <w:tcW w:w="562" w:type="dxa"/>
            <w:shd w:val="clear" w:color="auto" w:fill="auto"/>
          </w:tcPr>
          <w:p w14:paraId="40D1ECFA" w14:textId="2F0FAC51" w:rsidR="00F77C3E" w:rsidRPr="00A06425" w:rsidRDefault="00881FA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07D08C3" w14:textId="1D0F527A" w:rsidR="00F77C3E" w:rsidRDefault="00F77C3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843" w:type="dxa"/>
            <w:shd w:val="clear" w:color="auto" w:fill="auto"/>
          </w:tcPr>
          <w:p w14:paraId="67C607CA" w14:textId="316B3E45" w:rsidR="00F77C3E" w:rsidRPr="00F77C3E" w:rsidRDefault="00F77C3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7C3E">
              <w:rPr>
                <w:rFonts w:asciiTheme="minorHAnsi" w:hAnsiTheme="minorHAnsi" w:cstheme="minorHAnsi"/>
                <w:sz w:val="22"/>
                <w:szCs w:val="22"/>
              </w:rPr>
              <w:t>2.2. Udostępnione e-usługi</w:t>
            </w:r>
          </w:p>
        </w:tc>
        <w:tc>
          <w:tcPr>
            <w:tcW w:w="4678" w:type="dxa"/>
            <w:shd w:val="clear" w:color="auto" w:fill="auto"/>
          </w:tcPr>
          <w:p w14:paraId="2D734EA0" w14:textId="77777777" w:rsidR="00F77C3E" w:rsidRPr="00F77C3E" w:rsidRDefault="00F77C3E" w:rsidP="00F77C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7C3E">
              <w:rPr>
                <w:rFonts w:asciiTheme="minorHAnsi" w:hAnsiTheme="minorHAnsi" w:cstheme="minorHAnsi"/>
                <w:sz w:val="22"/>
                <w:szCs w:val="22"/>
              </w:rPr>
              <w:t>E-diagnostyka</w:t>
            </w:r>
          </w:p>
          <w:p w14:paraId="3B9C2B03" w14:textId="77777777" w:rsidR="00F77C3E" w:rsidRPr="00F77C3E" w:rsidRDefault="00F77C3E" w:rsidP="00F77C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7C3E">
              <w:rPr>
                <w:rFonts w:asciiTheme="minorHAnsi" w:hAnsiTheme="minorHAnsi" w:cstheme="minorHAnsi"/>
                <w:sz w:val="22"/>
                <w:szCs w:val="22"/>
              </w:rPr>
              <w:t>Możliwość cyfrowego dostępu do</w:t>
            </w:r>
          </w:p>
          <w:p w14:paraId="712AF897" w14:textId="77777777" w:rsidR="00F77C3E" w:rsidRPr="00F77C3E" w:rsidRDefault="00F77C3E" w:rsidP="00F77C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7C3E">
              <w:rPr>
                <w:rFonts w:asciiTheme="minorHAnsi" w:hAnsiTheme="minorHAnsi" w:cstheme="minorHAnsi"/>
                <w:sz w:val="22"/>
                <w:szCs w:val="22"/>
              </w:rPr>
              <w:t>danych diagnostycznych dla pacjentów i</w:t>
            </w:r>
          </w:p>
          <w:p w14:paraId="3325C040" w14:textId="34C30DA7" w:rsidR="00F77C3E" w:rsidRDefault="00F77C3E" w:rsidP="00F77C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7C3E">
              <w:rPr>
                <w:rFonts w:asciiTheme="minorHAnsi" w:hAnsiTheme="minorHAnsi" w:cstheme="minorHAnsi"/>
                <w:sz w:val="22"/>
                <w:szCs w:val="22"/>
              </w:rPr>
              <w:t>personelu medycznego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(usługa A2C – czyli pacjenta): usługa powstała już w ramach P1, w ramach EDM znajduje się między innymi wynika badania laboratoryjnego oraz z diagnostyki obrazowej.</w:t>
            </w:r>
          </w:p>
        </w:tc>
        <w:tc>
          <w:tcPr>
            <w:tcW w:w="5812" w:type="dxa"/>
            <w:shd w:val="clear" w:color="auto" w:fill="auto"/>
          </w:tcPr>
          <w:p w14:paraId="4A4D385B" w14:textId="15D60797" w:rsidR="00F77C3E" w:rsidRDefault="00F77C3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Dokonać zmian w OZPI polegających na wskazaniu integracji z centralną usługą w P1</w:t>
            </w:r>
          </w:p>
        </w:tc>
        <w:tc>
          <w:tcPr>
            <w:tcW w:w="1359" w:type="dxa"/>
          </w:tcPr>
          <w:p w14:paraId="0F77E47C" w14:textId="77777777" w:rsidR="00F77C3E" w:rsidRPr="00A06425" w:rsidRDefault="00F77C3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242B5B6" w14:textId="77777777" w:rsidTr="00A06425">
        <w:tc>
          <w:tcPr>
            <w:tcW w:w="562" w:type="dxa"/>
            <w:shd w:val="clear" w:color="auto" w:fill="auto"/>
          </w:tcPr>
          <w:p w14:paraId="33E3C0F1" w14:textId="0236B50D" w:rsidR="00A06425" w:rsidRPr="00A06425" w:rsidRDefault="00881FA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36DAC13" w14:textId="525E0558" w:rsidR="00A06425" w:rsidRPr="00A06425" w:rsidRDefault="00FB28E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843" w:type="dxa"/>
            <w:shd w:val="clear" w:color="auto" w:fill="auto"/>
          </w:tcPr>
          <w:p w14:paraId="616F3C87" w14:textId="27037D92" w:rsidR="00A06425" w:rsidRPr="00A06425" w:rsidRDefault="00183B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4678" w:type="dxa"/>
            <w:shd w:val="clear" w:color="auto" w:fill="auto"/>
          </w:tcPr>
          <w:p w14:paraId="0371E8E7" w14:textId="2721E346" w:rsidR="00A06425" w:rsidRPr="00A06425" w:rsidRDefault="00183B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wskazania kluczowego aktu prawnego regulującego aspekty e-zdrowia tj. ustawy o systemie informacji w ochronie zdrowia</w:t>
            </w:r>
            <w:r w:rsidR="009D72E0">
              <w:rPr>
                <w:rFonts w:asciiTheme="minorHAnsi" w:hAnsiTheme="minorHAnsi" w:cstheme="minorHAnsi"/>
                <w:sz w:val="22"/>
                <w:szCs w:val="22"/>
              </w:rPr>
              <w:t xml:space="preserve"> oraz aktów wykonawczych</w:t>
            </w:r>
          </w:p>
        </w:tc>
        <w:tc>
          <w:tcPr>
            <w:tcW w:w="5812" w:type="dxa"/>
            <w:shd w:val="clear" w:color="auto" w:fill="auto"/>
          </w:tcPr>
          <w:p w14:paraId="4400A1F0" w14:textId="34FE7EAB" w:rsidR="00A06425" w:rsidRPr="00A06425" w:rsidRDefault="00183B2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Uzupełnienie dokumentu</w:t>
            </w:r>
          </w:p>
        </w:tc>
        <w:tc>
          <w:tcPr>
            <w:tcW w:w="1359" w:type="dxa"/>
          </w:tcPr>
          <w:p w14:paraId="67513A9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5754130" w14:textId="77777777" w:rsidTr="00A06425">
        <w:tc>
          <w:tcPr>
            <w:tcW w:w="562" w:type="dxa"/>
            <w:shd w:val="clear" w:color="auto" w:fill="auto"/>
          </w:tcPr>
          <w:p w14:paraId="4441D9B0" w14:textId="47F05D95" w:rsidR="00A06425" w:rsidRPr="00A06425" w:rsidRDefault="00881FA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D491539" w14:textId="02A9EE14" w:rsidR="00A06425" w:rsidRPr="00A06425" w:rsidRDefault="0067401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843" w:type="dxa"/>
            <w:shd w:val="clear" w:color="auto" w:fill="auto"/>
          </w:tcPr>
          <w:p w14:paraId="67BFEED7" w14:textId="6FBA23EA" w:rsidR="00A06425" w:rsidRPr="00A06425" w:rsidRDefault="0067401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 Cele i korzyści</w:t>
            </w:r>
          </w:p>
        </w:tc>
        <w:tc>
          <w:tcPr>
            <w:tcW w:w="4678" w:type="dxa"/>
            <w:shd w:val="clear" w:color="auto" w:fill="auto"/>
          </w:tcPr>
          <w:p w14:paraId="4BAD446F" w14:textId="77777777" w:rsidR="00A06425" w:rsidRDefault="00674012" w:rsidP="006740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odniesienia do dokumentów strategicznych z obszaru ochrony zdrowia:</w:t>
            </w:r>
          </w:p>
          <w:p w14:paraId="53FA8EE8" w14:textId="77777777" w:rsidR="00674012" w:rsidRDefault="00674012" w:rsidP="00674012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74012">
              <w:rPr>
                <w:rFonts w:asciiTheme="minorHAnsi" w:hAnsiTheme="minorHAnsi" w:cstheme="minorHAnsi"/>
                <w:sz w:val="22"/>
                <w:szCs w:val="22"/>
              </w:rPr>
              <w:t>Zdrowa Przyszłość. Ramy strategiczne rozwoju systemu ochrony zdrowia na lata 2021-2027, z perspektywą do 2030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93AA4B7" w14:textId="52C33320" w:rsidR="00674012" w:rsidRPr="00674012" w:rsidRDefault="00674012" w:rsidP="00674012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740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Program Rozwoju e-Zdrowia na lata 2022-2027</w:t>
            </w:r>
          </w:p>
        </w:tc>
        <w:tc>
          <w:tcPr>
            <w:tcW w:w="5812" w:type="dxa"/>
            <w:shd w:val="clear" w:color="auto" w:fill="auto"/>
          </w:tcPr>
          <w:p w14:paraId="69CDEEEC" w14:textId="05ADD6B5" w:rsidR="00A06425" w:rsidRPr="00A06425" w:rsidRDefault="0067401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Uzupełnienie dokumentu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odniesienie celi do przedmiotowych dokumentach</w:t>
            </w:r>
          </w:p>
        </w:tc>
        <w:tc>
          <w:tcPr>
            <w:tcW w:w="1359" w:type="dxa"/>
          </w:tcPr>
          <w:p w14:paraId="1C53C9E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7654599" w14:textId="77777777" w:rsidTr="00A06425">
        <w:tc>
          <w:tcPr>
            <w:tcW w:w="562" w:type="dxa"/>
            <w:shd w:val="clear" w:color="auto" w:fill="auto"/>
          </w:tcPr>
          <w:p w14:paraId="0E52B6F7" w14:textId="009EF990" w:rsidR="00A06425" w:rsidRPr="00A06425" w:rsidRDefault="00881FAD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1641E41F" w14:textId="22AE0396" w:rsidR="00A06425" w:rsidRPr="00A06425" w:rsidRDefault="009D72E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MZ</w:t>
            </w:r>
          </w:p>
        </w:tc>
        <w:tc>
          <w:tcPr>
            <w:tcW w:w="1843" w:type="dxa"/>
            <w:shd w:val="clear" w:color="auto" w:fill="auto"/>
          </w:tcPr>
          <w:p w14:paraId="78D92A30" w14:textId="6FAE74BF" w:rsidR="00A06425" w:rsidRPr="00A06425" w:rsidRDefault="009D72E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72E0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4678" w:type="dxa"/>
            <w:shd w:val="clear" w:color="auto" w:fill="auto"/>
          </w:tcPr>
          <w:p w14:paraId="75E9F597" w14:textId="77777777" w:rsidR="00A06425" w:rsidRDefault="009D72E0" w:rsidP="009D72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Obecnie brak jest podstaw prawnych, a co za tym idzie nie istnieją interfejsy integracyjne dla systemów: SMK, SEZOZ, P1 Wykaz usługobiorców, wykaz usługobiorców, wykaz pracowników medycznych. W zakresie systemu ZSMOPL możliwy jest jedynie przypływ od systemu usługodawcy (np. szpitalnego systemu aptecznego) do ZSMOPL i dotyczy danych o obrocie produktami leczniczymi. Gabinet.gov.pl jest kanałem dostępowym do systemu P1 (równolegle do interfejsów sieciowych), jednocześnie nie jest zrozumiałe o jakie „zamawianie usług” chodzi w przy przepływie od Platformy e-usług MSWIA do gabinet.gov.pl. </w:t>
            </w:r>
          </w:p>
          <w:p w14:paraId="3E3464BB" w14:textId="2A4AAC96" w:rsidR="00FF1710" w:rsidRPr="00A06425" w:rsidRDefault="00FF1710" w:rsidP="009D72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Także pacjent.gov.pl (dalej IKP) jest kanałem dostępowym dedykowanym dla pacjenta i nie przewiduje integracji z systemami usługodawców</w:t>
            </w:r>
          </w:p>
        </w:tc>
        <w:tc>
          <w:tcPr>
            <w:tcW w:w="5812" w:type="dxa"/>
            <w:shd w:val="clear" w:color="auto" w:fill="auto"/>
          </w:tcPr>
          <w:p w14:paraId="7B0925FC" w14:textId="31AEA150" w:rsidR="00A06425" w:rsidRPr="00A06425" w:rsidRDefault="00881FA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Modyfikacja OPZI w zakresie możliwych integracji lub wskazanie na konieczność powstania podstaw prawnych dla utworzenia integracji wraz ze wskazaniem zakresu wymienianych danych</w:t>
            </w:r>
          </w:p>
        </w:tc>
        <w:tc>
          <w:tcPr>
            <w:tcW w:w="1359" w:type="dxa"/>
          </w:tcPr>
          <w:p w14:paraId="29031C6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1D142CA" w14:textId="77777777" w:rsidTr="00A06425">
        <w:tc>
          <w:tcPr>
            <w:tcW w:w="562" w:type="dxa"/>
            <w:shd w:val="clear" w:color="auto" w:fill="auto"/>
          </w:tcPr>
          <w:p w14:paraId="032C08E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B5E4562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A9894A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A8C73A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93EDB5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B7064A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3FC121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4074E"/>
    <w:multiLevelType w:val="hybridMultilevel"/>
    <w:tmpl w:val="B82CD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852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F3291"/>
    <w:rsid w:val="00140BE8"/>
    <w:rsid w:val="00183B21"/>
    <w:rsid w:val="0019648E"/>
    <w:rsid w:val="002715B2"/>
    <w:rsid w:val="003124D1"/>
    <w:rsid w:val="003B4105"/>
    <w:rsid w:val="004D086F"/>
    <w:rsid w:val="00570DA3"/>
    <w:rsid w:val="005F6527"/>
    <w:rsid w:val="006705EC"/>
    <w:rsid w:val="00674012"/>
    <w:rsid w:val="006E16E9"/>
    <w:rsid w:val="00706F44"/>
    <w:rsid w:val="00807385"/>
    <w:rsid w:val="00881FAD"/>
    <w:rsid w:val="00944932"/>
    <w:rsid w:val="009A5DA7"/>
    <w:rsid w:val="009D72E0"/>
    <w:rsid w:val="009E5FDB"/>
    <w:rsid w:val="00A06425"/>
    <w:rsid w:val="00AC7796"/>
    <w:rsid w:val="00B871B6"/>
    <w:rsid w:val="00C11FE6"/>
    <w:rsid w:val="00C64B1B"/>
    <w:rsid w:val="00CD5EB0"/>
    <w:rsid w:val="00E14C33"/>
    <w:rsid w:val="00E4573E"/>
    <w:rsid w:val="00F77C3E"/>
    <w:rsid w:val="00FB28E9"/>
    <w:rsid w:val="00FF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C92403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74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636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Masiarz Paweł</cp:lastModifiedBy>
  <cp:revision>8</cp:revision>
  <dcterms:created xsi:type="dcterms:W3CDTF">2023-11-24T10:17:00Z</dcterms:created>
  <dcterms:modified xsi:type="dcterms:W3CDTF">2023-11-26T08:35:00Z</dcterms:modified>
</cp:coreProperties>
</file>