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BF51CE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r w:rsidRPr="003773F3">
        <w:rPr>
          <w:rFonts w:ascii="Arial" w:hAnsi="Arial" w:cs="Arial"/>
        </w:rPr>
        <w:t>19 listopada 2020</w:t>
      </w:r>
      <w:bookmarkEnd w:id="0"/>
    </w:p>
    <w:p w:rsidR="00420AC6" w:rsidRPr="003773F3" w:rsidRDefault="00BF51CE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Znak sprawy:</w:t>
      </w:r>
      <w:r>
        <w:rPr>
          <w:rFonts w:ascii="Arial" w:hAnsi="Arial" w:cs="Arial"/>
        </w:rPr>
        <w:t xml:space="preserve"> </w:t>
      </w:r>
      <w:bookmarkStart w:id="1" w:name="ezdSprawaZnak"/>
      <w:r w:rsidRPr="003773F3">
        <w:rPr>
          <w:rFonts w:ascii="Arial" w:hAnsi="Arial" w:cs="Arial"/>
        </w:rPr>
        <w:t>DAB-I.</w:t>
      </w:r>
      <w:r>
        <w:rPr>
          <w:rFonts w:ascii="Arial" w:hAnsi="Arial" w:cs="Arial"/>
        </w:rPr>
        <w:t>053</w:t>
      </w:r>
      <w:r w:rsidRPr="003773F3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3773F3">
        <w:rPr>
          <w:rFonts w:ascii="Arial" w:hAnsi="Arial" w:cs="Arial"/>
        </w:rPr>
        <w:t>.2020</w:t>
      </w:r>
      <w:bookmarkEnd w:id="1"/>
      <w:r>
        <w:rPr>
          <w:rFonts w:ascii="Arial" w:hAnsi="Arial" w:cs="Arial"/>
        </w:rPr>
        <w:t>.KG.1</w:t>
      </w:r>
    </w:p>
    <w:p w:rsidR="00AC6F29" w:rsidRPr="003773F3" w:rsidRDefault="00BF51C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BF51C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BF51C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BF51C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492B" w:rsidRPr="003773F3" w:rsidRDefault="00BF51CE" w:rsidP="009F589C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10716F" w:rsidRPr="004561FF" w:rsidRDefault="00BF51CE" w:rsidP="0010716F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Pan</w:t>
      </w:r>
    </w:p>
    <w:p w:rsidR="0086077C" w:rsidRDefault="0086077C" w:rsidP="0010716F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  <w:b/>
        </w:rPr>
      </w:pPr>
    </w:p>
    <w:p w:rsidR="0010716F" w:rsidRPr="003773F3" w:rsidRDefault="00BF51CE" w:rsidP="0010716F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  <w:b/>
        </w:rPr>
        <w:t>Zawiadomienie o sposobie załatwienia petycji</w:t>
      </w:r>
    </w:p>
    <w:p w:rsidR="00CA348A" w:rsidRDefault="00BF51CE" w:rsidP="00A5315A">
      <w:pPr>
        <w:spacing w:before="120" w:after="240" w:line="360" w:lineRule="auto"/>
        <w:jc w:val="both"/>
        <w:rPr>
          <w:rFonts w:ascii="Arial" w:hAnsi="Arial" w:cs="Arial"/>
        </w:rPr>
      </w:pPr>
      <w:r w:rsidRPr="003D1A07">
        <w:rPr>
          <w:rFonts w:ascii="Arial" w:hAnsi="Arial" w:cs="Arial"/>
        </w:rPr>
        <w:t>Minister Rozwoju, Pracy i Technologii działając na podstawie art. 13 ust. 1 ustawy z dnia 11 lipca 2014 r. o petycjach</w:t>
      </w:r>
      <w:r>
        <w:rPr>
          <w:rFonts w:ascii="Arial" w:hAnsi="Arial" w:cs="Arial"/>
        </w:rPr>
        <w:t xml:space="preserve"> (Dz. U. z 2018 r. poz. 870)</w:t>
      </w:r>
      <w:r w:rsidRPr="003D1A07">
        <w:rPr>
          <w:rFonts w:ascii="Arial" w:hAnsi="Arial" w:cs="Arial"/>
        </w:rPr>
        <w:t>, w związku z Pana petycj</w:t>
      </w:r>
      <w:r>
        <w:rPr>
          <w:rFonts w:ascii="Arial" w:hAnsi="Arial" w:cs="Arial"/>
        </w:rPr>
        <w:t>ą z dnia 10 września 2020 r., przekazaną przez Biuro Rzecznika</w:t>
      </w:r>
      <w:r>
        <w:rPr>
          <w:rFonts w:ascii="Arial" w:hAnsi="Arial" w:cs="Arial"/>
        </w:rPr>
        <w:t xml:space="preserve"> Praw Obywatelskich pismem z 22 </w:t>
      </w:r>
      <w:r>
        <w:rPr>
          <w:rFonts w:ascii="Arial" w:hAnsi="Arial" w:cs="Arial"/>
        </w:rPr>
        <w:t>września 2020 r., znak:</w:t>
      </w:r>
      <w:r w:rsidRPr="00CA348A">
        <w:t xml:space="preserve"> </w:t>
      </w:r>
      <w:r w:rsidRPr="00CA348A">
        <w:rPr>
          <w:rFonts w:ascii="Arial" w:hAnsi="Arial" w:cs="Arial"/>
        </w:rPr>
        <w:t>V.053.53.2020.ŁK</w:t>
      </w:r>
      <w:r>
        <w:rPr>
          <w:rFonts w:ascii="Arial" w:hAnsi="Arial" w:cs="Arial"/>
        </w:rPr>
        <w:t xml:space="preserve">, dotyczącą </w:t>
      </w:r>
      <w:r w:rsidRPr="00CA348A">
        <w:rPr>
          <w:rFonts w:ascii="Arial" w:hAnsi="Arial" w:cs="Arial"/>
          <w:i/>
        </w:rPr>
        <w:t>„braku możliwośc</w:t>
      </w:r>
      <w:r>
        <w:rPr>
          <w:rFonts w:ascii="Arial" w:hAnsi="Arial" w:cs="Arial"/>
          <w:i/>
        </w:rPr>
        <w:t>i korzystania z </w:t>
      </w:r>
      <w:r w:rsidRPr="00CA348A">
        <w:rPr>
          <w:rFonts w:ascii="Arial" w:hAnsi="Arial" w:cs="Arial"/>
          <w:i/>
        </w:rPr>
        <w:t xml:space="preserve">toalet przez kupujących </w:t>
      </w:r>
      <w:r>
        <w:rPr>
          <w:rFonts w:ascii="Arial" w:hAnsi="Arial" w:cs="Arial"/>
          <w:i/>
        </w:rPr>
        <w:t xml:space="preserve">w </w:t>
      </w:r>
      <w:r w:rsidRPr="00CA348A">
        <w:rPr>
          <w:rFonts w:ascii="Arial" w:hAnsi="Arial" w:cs="Arial"/>
          <w:i/>
        </w:rPr>
        <w:t>placówkach handlowych”</w:t>
      </w:r>
      <w:r>
        <w:rPr>
          <w:rFonts w:ascii="Arial" w:hAnsi="Arial" w:cs="Arial"/>
        </w:rPr>
        <w:t xml:space="preserve"> oraz wprowadzenia odpowiednich regulacji prawnych w tym zakresie, p</w:t>
      </w:r>
      <w:r>
        <w:rPr>
          <w:rFonts w:ascii="Arial" w:hAnsi="Arial" w:cs="Arial"/>
        </w:rPr>
        <w:t>rzedstawia poniższe wyjaśnienia.</w:t>
      </w:r>
    </w:p>
    <w:p w:rsidR="00D83811" w:rsidRDefault="00BF51CE" w:rsidP="00A5315A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wstępie należy wskazać, iż przepisy </w:t>
      </w:r>
      <w:r w:rsidRPr="003D1A07">
        <w:rPr>
          <w:rFonts w:ascii="Arial" w:hAnsi="Arial" w:cs="Arial"/>
        </w:rPr>
        <w:t>rozporządzenia Mi</w:t>
      </w:r>
      <w:r>
        <w:rPr>
          <w:rFonts w:ascii="Arial" w:hAnsi="Arial" w:cs="Arial"/>
        </w:rPr>
        <w:t>nistra Infrastruktury z dnia 12 </w:t>
      </w:r>
      <w:r w:rsidRPr="003D1A07">
        <w:rPr>
          <w:rFonts w:ascii="Arial" w:hAnsi="Arial" w:cs="Arial"/>
        </w:rPr>
        <w:t>kwietnia 2002 r. w sprawie warunków technic</w:t>
      </w:r>
      <w:r w:rsidRPr="003D1A07">
        <w:rPr>
          <w:rFonts w:ascii="Arial" w:hAnsi="Arial" w:cs="Arial"/>
        </w:rPr>
        <w:t xml:space="preserve">znych, jakim powinny odpowiadać budynki i ich usytuowanie (Dz. U. 2019 r. poz. 1065, z </w:t>
      </w:r>
      <w:r>
        <w:rPr>
          <w:rFonts w:ascii="Arial" w:hAnsi="Arial" w:cs="Arial"/>
        </w:rPr>
        <w:t>późn. zm.), zwanego dalej „rozporządzeniem Wt”,</w:t>
      </w:r>
      <w:r>
        <w:rPr>
          <w:rFonts w:ascii="Arial" w:hAnsi="Arial" w:cs="Arial"/>
        </w:rPr>
        <w:t xml:space="preserve"> ustalają warunki techniczne, jak</w:t>
      </w:r>
      <w:r>
        <w:rPr>
          <w:rFonts w:ascii="Arial" w:hAnsi="Arial" w:cs="Arial"/>
        </w:rPr>
        <w:t>im powinny odpowiadać budynki i </w:t>
      </w:r>
      <w:r>
        <w:rPr>
          <w:rFonts w:ascii="Arial" w:hAnsi="Arial" w:cs="Arial"/>
        </w:rPr>
        <w:t>związane z nimi urządzenia, ich usytuowanie na działce bu</w:t>
      </w:r>
      <w:r>
        <w:rPr>
          <w:rFonts w:ascii="Arial" w:hAnsi="Arial" w:cs="Arial"/>
        </w:rPr>
        <w:t xml:space="preserve">dowlanej oraz zagospodarowanie działek przeznaczonych pod zabudowę, zapewniające spełnienie wymagań art. 5 i 6 ustawy z dnia 7 lipca 1994 r. – Prawo budowlane (Dz. U. 2020 r. poz. 1333, z późn. zm.), zwanej dalej </w:t>
      </w:r>
      <w:r>
        <w:rPr>
          <w:rFonts w:ascii="Arial" w:hAnsi="Arial" w:cs="Arial"/>
        </w:rPr>
        <w:t>„</w:t>
      </w:r>
      <w:r>
        <w:rPr>
          <w:rFonts w:ascii="Arial" w:hAnsi="Arial" w:cs="Arial"/>
        </w:rPr>
        <w:t>ustawą Pb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(§ 1 rozporządzenia Wt). </w:t>
      </w:r>
    </w:p>
    <w:p w:rsidR="00AA14CD" w:rsidRDefault="00BF51CE" w:rsidP="00A5315A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</w:t>
      </w:r>
      <w:r>
        <w:rPr>
          <w:rFonts w:ascii="Arial" w:hAnsi="Arial" w:cs="Arial"/>
        </w:rPr>
        <w:t xml:space="preserve">ie z § 84 ust. 1 i 1a </w:t>
      </w:r>
      <w:r w:rsidRPr="003D1A07">
        <w:rPr>
          <w:rFonts w:ascii="Arial" w:hAnsi="Arial" w:cs="Arial"/>
        </w:rPr>
        <w:t xml:space="preserve">rozporządzenia </w:t>
      </w:r>
      <w:r>
        <w:rPr>
          <w:rFonts w:ascii="Arial" w:hAnsi="Arial" w:cs="Arial"/>
        </w:rPr>
        <w:t>Wt w</w:t>
      </w:r>
      <w:r w:rsidRPr="00AA14CD">
        <w:rPr>
          <w:rFonts w:ascii="Arial" w:hAnsi="Arial" w:cs="Arial"/>
        </w:rPr>
        <w:t xml:space="preserve"> budynku użyteczności publicznej i zakładu pracy należy urządzić ustępy ogólnodostępne. Jeżeli liczba osób w pomieszczeniach przeznaczonych na pobyt ludzi na danej kondygnacji jest mniejsza od 10, dopuszcza się umie</w:t>
      </w:r>
      <w:r w:rsidRPr="00AA14CD">
        <w:rPr>
          <w:rFonts w:ascii="Arial" w:hAnsi="Arial" w:cs="Arial"/>
        </w:rPr>
        <w:t>szczenie ustępu na najbliższej, wyższej lub niższej kondygnacji.</w:t>
      </w:r>
      <w:r>
        <w:rPr>
          <w:rFonts w:ascii="Arial" w:hAnsi="Arial" w:cs="Arial"/>
        </w:rPr>
        <w:t xml:space="preserve"> </w:t>
      </w:r>
      <w:r w:rsidRPr="00AA14CD">
        <w:rPr>
          <w:rFonts w:ascii="Arial" w:hAnsi="Arial" w:cs="Arial"/>
        </w:rPr>
        <w:t xml:space="preserve">Ustępów ogólnodostępnych, o których mowa </w:t>
      </w:r>
      <w:r>
        <w:rPr>
          <w:rFonts w:ascii="Arial" w:hAnsi="Arial" w:cs="Arial"/>
        </w:rPr>
        <w:t>powyżej</w:t>
      </w:r>
      <w:r w:rsidRPr="00AA14CD">
        <w:rPr>
          <w:rFonts w:ascii="Arial" w:hAnsi="Arial" w:cs="Arial"/>
        </w:rPr>
        <w:t>, nie urządza się w budynku obsługi bankowej, handlu lub usług o powierzchni użytkowej do 100 m</w:t>
      </w:r>
      <w:r w:rsidRPr="00AA14CD">
        <w:rPr>
          <w:rFonts w:ascii="Arial" w:hAnsi="Arial" w:cs="Arial"/>
          <w:vertAlign w:val="superscript"/>
        </w:rPr>
        <w:t>2</w:t>
      </w:r>
      <w:r w:rsidRPr="00AA14CD">
        <w:rPr>
          <w:rFonts w:ascii="Arial" w:hAnsi="Arial" w:cs="Arial"/>
        </w:rPr>
        <w:t xml:space="preserve"> włącznie.</w:t>
      </w:r>
    </w:p>
    <w:p w:rsidR="00114C13" w:rsidRPr="00114C13" w:rsidRDefault="00BF51CE" w:rsidP="00A5315A">
      <w:pPr>
        <w:spacing w:before="120" w:after="240" w:line="360" w:lineRule="auto"/>
        <w:jc w:val="both"/>
        <w:rPr>
          <w:rFonts w:ascii="Arial" w:hAnsi="Arial" w:cs="Arial"/>
        </w:rPr>
      </w:pPr>
      <w:r w:rsidRPr="00114C13">
        <w:rPr>
          <w:rFonts w:ascii="Arial" w:hAnsi="Arial" w:cs="Arial"/>
        </w:rPr>
        <w:lastRenderedPageBreak/>
        <w:t xml:space="preserve">Ustępy ogólnodostępne w budynkach </w:t>
      </w:r>
      <w:r w:rsidRPr="00114C13">
        <w:rPr>
          <w:rFonts w:ascii="Arial" w:hAnsi="Arial" w:cs="Arial"/>
        </w:rPr>
        <w:t>zamieszkania zbioro</w:t>
      </w:r>
      <w:r>
        <w:rPr>
          <w:rFonts w:ascii="Arial" w:hAnsi="Arial" w:cs="Arial"/>
        </w:rPr>
        <w:t>wego, użyteczności publicznej i </w:t>
      </w:r>
      <w:r w:rsidRPr="00114C13">
        <w:rPr>
          <w:rFonts w:ascii="Arial" w:hAnsi="Arial" w:cs="Arial"/>
        </w:rPr>
        <w:t>zakładów pracy powinny mieć wejścia z dróg komunikacji ogólnej</w:t>
      </w:r>
      <w:r>
        <w:rPr>
          <w:rFonts w:ascii="Arial" w:hAnsi="Arial" w:cs="Arial"/>
        </w:rPr>
        <w:t xml:space="preserve"> (§ 85 ust. 1 rozporządzenia Wt)</w:t>
      </w:r>
      <w:r w:rsidRPr="00114C13">
        <w:rPr>
          <w:rFonts w:ascii="Arial" w:hAnsi="Arial" w:cs="Arial"/>
        </w:rPr>
        <w:t>.</w:t>
      </w:r>
    </w:p>
    <w:p w:rsidR="00AA14CD" w:rsidRDefault="00BF51CE" w:rsidP="00A5315A">
      <w:pPr>
        <w:spacing w:before="12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Podkreślić należy, iż pod pojęciem budynku użyteczności publicznej należy rozumieć </w:t>
      </w:r>
      <w:r w:rsidRPr="00AA14CD">
        <w:rPr>
          <w:rFonts w:ascii="Arial" w:hAnsi="Arial" w:cs="Arial"/>
        </w:rPr>
        <w:t xml:space="preserve">budynek przeznaczony na </w:t>
      </w:r>
      <w:r w:rsidRPr="00AA14CD">
        <w:rPr>
          <w:rFonts w:ascii="Arial" w:hAnsi="Arial" w:cs="Arial"/>
        </w:rPr>
        <w:t xml:space="preserve">potrzeby administracji publicznej, wymiaru sprawiedliwości, kultury, kultu religijnego, oświaty, szkolnictwa wyższego, nauki, wychowania, opieki zdrowotnej, społecznej lub socjalnej, obsługi bankowej, handlu, gastronomii, usług, w tym usług pocztowych lub </w:t>
      </w:r>
      <w:r w:rsidRPr="00AA14CD">
        <w:rPr>
          <w:rFonts w:ascii="Arial" w:hAnsi="Arial" w:cs="Arial"/>
        </w:rPr>
        <w:t>telekomunikacyjnych, turystyki, sportu, obsługi pasażerów w transporcie kolejowym, drogowym, lotniczym, morskim lub wodnym śródlądowym, oraz inny budynek przeznaczony do wykonywania podobnych funkcji; za budynek użyteczności publicznej uznaje się także bud</w:t>
      </w:r>
      <w:r w:rsidRPr="00AA14CD">
        <w:rPr>
          <w:rFonts w:ascii="Arial" w:hAnsi="Arial" w:cs="Arial"/>
        </w:rPr>
        <w:t>ynek biurowy lub socjalny</w:t>
      </w:r>
      <w:r>
        <w:rPr>
          <w:rFonts w:ascii="Arial" w:hAnsi="Arial" w:cs="Arial"/>
        </w:rPr>
        <w:t xml:space="preserve"> (§ 3 pkt 6 rozporządzenia Wt). </w:t>
      </w:r>
    </w:p>
    <w:p w:rsidR="002A1FE7" w:rsidRPr="002A1FE7" w:rsidRDefault="00BF51CE" w:rsidP="00A531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zgodnie z § 87 ust. </w:t>
      </w:r>
      <w:r w:rsidRPr="002A1FE7">
        <w:rPr>
          <w:rFonts w:ascii="Arial" w:hAnsi="Arial" w:cs="Arial"/>
        </w:rPr>
        <w:t>1</w:t>
      </w:r>
      <w:r>
        <w:rPr>
          <w:rFonts w:ascii="Arial" w:hAnsi="Arial" w:cs="Arial"/>
        </w:rPr>
        <w:t>-3 rozporządzenia Wt u</w:t>
      </w:r>
      <w:r w:rsidRPr="002A1FE7">
        <w:rPr>
          <w:rFonts w:ascii="Arial" w:hAnsi="Arial" w:cs="Arial"/>
        </w:rPr>
        <w:t>stępy publiczne należy sytuować na terenach wyposażonych w sieć wodociągową i kanalizacyjną.</w:t>
      </w:r>
    </w:p>
    <w:p w:rsidR="002A1FE7" w:rsidRDefault="00BF51CE" w:rsidP="00A5315A">
      <w:pPr>
        <w:spacing w:line="360" w:lineRule="auto"/>
        <w:jc w:val="both"/>
        <w:rPr>
          <w:rFonts w:ascii="Arial" w:hAnsi="Arial" w:cs="Arial"/>
        </w:rPr>
      </w:pPr>
      <w:r w:rsidRPr="002A1FE7">
        <w:rPr>
          <w:rFonts w:ascii="Arial" w:hAnsi="Arial" w:cs="Arial"/>
        </w:rPr>
        <w:t>Dopuszcza się sytuowanie</w:t>
      </w:r>
      <w:r>
        <w:rPr>
          <w:rFonts w:ascii="Arial" w:hAnsi="Arial" w:cs="Arial"/>
        </w:rPr>
        <w:t>:</w:t>
      </w:r>
    </w:p>
    <w:p w:rsidR="002A1FE7" w:rsidRPr="002A1FE7" w:rsidRDefault="00BF51CE" w:rsidP="00A531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A1FE7">
        <w:rPr>
          <w:rFonts w:ascii="Arial" w:hAnsi="Arial" w:cs="Arial"/>
        </w:rPr>
        <w:t xml:space="preserve"> ustępów publicznych na ter</w:t>
      </w:r>
      <w:r w:rsidRPr="002A1FE7">
        <w:rPr>
          <w:rFonts w:ascii="Arial" w:hAnsi="Arial" w:cs="Arial"/>
        </w:rPr>
        <w:t>enach nieskanalizowanych, jako budynki wolno stojące ze szcz</w:t>
      </w:r>
      <w:r>
        <w:rPr>
          <w:rFonts w:ascii="Arial" w:hAnsi="Arial" w:cs="Arial"/>
        </w:rPr>
        <w:t>elnymi zbiornikami nieczystości,</w:t>
      </w:r>
    </w:p>
    <w:p w:rsidR="002A1FE7" w:rsidRPr="002A1FE7" w:rsidRDefault="00BF51CE" w:rsidP="00A531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A1FE7">
        <w:rPr>
          <w:rFonts w:ascii="Arial" w:hAnsi="Arial" w:cs="Arial"/>
        </w:rPr>
        <w:t>tymczasowych, nieskanalizowanych ustępów publicznych na terenach skanalizowanych, za zgodą właściwego terenowo państwowego inspektora sanitarnego</w:t>
      </w:r>
      <w:r>
        <w:rPr>
          <w:rFonts w:ascii="Arial" w:hAnsi="Arial" w:cs="Arial"/>
        </w:rPr>
        <w:t xml:space="preserve"> (§ 87 ust. 2 i </w:t>
      </w:r>
      <w:r>
        <w:rPr>
          <w:rFonts w:ascii="Arial" w:hAnsi="Arial" w:cs="Arial"/>
        </w:rPr>
        <w:t>3 rozporządzenia Wt)</w:t>
      </w:r>
      <w:r w:rsidRPr="002A1FE7">
        <w:rPr>
          <w:rFonts w:ascii="Arial" w:hAnsi="Arial" w:cs="Arial"/>
        </w:rPr>
        <w:t>.</w:t>
      </w:r>
    </w:p>
    <w:p w:rsidR="00D83811" w:rsidRDefault="00BF51CE" w:rsidP="00A5315A">
      <w:pPr>
        <w:spacing w:before="120" w:after="120" w:line="360" w:lineRule="auto"/>
        <w:jc w:val="both"/>
        <w:rPr>
          <w:rFonts w:ascii="Arial" w:hAnsi="Arial"/>
          <w:spacing w:val="4"/>
        </w:rPr>
      </w:pPr>
      <w:r>
        <w:rPr>
          <w:rFonts w:ascii="Arial" w:hAnsi="Arial"/>
          <w:spacing w:val="4"/>
        </w:rPr>
        <w:t>Jednocześnie podkreślić należy, że zgodnie z art. </w:t>
      </w:r>
      <w:r w:rsidRPr="00902CEB">
        <w:rPr>
          <w:rFonts w:ascii="Arial" w:hAnsi="Arial"/>
          <w:spacing w:val="4"/>
        </w:rPr>
        <w:t xml:space="preserve">20 ust. 1 ustawy </w:t>
      </w:r>
      <w:r>
        <w:rPr>
          <w:rFonts w:ascii="Arial" w:hAnsi="Arial"/>
          <w:spacing w:val="4"/>
        </w:rPr>
        <w:t>Pb</w:t>
      </w:r>
      <w:r w:rsidRPr="00902CEB">
        <w:rPr>
          <w:rFonts w:ascii="Arial" w:hAnsi="Arial"/>
          <w:spacing w:val="4"/>
        </w:rPr>
        <w:t>,</w:t>
      </w:r>
      <w:r>
        <w:rPr>
          <w:rFonts w:ascii="Arial" w:hAnsi="Arial"/>
        </w:rPr>
        <w:t xml:space="preserve"> </w:t>
      </w:r>
      <w:r w:rsidRPr="00902CEB">
        <w:rPr>
          <w:rFonts w:ascii="Arial" w:hAnsi="Arial"/>
          <w:spacing w:val="4"/>
        </w:rPr>
        <w:t>do podstawowych obowiązków projektanta należy opracowanie projektu budowlanego w sposób zgodny z wymaganiami ustawy, ustaleniami określonymi w decyzjach administra</w:t>
      </w:r>
      <w:r w:rsidRPr="00902CEB">
        <w:rPr>
          <w:rFonts w:ascii="Arial" w:hAnsi="Arial"/>
          <w:spacing w:val="4"/>
        </w:rPr>
        <w:t>cyjnych dotyczących zamierzenia budowlanego, obowiązującymi przepisami oraz zasadami wiedzy technicznej. Projektowanie stanowi jedną z działalności polegającej na wykonywaniu sam</w:t>
      </w:r>
      <w:r>
        <w:rPr>
          <w:rFonts w:ascii="Arial" w:hAnsi="Arial"/>
          <w:spacing w:val="4"/>
        </w:rPr>
        <w:t>odzielnej funkcji technicznej w </w:t>
      </w:r>
      <w:r w:rsidRPr="00902CEB">
        <w:rPr>
          <w:rFonts w:ascii="Arial" w:hAnsi="Arial"/>
          <w:spacing w:val="4"/>
        </w:rPr>
        <w:t>budownictwie, czyli obejmującej dokonywanie fa</w:t>
      </w:r>
      <w:r w:rsidRPr="00902CEB">
        <w:rPr>
          <w:rFonts w:ascii="Arial" w:hAnsi="Arial"/>
          <w:spacing w:val="4"/>
        </w:rPr>
        <w:t>chowej oceny zjawisk technicznych lub samodzielne rozwiązywanie zagadnień architektonicznych i technicznych oraz techniczno-organizacyjnych. Dlatego też, tam gdzie norma prawna nie zawiera precyzyjnych wytycznych, to projektant uwzględniając specyfikę proj</w:t>
      </w:r>
      <w:r w:rsidRPr="00902CEB">
        <w:rPr>
          <w:rFonts w:ascii="Arial" w:hAnsi="Arial"/>
          <w:spacing w:val="4"/>
        </w:rPr>
        <w:t>ektowanego obiektu budowlanego w oparciu o wiedzę techniczną oraz posiadane kwalifikacje i doświadczenie zawodowe dokonuje fachowej oceny i proponuje najlepsze, w swojej ocenie, rozwiązania.</w:t>
      </w:r>
    </w:p>
    <w:p w:rsidR="00114C13" w:rsidRDefault="00BF51CE" w:rsidP="00A5315A">
      <w:pPr>
        <w:spacing w:before="120" w:after="120" w:line="360" w:lineRule="auto"/>
        <w:jc w:val="both"/>
        <w:rPr>
          <w:rFonts w:ascii="Arial" w:hAnsi="Arial"/>
          <w:spacing w:val="4"/>
        </w:rPr>
      </w:pPr>
      <w:r>
        <w:rPr>
          <w:rFonts w:ascii="Arial" w:hAnsi="Arial"/>
          <w:spacing w:val="4"/>
        </w:rPr>
        <w:lastRenderedPageBreak/>
        <w:t>Wobec powyższego zasadnym wydaje się stwierdzenie, iż kwestie por</w:t>
      </w:r>
      <w:r>
        <w:rPr>
          <w:rFonts w:ascii="Arial" w:hAnsi="Arial"/>
          <w:spacing w:val="4"/>
        </w:rPr>
        <w:t>uszone w Pana wystąpieniu zostały już uregulowane w przepisach powszechnie obowiązujących.</w:t>
      </w:r>
    </w:p>
    <w:p w:rsidR="00114C13" w:rsidRDefault="00BF51CE" w:rsidP="00A5315A">
      <w:pPr>
        <w:spacing w:before="120" w:after="120" w:line="360" w:lineRule="auto"/>
        <w:jc w:val="both"/>
        <w:rPr>
          <w:rFonts w:ascii="Arial" w:hAnsi="Arial"/>
          <w:spacing w:val="4"/>
        </w:rPr>
      </w:pPr>
      <w:r w:rsidRPr="00160CAD">
        <w:rPr>
          <w:rFonts w:ascii="Arial" w:hAnsi="Arial"/>
          <w:spacing w:val="4"/>
        </w:rPr>
        <w:t xml:space="preserve">Niemniej jednak </w:t>
      </w:r>
      <w:r>
        <w:rPr>
          <w:rFonts w:ascii="Arial" w:hAnsi="Arial"/>
          <w:spacing w:val="4"/>
        </w:rPr>
        <w:t>zaznaczyć</w:t>
      </w:r>
      <w:r w:rsidRPr="00160CAD">
        <w:rPr>
          <w:rFonts w:ascii="Arial" w:hAnsi="Arial"/>
          <w:spacing w:val="4"/>
        </w:rPr>
        <w:t xml:space="preserve"> należy, iż przepisy rozporządzenia Wt stosuje się przy projektowaniu, budowie i przebudowie oraz przy zmianie sposobu użytkowania budynków </w:t>
      </w:r>
      <w:r w:rsidRPr="00160CAD">
        <w:rPr>
          <w:rFonts w:ascii="Arial" w:hAnsi="Arial"/>
          <w:spacing w:val="4"/>
        </w:rPr>
        <w:t xml:space="preserve">oraz budowli nadziemnych i podziemnych spełniających funkcje użytkowe budynków, a także do związanych z nimi urządzeń budowlanych, </w:t>
      </w:r>
      <w:r>
        <w:rPr>
          <w:rFonts w:ascii="Arial" w:hAnsi="Arial" w:cs="Arial"/>
        </w:rPr>
        <w:t>z zastrzeżeniem § 135 ust. 10 oraz § 207 ust. 2 rozporządzenia Wt</w:t>
      </w:r>
      <w:r w:rsidRPr="00160CAD">
        <w:rPr>
          <w:rFonts w:ascii="Arial" w:hAnsi="Arial"/>
          <w:spacing w:val="4"/>
        </w:rPr>
        <w:t xml:space="preserve"> (§ 2 ust. 1 rozporządzenia Wt). Wobec </w:t>
      </w:r>
      <w:r>
        <w:rPr>
          <w:rFonts w:ascii="Arial" w:hAnsi="Arial"/>
          <w:spacing w:val="4"/>
        </w:rPr>
        <w:t>powyższego, w przypad</w:t>
      </w:r>
      <w:r>
        <w:rPr>
          <w:rFonts w:ascii="Arial" w:hAnsi="Arial"/>
          <w:spacing w:val="4"/>
        </w:rPr>
        <w:t xml:space="preserve">ku, gdy </w:t>
      </w:r>
      <w:r w:rsidRPr="00160CAD">
        <w:rPr>
          <w:rFonts w:ascii="Arial" w:hAnsi="Arial"/>
          <w:spacing w:val="4"/>
        </w:rPr>
        <w:t>mamy do czynienia z projektowaniem, budową, przebudową lub zmianą sposobu użytkowania budynku, zachodzi obowiązek stosowania zapisów przedmiotowego rozporządzenia, zarówno w przypadku istniejących jak i nowoprojektowanych budynków, bez względu na d</w:t>
      </w:r>
      <w:r w:rsidRPr="00160CAD">
        <w:rPr>
          <w:rFonts w:ascii="Arial" w:hAnsi="Arial"/>
          <w:spacing w:val="4"/>
        </w:rPr>
        <w:t>atę ich powstania.</w:t>
      </w:r>
    </w:p>
    <w:p w:rsidR="00C4768D" w:rsidRDefault="00BF51CE" w:rsidP="00D83811">
      <w:pPr>
        <w:spacing w:before="120" w:after="120" w:line="360" w:lineRule="auto"/>
        <w:rPr>
          <w:rFonts w:ascii="Arial" w:hAnsi="Arial"/>
          <w:spacing w:val="4"/>
        </w:rPr>
      </w:pPr>
    </w:p>
    <w:p w:rsidR="00D83811" w:rsidRPr="003773F3" w:rsidRDefault="00BF51CE" w:rsidP="00D83811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D83811" w:rsidRPr="003773F3" w:rsidRDefault="00BF51CE" w:rsidP="00D83811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Zgodnie z art. 13 ust. 2 ustawy o petycjach sposób załatwienia petycji nie może być przedmiotem skargi.</w:t>
      </w:r>
    </w:p>
    <w:p w:rsidR="00D83811" w:rsidRDefault="00BF51CE" w:rsidP="0010716F">
      <w:pPr>
        <w:spacing w:before="120" w:after="240" w:line="360" w:lineRule="auto"/>
        <w:rPr>
          <w:rFonts w:ascii="Arial" w:hAnsi="Arial" w:cs="Arial"/>
        </w:rPr>
      </w:pPr>
    </w:p>
    <w:p w:rsidR="009F589C" w:rsidRDefault="00BF51CE" w:rsidP="0010716F">
      <w:pPr>
        <w:spacing w:before="120" w:after="240" w:line="360" w:lineRule="auto"/>
        <w:rPr>
          <w:rFonts w:ascii="Arial" w:hAnsi="Arial" w:cs="Arial"/>
        </w:rPr>
      </w:pPr>
    </w:p>
    <w:p w:rsidR="009F589C" w:rsidRDefault="00BF51CE" w:rsidP="0010716F">
      <w:pPr>
        <w:spacing w:before="120" w:after="240" w:line="360" w:lineRule="auto"/>
        <w:rPr>
          <w:rFonts w:ascii="Arial" w:hAnsi="Arial" w:cs="Arial"/>
        </w:rPr>
      </w:pPr>
    </w:p>
    <w:p w:rsidR="009F589C" w:rsidRDefault="00BF51CE" w:rsidP="0010716F">
      <w:pPr>
        <w:spacing w:before="120" w:after="240" w:line="360" w:lineRule="auto"/>
        <w:rPr>
          <w:rFonts w:ascii="Arial" w:hAnsi="Arial" w:cs="Arial"/>
        </w:rPr>
      </w:pPr>
    </w:p>
    <w:p w:rsidR="009946A3" w:rsidRPr="003773F3" w:rsidRDefault="00BF51CE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BF51CE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BF51CE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BF51CE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BF51CE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r w:rsidRPr="003773F3">
        <w:rPr>
          <w:rFonts w:ascii="Arial" w:hAnsi="Arial" w:cs="Arial"/>
        </w:rPr>
        <w:t>Anna Kornecka</w:t>
      </w:r>
      <w:bookmarkEnd w:id="3"/>
    </w:p>
    <w:p w:rsidR="00E34B19" w:rsidRPr="003773F3" w:rsidRDefault="00BF51CE" w:rsidP="00022B1C">
      <w:pPr>
        <w:spacing w:line="260" w:lineRule="exact"/>
        <w:ind w:left="5387"/>
        <w:rPr>
          <w:rFonts w:ascii="Arial" w:hAnsi="Arial" w:cs="Arial"/>
        </w:rPr>
      </w:pPr>
      <w:bookmarkStart w:id="4" w:name="ezdPracownikStanowisko"/>
      <w:r w:rsidRPr="003773F3">
        <w:rPr>
          <w:rFonts w:ascii="Arial" w:hAnsi="Arial" w:cs="Arial"/>
        </w:rPr>
        <w:t>Podsekretarz Stanu</w:t>
      </w:r>
      <w:bookmarkEnd w:id="4"/>
    </w:p>
    <w:p w:rsidR="004A0B59" w:rsidRPr="003773F3" w:rsidRDefault="00BF51CE" w:rsidP="00C23FC8">
      <w:pPr>
        <w:rPr>
          <w:rFonts w:ascii="Arial" w:hAnsi="Arial" w:cs="Arial"/>
          <w:b/>
        </w:rPr>
      </w:pPr>
    </w:p>
    <w:p w:rsidR="002C7FC9" w:rsidRPr="003773F3" w:rsidRDefault="00BF51CE" w:rsidP="00C23FC8">
      <w:pPr>
        <w:rPr>
          <w:rFonts w:ascii="Arial" w:hAnsi="Arial" w:cs="Arial"/>
          <w:b/>
        </w:rPr>
      </w:pPr>
    </w:p>
    <w:p w:rsidR="00A47044" w:rsidRPr="003773F3" w:rsidRDefault="00BF51CE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BF51CE" w:rsidP="00C23FC8">
      <w:pPr>
        <w:rPr>
          <w:rFonts w:ascii="Arial" w:hAnsi="Arial" w:cs="Arial"/>
        </w:rPr>
      </w:pPr>
    </w:p>
    <w:p w:rsidR="004A36F0" w:rsidRPr="003773F3" w:rsidRDefault="00BF51CE" w:rsidP="004A36F0">
      <w:pPr>
        <w:spacing w:line="360" w:lineRule="auto"/>
        <w:rPr>
          <w:rFonts w:ascii="Arial" w:hAnsi="Arial" w:cs="Arial"/>
        </w:rPr>
      </w:pPr>
      <w:bookmarkStart w:id="5" w:name="ezdAutorNazwa"/>
      <w:r w:rsidRPr="003773F3">
        <w:rPr>
          <w:rFonts w:ascii="Arial" w:hAnsi="Arial" w:cs="Arial"/>
        </w:rPr>
        <w:t>Sekretariat DAB</w:t>
      </w:r>
      <w:bookmarkEnd w:id="5"/>
    </w:p>
    <w:p w:rsidR="008F266E" w:rsidRPr="0010716F" w:rsidRDefault="00BF51CE" w:rsidP="004A36F0">
      <w:pPr>
        <w:spacing w:line="360" w:lineRule="auto"/>
        <w:rPr>
          <w:rFonts w:ascii="Arial" w:hAnsi="Arial" w:cs="Arial"/>
          <w:lang w:val="en-US"/>
        </w:rPr>
      </w:pPr>
      <w:r w:rsidRPr="0010716F">
        <w:rPr>
          <w:rFonts w:ascii="Arial" w:hAnsi="Arial" w:cs="Arial"/>
          <w:lang w:val="en-US"/>
        </w:rPr>
        <w:t xml:space="preserve">E-mail: </w:t>
      </w:r>
      <w:bookmarkStart w:id="6" w:name="ezdAutorEmail"/>
      <w:r>
        <w:rPr>
          <w:rFonts w:ascii="Arial" w:hAnsi="Arial" w:cs="Arial"/>
          <w:lang w:val="en-US"/>
        </w:rPr>
        <w:t>sekretariat</w:t>
      </w:r>
      <w:r w:rsidRPr="0010716F">
        <w:rPr>
          <w:rFonts w:ascii="Arial" w:hAnsi="Arial" w:cs="Arial"/>
          <w:lang w:val="en-US"/>
        </w:rPr>
        <w:t>dab@mr.gov.pl</w:t>
      </w:r>
      <w:bookmarkEnd w:id="6"/>
    </w:p>
    <w:p w:rsidR="00BC0D8D" w:rsidRPr="003773F3" w:rsidRDefault="00BF51CE" w:rsidP="004A36F0">
      <w:pPr>
        <w:spacing w:line="360" w:lineRule="auto"/>
        <w:rPr>
          <w:rFonts w:ascii="Arial" w:hAnsi="Arial" w:cs="Arial"/>
        </w:rPr>
      </w:pPr>
      <w:r w:rsidRPr="003773F3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22 522 51 00</w:t>
      </w: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CE" w:rsidRDefault="00BF51CE">
      <w:r>
        <w:separator/>
      </w:r>
    </w:p>
  </w:endnote>
  <w:endnote w:type="continuationSeparator" w:id="0">
    <w:p w:rsidR="00BF51CE" w:rsidRDefault="00BF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BF51C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F51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9D" w:rsidRPr="00AF6E52" w:rsidRDefault="00BF51CE" w:rsidP="00D9759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53356825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D9759D" w:rsidRPr="006F34BD" w:rsidRDefault="00BF51CE" w:rsidP="00D9759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  <w:p w:rsidR="00AD2F91" w:rsidRPr="00D9759D" w:rsidRDefault="00BF51CE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BF51CE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BF51CE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CE" w:rsidRDefault="00BF51CE">
      <w:r>
        <w:separator/>
      </w:r>
    </w:p>
  </w:footnote>
  <w:footnote w:type="continuationSeparator" w:id="0">
    <w:p w:rsidR="00BF51CE" w:rsidRDefault="00BF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BF51CE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EC589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CC944" w:tentative="1">
      <w:start w:val="1"/>
      <w:numFmt w:val="lowerLetter"/>
      <w:lvlText w:val="%2."/>
      <w:lvlJc w:val="left"/>
      <w:pPr>
        <w:ind w:left="1440" w:hanging="360"/>
      </w:pPr>
    </w:lvl>
    <w:lvl w:ilvl="2" w:tplc="E4149688" w:tentative="1">
      <w:start w:val="1"/>
      <w:numFmt w:val="lowerRoman"/>
      <w:lvlText w:val="%3."/>
      <w:lvlJc w:val="right"/>
      <w:pPr>
        <w:ind w:left="2160" w:hanging="180"/>
      </w:pPr>
    </w:lvl>
    <w:lvl w:ilvl="3" w:tplc="61684408" w:tentative="1">
      <w:start w:val="1"/>
      <w:numFmt w:val="decimal"/>
      <w:lvlText w:val="%4."/>
      <w:lvlJc w:val="left"/>
      <w:pPr>
        <w:ind w:left="2880" w:hanging="360"/>
      </w:pPr>
    </w:lvl>
    <w:lvl w:ilvl="4" w:tplc="7BF6EFD2" w:tentative="1">
      <w:start w:val="1"/>
      <w:numFmt w:val="lowerLetter"/>
      <w:lvlText w:val="%5."/>
      <w:lvlJc w:val="left"/>
      <w:pPr>
        <w:ind w:left="3600" w:hanging="360"/>
      </w:pPr>
    </w:lvl>
    <w:lvl w:ilvl="5" w:tplc="FBC8EA46" w:tentative="1">
      <w:start w:val="1"/>
      <w:numFmt w:val="lowerRoman"/>
      <w:lvlText w:val="%6."/>
      <w:lvlJc w:val="right"/>
      <w:pPr>
        <w:ind w:left="4320" w:hanging="180"/>
      </w:pPr>
    </w:lvl>
    <w:lvl w:ilvl="6" w:tplc="29561202" w:tentative="1">
      <w:start w:val="1"/>
      <w:numFmt w:val="decimal"/>
      <w:lvlText w:val="%7."/>
      <w:lvlJc w:val="left"/>
      <w:pPr>
        <w:ind w:left="5040" w:hanging="360"/>
      </w:pPr>
    </w:lvl>
    <w:lvl w:ilvl="7" w:tplc="1F685138" w:tentative="1">
      <w:start w:val="1"/>
      <w:numFmt w:val="lowerLetter"/>
      <w:lvlText w:val="%8."/>
      <w:lvlJc w:val="left"/>
      <w:pPr>
        <w:ind w:left="5760" w:hanging="360"/>
      </w:pPr>
    </w:lvl>
    <w:lvl w:ilvl="8" w:tplc="20AA6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38C8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62E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AE2A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485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7ED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01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824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908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A697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35A0B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66E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D66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C4B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AF5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DA6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088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F662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F6D9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7C"/>
    <w:rsid w:val="0086077C"/>
    <w:rsid w:val="00B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EE43-4A62-4AF7-A8E0-5B4C0308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Karolina Gzowska</cp:lastModifiedBy>
  <cp:revision>2</cp:revision>
  <cp:lastPrinted>2020-11-20T11:04:00Z</cp:lastPrinted>
  <dcterms:created xsi:type="dcterms:W3CDTF">2020-11-20T11:07:00Z</dcterms:created>
  <dcterms:modified xsi:type="dcterms:W3CDTF">2020-11-20T11:07:00Z</dcterms:modified>
</cp:coreProperties>
</file>