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B9BC" w14:textId="03929DF4" w:rsidR="00C90398" w:rsidRPr="00A45ED9" w:rsidRDefault="009771F8" w:rsidP="009771F8">
      <w:pPr>
        <w:jc w:val="center"/>
        <w:rPr>
          <w:sz w:val="22"/>
          <w:szCs w:val="22"/>
        </w:rPr>
      </w:pPr>
      <w:r w:rsidRPr="00A45ED9">
        <w:rPr>
          <w:b/>
          <w:bCs/>
          <w:sz w:val="22"/>
          <w:szCs w:val="22"/>
        </w:rPr>
        <w:t xml:space="preserve">TYMCZASOWE CELE OCHRONY DLA SIEDLISK PRZYRODNICZYCH I GATUNKÓW, BĘDĄCYCH PRZEDMIOTAMI OCHRONY OBSZARU NATURA 2000 OSTOJE NIETOPERZY POWIATU GORLICKIEGO PLH120094, </w:t>
      </w:r>
      <w:r w:rsidRPr="00A45ED9">
        <w:rPr>
          <w:b/>
          <w:bCs/>
          <w:sz w:val="22"/>
          <w:szCs w:val="22"/>
        </w:rPr>
        <w:br/>
        <w:t>WYNIKAJĄCE Z WARUNKÓW UTRZYMANIA LUB ODTWORZENIA WŁAŚCIWEGO STANU OCHRONY</w:t>
      </w:r>
    </w:p>
    <w:p w14:paraId="5E4A65D1" w14:textId="77777777" w:rsidR="00C90398" w:rsidRPr="00A45ED9" w:rsidRDefault="00C90398">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2268"/>
        <w:gridCol w:w="9610"/>
      </w:tblGrid>
      <w:tr w:rsidR="00C90398" w:rsidRPr="00A45ED9" w14:paraId="564DA11E" w14:textId="77777777" w:rsidTr="00A23D39">
        <w:trPr>
          <w:trHeight w:val="599"/>
        </w:trPr>
        <w:tc>
          <w:tcPr>
            <w:tcW w:w="704" w:type="dxa"/>
            <w:vAlign w:val="center"/>
          </w:tcPr>
          <w:p w14:paraId="031455AD" w14:textId="77777777" w:rsidR="00C90398" w:rsidRPr="00A45ED9" w:rsidRDefault="00C90398" w:rsidP="00BB2F29">
            <w:pPr>
              <w:spacing w:before="60" w:after="60"/>
              <w:jc w:val="center"/>
              <w:rPr>
                <w:b/>
                <w:sz w:val="22"/>
                <w:szCs w:val="22"/>
              </w:rPr>
            </w:pPr>
            <w:r w:rsidRPr="00A45ED9">
              <w:rPr>
                <w:b/>
                <w:sz w:val="22"/>
                <w:szCs w:val="22"/>
              </w:rPr>
              <w:t>Lp.</w:t>
            </w:r>
          </w:p>
        </w:tc>
        <w:tc>
          <w:tcPr>
            <w:tcW w:w="1985" w:type="dxa"/>
            <w:vAlign w:val="center"/>
          </w:tcPr>
          <w:p w14:paraId="3E2786B8" w14:textId="77777777" w:rsidR="00C90398" w:rsidRPr="00A45ED9" w:rsidRDefault="00C90398" w:rsidP="00BB2F29">
            <w:pPr>
              <w:spacing w:before="60" w:after="60"/>
              <w:jc w:val="center"/>
              <w:rPr>
                <w:b/>
                <w:sz w:val="22"/>
                <w:szCs w:val="22"/>
              </w:rPr>
            </w:pPr>
            <w:r w:rsidRPr="00A45ED9">
              <w:rPr>
                <w:b/>
                <w:sz w:val="22"/>
                <w:szCs w:val="22"/>
              </w:rPr>
              <w:t>Przedmiot ochrony obszaru Natura 2000</w:t>
            </w:r>
          </w:p>
        </w:tc>
        <w:tc>
          <w:tcPr>
            <w:tcW w:w="2268" w:type="dxa"/>
          </w:tcPr>
          <w:p w14:paraId="0D681585" w14:textId="77777777" w:rsidR="00C90398" w:rsidRPr="00A45ED9" w:rsidRDefault="00C90398" w:rsidP="00BB2F29">
            <w:pPr>
              <w:spacing w:before="60" w:after="60"/>
              <w:jc w:val="center"/>
              <w:rPr>
                <w:b/>
                <w:sz w:val="22"/>
                <w:szCs w:val="22"/>
              </w:rPr>
            </w:pPr>
            <w:r w:rsidRPr="00A45ED9">
              <w:rPr>
                <w:b/>
                <w:sz w:val="22"/>
                <w:szCs w:val="22"/>
              </w:rPr>
              <w:t>Parametr/wskaźnik stanu ochrony</w:t>
            </w:r>
          </w:p>
        </w:tc>
        <w:tc>
          <w:tcPr>
            <w:tcW w:w="9610" w:type="dxa"/>
            <w:vAlign w:val="center"/>
          </w:tcPr>
          <w:p w14:paraId="6D0E3D2C" w14:textId="77777777" w:rsidR="00C90398" w:rsidRPr="00A45ED9" w:rsidRDefault="00C90398" w:rsidP="00BB2F29">
            <w:pPr>
              <w:spacing w:before="60" w:after="60"/>
              <w:jc w:val="center"/>
              <w:rPr>
                <w:b/>
                <w:sz w:val="22"/>
                <w:szCs w:val="22"/>
              </w:rPr>
            </w:pPr>
            <w:r w:rsidRPr="00A45ED9">
              <w:rPr>
                <w:b/>
                <w:sz w:val="22"/>
                <w:szCs w:val="22"/>
              </w:rPr>
              <w:t>Cele działań ochronnych</w:t>
            </w:r>
          </w:p>
        </w:tc>
      </w:tr>
      <w:tr w:rsidR="009E072C" w:rsidRPr="00A45ED9" w14:paraId="117E178D" w14:textId="77777777" w:rsidTr="00C90829">
        <w:trPr>
          <w:trHeight w:val="281"/>
        </w:trPr>
        <w:tc>
          <w:tcPr>
            <w:tcW w:w="704" w:type="dxa"/>
            <w:vMerge w:val="restart"/>
          </w:tcPr>
          <w:p w14:paraId="10B4B403" w14:textId="6A7CEAAC" w:rsidR="009E072C" w:rsidRPr="00A45ED9" w:rsidRDefault="009E072C" w:rsidP="009E072C">
            <w:pPr>
              <w:pStyle w:val="Akapitzlist"/>
              <w:autoSpaceDE w:val="0"/>
              <w:autoSpaceDN w:val="0"/>
              <w:adjustRightInd w:val="0"/>
              <w:spacing w:before="60" w:after="60"/>
              <w:ind w:left="0"/>
              <w:rPr>
                <w:bCs/>
                <w:sz w:val="22"/>
                <w:szCs w:val="22"/>
              </w:rPr>
            </w:pPr>
            <w:r w:rsidRPr="00A45ED9">
              <w:rPr>
                <w:bCs/>
                <w:sz w:val="22"/>
                <w:szCs w:val="22"/>
              </w:rPr>
              <w:t>1.</w:t>
            </w:r>
          </w:p>
        </w:tc>
        <w:tc>
          <w:tcPr>
            <w:tcW w:w="1985" w:type="dxa"/>
            <w:vMerge w:val="restart"/>
            <w:vAlign w:val="center"/>
          </w:tcPr>
          <w:p w14:paraId="7F6A9C05" w14:textId="36243594" w:rsidR="009E072C" w:rsidRPr="00A45ED9" w:rsidRDefault="009E072C" w:rsidP="009E072C">
            <w:pPr>
              <w:pStyle w:val="Akapitzlist"/>
              <w:autoSpaceDE w:val="0"/>
              <w:autoSpaceDN w:val="0"/>
              <w:adjustRightInd w:val="0"/>
              <w:spacing w:before="60" w:after="60"/>
              <w:ind w:left="0"/>
              <w:rPr>
                <w:sz w:val="22"/>
                <w:szCs w:val="22"/>
              </w:rPr>
            </w:pPr>
            <w:r w:rsidRPr="00A45ED9">
              <w:rPr>
                <w:b/>
                <w:bCs/>
                <w:color w:val="000000"/>
                <w:sz w:val="22"/>
                <w:szCs w:val="22"/>
              </w:rPr>
              <w:t xml:space="preserve">9130 </w:t>
            </w:r>
            <w:r w:rsidRPr="00A45ED9">
              <w:rPr>
                <w:color w:val="000000"/>
                <w:sz w:val="22"/>
                <w:szCs w:val="22"/>
              </w:rPr>
              <w:t>Żyzne buczyny (</w:t>
            </w:r>
            <w:r w:rsidRPr="00A45ED9">
              <w:rPr>
                <w:i/>
                <w:color w:val="000000"/>
                <w:sz w:val="22"/>
                <w:szCs w:val="22"/>
              </w:rPr>
              <w:t>Dentario glandulosae–Fagenion</w:t>
            </w:r>
            <w:r w:rsidRPr="00A45ED9">
              <w:rPr>
                <w:color w:val="000000"/>
                <w:sz w:val="22"/>
                <w:szCs w:val="22"/>
              </w:rPr>
              <w:t xml:space="preserve">, </w:t>
            </w:r>
            <w:r w:rsidRPr="00A45ED9">
              <w:rPr>
                <w:i/>
                <w:color w:val="000000"/>
                <w:sz w:val="22"/>
                <w:szCs w:val="22"/>
              </w:rPr>
              <w:t>Galio odorati–Fagenion</w:t>
            </w:r>
            <w:r w:rsidRPr="00A45ED9">
              <w:rPr>
                <w:color w:val="000000"/>
                <w:sz w:val="22"/>
                <w:szCs w:val="22"/>
              </w:rPr>
              <w:t>)</w:t>
            </w:r>
          </w:p>
        </w:tc>
        <w:tc>
          <w:tcPr>
            <w:tcW w:w="2268" w:type="dxa"/>
            <w:vAlign w:val="center"/>
          </w:tcPr>
          <w:p w14:paraId="37F07037" w14:textId="26283C18" w:rsidR="009E072C" w:rsidRPr="00A45ED9" w:rsidRDefault="009E072C" w:rsidP="007E79A0">
            <w:pPr>
              <w:pStyle w:val="Standard"/>
              <w:snapToGrid w:val="0"/>
              <w:jc w:val="center"/>
              <w:rPr>
                <w:sz w:val="22"/>
                <w:szCs w:val="22"/>
                <w:lang w:val="pl-PL"/>
              </w:rPr>
            </w:pPr>
            <w:r w:rsidRPr="00A45ED9">
              <w:rPr>
                <w:sz w:val="22"/>
                <w:szCs w:val="22"/>
                <w:lang w:val="pl-PL"/>
              </w:rPr>
              <w:t>Powierzchnia siedliska</w:t>
            </w:r>
          </w:p>
        </w:tc>
        <w:tc>
          <w:tcPr>
            <w:tcW w:w="9610" w:type="dxa"/>
            <w:shd w:val="clear" w:color="auto" w:fill="auto"/>
            <w:vAlign w:val="center"/>
          </w:tcPr>
          <w:p w14:paraId="1E0DC653" w14:textId="0E9F4B53" w:rsidR="008C5F67" w:rsidRPr="00A45ED9" w:rsidRDefault="008C5F67" w:rsidP="008C5F67">
            <w:pPr>
              <w:pStyle w:val="Standard"/>
              <w:snapToGrid w:val="0"/>
              <w:jc w:val="both"/>
              <w:rPr>
                <w:iCs/>
                <w:color w:val="000000"/>
                <w:sz w:val="22"/>
                <w:szCs w:val="22"/>
                <w:lang w:val="pl-PL"/>
              </w:rPr>
            </w:pPr>
            <w:r w:rsidRPr="00A45ED9">
              <w:rPr>
                <w:iCs/>
                <w:color w:val="000000"/>
                <w:sz w:val="22"/>
                <w:szCs w:val="22"/>
                <w:lang w:val="pl-PL"/>
              </w:rPr>
              <w:t>Dla wszystkich płatów siedliska w obszarze:</w:t>
            </w:r>
            <w:r w:rsidRPr="00A45ED9">
              <w:rPr>
                <w:iCs/>
                <w:color w:val="000000"/>
                <w:sz w:val="22"/>
                <w:szCs w:val="22"/>
                <w:lang w:val="pl-PL"/>
              </w:rPr>
              <w:t xml:space="preserve"> </w:t>
            </w:r>
            <w:r w:rsidR="009E072C" w:rsidRPr="00A45ED9">
              <w:rPr>
                <w:iCs/>
                <w:color w:val="000000"/>
                <w:sz w:val="22"/>
                <w:szCs w:val="22"/>
                <w:lang w:val="pl-PL"/>
              </w:rPr>
              <w:t>Utrzymanie oceny wskaźnika na poziomie FV.</w:t>
            </w:r>
            <w:r w:rsidRPr="00A45ED9">
              <w:rPr>
                <w:iCs/>
                <w:color w:val="000000"/>
                <w:sz w:val="22"/>
                <w:szCs w:val="22"/>
                <w:lang w:val="pl-PL"/>
              </w:rPr>
              <w:t xml:space="preserve"> </w:t>
            </w:r>
            <w:r w:rsidR="009E072C" w:rsidRPr="00A45ED9">
              <w:rPr>
                <w:iCs/>
                <w:color w:val="000000"/>
                <w:sz w:val="22"/>
                <w:szCs w:val="22"/>
                <w:lang w:val="pl-PL"/>
              </w:rPr>
              <w:t xml:space="preserve">Utrzymanie stabilnej </w:t>
            </w:r>
            <w:r w:rsidR="009E072C" w:rsidRPr="00A45ED9">
              <w:rPr>
                <w:iCs/>
                <w:sz w:val="22"/>
                <w:szCs w:val="22"/>
                <w:lang w:val="pl-PL"/>
              </w:rPr>
              <w:t xml:space="preserve">powierzchni siedliska z uwzględnieniem naturalnych procesów. </w:t>
            </w:r>
            <w:r w:rsidRPr="00A45ED9">
              <w:rPr>
                <w:iCs/>
                <w:sz w:val="22"/>
                <w:szCs w:val="22"/>
                <w:lang w:val="pl-PL"/>
              </w:rPr>
              <w:t>Siedlisko w obszarze Natura 2000 występuje w 12 płatach o łącznej powierzchni</w:t>
            </w:r>
            <w:r w:rsidRPr="00A45ED9">
              <w:rPr>
                <w:iCs/>
                <w:sz w:val="22"/>
                <w:szCs w:val="22"/>
                <w:lang w:val="pl-PL"/>
              </w:rPr>
              <w:t xml:space="preserve"> </w:t>
            </w:r>
            <w:r w:rsidRPr="00A45ED9">
              <w:rPr>
                <w:iCs/>
                <w:sz w:val="22"/>
                <w:szCs w:val="22"/>
                <w:lang w:val="pl-PL"/>
              </w:rPr>
              <w:t>1 085,</w:t>
            </w:r>
            <w:r w:rsidRPr="00A45ED9">
              <w:rPr>
                <w:iCs/>
                <w:sz w:val="22"/>
                <w:szCs w:val="22"/>
                <w:lang w:val="pl-PL"/>
              </w:rPr>
              <w:t>4</w:t>
            </w:r>
            <w:r w:rsidRPr="00A45ED9">
              <w:rPr>
                <w:iCs/>
                <w:sz w:val="22"/>
                <w:szCs w:val="22"/>
                <w:lang w:val="pl-PL"/>
              </w:rPr>
              <w:t xml:space="preserve"> ha</w:t>
            </w:r>
            <w:r w:rsidRPr="00A45ED9">
              <w:rPr>
                <w:iCs/>
                <w:sz w:val="22"/>
                <w:szCs w:val="22"/>
                <w:lang w:val="pl-PL"/>
              </w:rPr>
              <w:t>.</w:t>
            </w:r>
          </w:p>
        </w:tc>
      </w:tr>
      <w:tr w:rsidR="009E072C" w:rsidRPr="00A45ED9" w14:paraId="58040889" w14:textId="77777777" w:rsidTr="00C90829">
        <w:trPr>
          <w:trHeight w:val="281"/>
        </w:trPr>
        <w:tc>
          <w:tcPr>
            <w:tcW w:w="704" w:type="dxa"/>
            <w:vMerge/>
          </w:tcPr>
          <w:p w14:paraId="2D5A34F2"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78ADEEA5"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3A91BC3" w14:textId="2F31DF93" w:rsidR="009E072C" w:rsidRPr="00A45ED9" w:rsidRDefault="009E072C" w:rsidP="007E79A0">
            <w:pPr>
              <w:pStyle w:val="Standard"/>
              <w:snapToGrid w:val="0"/>
              <w:jc w:val="center"/>
              <w:rPr>
                <w:sz w:val="22"/>
                <w:szCs w:val="22"/>
                <w:lang w:val="pl-PL"/>
              </w:rPr>
            </w:pPr>
            <w:r w:rsidRPr="00A45ED9">
              <w:rPr>
                <w:sz w:val="22"/>
                <w:szCs w:val="22"/>
                <w:lang w:val="pl-PL"/>
              </w:rPr>
              <w:t>Charakterystyczna kombinacja florystyczna</w:t>
            </w:r>
          </w:p>
        </w:tc>
        <w:tc>
          <w:tcPr>
            <w:tcW w:w="9610" w:type="dxa"/>
            <w:shd w:val="clear" w:color="auto" w:fill="auto"/>
            <w:vAlign w:val="center"/>
          </w:tcPr>
          <w:p w14:paraId="1267335D"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na </w:t>
            </w:r>
            <w:r w:rsidRPr="00A45ED9">
              <w:rPr>
                <w:sz w:val="22"/>
                <w:szCs w:val="22"/>
                <w:lang w:val="pl-PL"/>
              </w:rPr>
              <w:t>co najmniej 65 % powierzchni siedliska</w:t>
            </w:r>
            <w:r w:rsidRPr="00A45ED9">
              <w:rPr>
                <w:color w:val="000000"/>
                <w:sz w:val="22"/>
                <w:szCs w:val="22"/>
                <w:lang w:val="pl-PL"/>
              </w:rPr>
              <w:t xml:space="preserve">. </w:t>
            </w:r>
          </w:p>
          <w:p w14:paraId="499AF05D" w14:textId="1C2A2EE9"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Charakterystyczna kombinacja florystyczna runa typowa, właściwa dla siedliska przyrodniczego (z uwzględnieniem specyfiki regionalnej i lokalnej). W szczególności: we wszystkich warstwach dominują gatunki typowe dla siedliska, przy czym zachowane są naturalne stosunki ilościowe. Runo zdominowane przez gatunki leśne, a nie porębowe ani łąkowe.</w:t>
            </w:r>
          </w:p>
        </w:tc>
      </w:tr>
      <w:tr w:rsidR="009E072C" w:rsidRPr="00A45ED9" w14:paraId="569C7075" w14:textId="77777777" w:rsidTr="00C90829">
        <w:trPr>
          <w:trHeight w:val="281"/>
        </w:trPr>
        <w:tc>
          <w:tcPr>
            <w:tcW w:w="704" w:type="dxa"/>
            <w:vMerge/>
          </w:tcPr>
          <w:p w14:paraId="2DC84710"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775AFBBD"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78787413" w14:textId="19566D00" w:rsidR="009E072C" w:rsidRPr="00A45ED9" w:rsidRDefault="009E072C" w:rsidP="007E79A0">
            <w:pPr>
              <w:pStyle w:val="Standard"/>
              <w:snapToGrid w:val="0"/>
              <w:jc w:val="center"/>
              <w:rPr>
                <w:sz w:val="22"/>
                <w:szCs w:val="22"/>
                <w:lang w:val="pl-PL"/>
              </w:rPr>
            </w:pPr>
            <w:r w:rsidRPr="00A45ED9">
              <w:rPr>
                <w:sz w:val="22"/>
                <w:szCs w:val="22"/>
                <w:lang w:val="pl-PL"/>
              </w:rPr>
              <w:t>Skład drzewostanu</w:t>
            </w:r>
          </w:p>
        </w:tc>
        <w:tc>
          <w:tcPr>
            <w:tcW w:w="9610" w:type="dxa"/>
            <w:shd w:val="clear" w:color="auto" w:fill="auto"/>
            <w:vAlign w:val="center"/>
          </w:tcPr>
          <w:p w14:paraId="23A05000"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na </w:t>
            </w:r>
            <w:r w:rsidRPr="00A45ED9">
              <w:rPr>
                <w:sz w:val="22"/>
                <w:szCs w:val="22"/>
                <w:lang w:val="pl-PL"/>
              </w:rPr>
              <w:t>co najmniej 90 % powierzchni siedliska</w:t>
            </w:r>
            <w:r w:rsidRPr="00A45ED9">
              <w:rPr>
                <w:color w:val="000000"/>
                <w:sz w:val="22"/>
                <w:szCs w:val="22"/>
                <w:lang w:val="pl-PL"/>
              </w:rPr>
              <w:t xml:space="preserve">. </w:t>
            </w:r>
          </w:p>
          <w:p w14:paraId="5829CFEA"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Skład drzewostanu: gatunki obce ekologicznie buczynom stanowią &lt;15 % drzewostanu (co najwyżej 1 w opisie taksacyjnym wg metodyki urządzania lasu).</w:t>
            </w:r>
          </w:p>
          <w:p w14:paraId="4009E4D4" w14:textId="571A1B86"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 xml:space="preserve">Drzewostan zdominowany (&gt;50%) przez gatunki buczynowe. </w:t>
            </w:r>
          </w:p>
        </w:tc>
      </w:tr>
      <w:tr w:rsidR="009E072C" w:rsidRPr="00A45ED9" w14:paraId="0F9CC0BF" w14:textId="77777777" w:rsidTr="00C90829">
        <w:trPr>
          <w:trHeight w:val="281"/>
        </w:trPr>
        <w:tc>
          <w:tcPr>
            <w:tcW w:w="704" w:type="dxa"/>
            <w:vMerge/>
          </w:tcPr>
          <w:p w14:paraId="4A93115E"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070E2D53"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5ED8B64" w14:textId="1F9EC384" w:rsidR="009E072C" w:rsidRPr="00A45ED9" w:rsidRDefault="009E072C" w:rsidP="007E79A0">
            <w:pPr>
              <w:pStyle w:val="Standard"/>
              <w:snapToGrid w:val="0"/>
              <w:jc w:val="center"/>
              <w:rPr>
                <w:sz w:val="22"/>
                <w:szCs w:val="22"/>
                <w:lang w:val="pl-PL"/>
              </w:rPr>
            </w:pPr>
            <w:r w:rsidRPr="00A45ED9">
              <w:rPr>
                <w:sz w:val="22"/>
                <w:szCs w:val="22"/>
                <w:lang w:val="pl-PL"/>
              </w:rPr>
              <w:t>Ekspansywne gatunki rodzime w runie</w:t>
            </w:r>
          </w:p>
        </w:tc>
        <w:tc>
          <w:tcPr>
            <w:tcW w:w="9610" w:type="dxa"/>
            <w:shd w:val="clear" w:color="auto" w:fill="auto"/>
            <w:vAlign w:val="center"/>
          </w:tcPr>
          <w:p w14:paraId="28BF5EA5"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na </w:t>
            </w:r>
            <w:r w:rsidRPr="00A45ED9">
              <w:rPr>
                <w:sz w:val="22"/>
                <w:szCs w:val="22"/>
                <w:lang w:val="pl-PL"/>
              </w:rPr>
              <w:t>co najmniej 65 % powierzchni siedliska.</w:t>
            </w:r>
            <w:r w:rsidRPr="00A45ED9">
              <w:rPr>
                <w:color w:val="000000"/>
                <w:sz w:val="22"/>
                <w:szCs w:val="22"/>
                <w:lang w:val="pl-PL"/>
              </w:rPr>
              <w:t xml:space="preserve"> </w:t>
            </w:r>
          </w:p>
          <w:p w14:paraId="450944AF" w14:textId="509EA28D"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Ekspansywne gatunki rodzime w runie: brak gatunków ekspansywnych lub pojedyncze okazy gatunków nitrofilnych w runie.</w:t>
            </w:r>
          </w:p>
        </w:tc>
      </w:tr>
      <w:tr w:rsidR="009E072C" w:rsidRPr="00A45ED9" w14:paraId="3C712777" w14:textId="77777777" w:rsidTr="00C90829">
        <w:trPr>
          <w:trHeight w:val="281"/>
        </w:trPr>
        <w:tc>
          <w:tcPr>
            <w:tcW w:w="704" w:type="dxa"/>
            <w:vMerge/>
          </w:tcPr>
          <w:p w14:paraId="0B9B2AB1"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5AC190D4"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EDE0EA0" w14:textId="70CEE76B" w:rsidR="009E072C" w:rsidRPr="00A45ED9" w:rsidRDefault="009E072C" w:rsidP="007E79A0">
            <w:pPr>
              <w:pStyle w:val="Standard"/>
              <w:snapToGrid w:val="0"/>
              <w:jc w:val="center"/>
              <w:rPr>
                <w:sz w:val="22"/>
                <w:szCs w:val="22"/>
                <w:lang w:val="pl-PL"/>
              </w:rPr>
            </w:pPr>
            <w:r w:rsidRPr="00A45ED9">
              <w:rPr>
                <w:sz w:val="22"/>
                <w:szCs w:val="22"/>
                <w:lang w:val="pl-PL"/>
              </w:rPr>
              <w:t>Struktura pionowa i przestrzenna fitocenozy</w:t>
            </w:r>
          </w:p>
        </w:tc>
        <w:tc>
          <w:tcPr>
            <w:tcW w:w="9610" w:type="dxa"/>
            <w:shd w:val="clear" w:color="auto" w:fill="auto"/>
            <w:vAlign w:val="center"/>
          </w:tcPr>
          <w:p w14:paraId="4C90D8CD"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na </w:t>
            </w:r>
            <w:r w:rsidRPr="00A45ED9">
              <w:rPr>
                <w:sz w:val="22"/>
                <w:szCs w:val="22"/>
                <w:lang w:val="pl-PL"/>
              </w:rPr>
              <w:t>co najmniej 65 % powierzchni siedliska</w:t>
            </w:r>
            <w:r w:rsidRPr="00A45ED9">
              <w:rPr>
                <w:color w:val="000000"/>
                <w:sz w:val="22"/>
                <w:szCs w:val="22"/>
                <w:lang w:val="pl-PL"/>
              </w:rPr>
              <w:t xml:space="preserve"> zróżnicowanego drzewostanu różnowiekowego.</w:t>
            </w:r>
          </w:p>
          <w:p w14:paraId="37E3E266" w14:textId="6BD9FDB9" w:rsidR="009E072C" w:rsidRPr="00A45ED9" w:rsidRDefault="009E072C" w:rsidP="009E072C">
            <w:pPr>
              <w:pStyle w:val="Standard"/>
              <w:snapToGrid w:val="0"/>
              <w:spacing w:before="60" w:after="60"/>
              <w:jc w:val="both"/>
              <w:rPr>
                <w:sz w:val="22"/>
                <w:szCs w:val="22"/>
                <w:lang w:val="pl-PL"/>
              </w:rPr>
            </w:pPr>
            <w:r w:rsidRPr="00A45ED9">
              <w:rPr>
                <w:iCs/>
                <w:color w:val="000000"/>
                <w:sz w:val="22"/>
                <w:szCs w:val="22"/>
                <w:lang w:val="pl-PL"/>
              </w:rPr>
              <w:t>Struktura pionowa i przestrzenna fitocenozy: zróżnicowana; drzewostan różnowiekowy, o zróżnicowanym przestrzennie zwarciu, zawsze z grupami i kępami starych drzew.</w:t>
            </w:r>
          </w:p>
        </w:tc>
      </w:tr>
      <w:tr w:rsidR="009E072C" w:rsidRPr="00A45ED9" w14:paraId="2150C1C5" w14:textId="77777777" w:rsidTr="00C90829">
        <w:trPr>
          <w:trHeight w:val="281"/>
        </w:trPr>
        <w:tc>
          <w:tcPr>
            <w:tcW w:w="704" w:type="dxa"/>
            <w:vMerge/>
          </w:tcPr>
          <w:p w14:paraId="5C03D3D9"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19E320F3"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3973BA15" w14:textId="24E78677" w:rsidR="009E072C" w:rsidRPr="00A45ED9" w:rsidRDefault="009E072C" w:rsidP="007E79A0">
            <w:pPr>
              <w:pStyle w:val="Standard"/>
              <w:snapToGrid w:val="0"/>
              <w:jc w:val="center"/>
              <w:rPr>
                <w:sz w:val="22"/>
                <w:szCs w:val="22"/>
                <w:lang w:val="pl-PL"/>
              </w:rPr>
            </w:pPr>
            <w:r w:rsidRPr="00A45ED9">
              <w:rPr>
                <w:sz w:val="22"/>
                <w:szCs w:val="22"/>
                <w:lang w:val="pl-PL"/>
              </w:rPr>
              <w:t>Wiek drzewostanu (udział starodrzewu)</w:t>
            </w:r>
          </w:p>
        </w:tc>
        <w:tc>
          <w:tcPr>
            <w:tcW w:w="9610" w:type="dxa"/>
            <w:shd w:val="clear" w:color="auto" w:fill="auto"/>
            <w:vAlign w:val="center"/>
          </w:tcPr>
          <w:p w14:paraId="611E3834"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w:t>
            </w:r>
          </w:p>
          <w:p w14:paraId="27B68D20" w14:textId="5F5F0CD6" w:rsidR="009E072C" w:rsidRPr="00A45ED9" w:rsidRDefault="009E072C" w:rsidP="009E072C">
            <w:pPr>
              <w:pStyle w:val="Standard"/>
              <w:snapToGrid w:val="0"/>
              <w:spacing w:before="60" w:after="60"/>
              <w:jc w:val="both"/>
              <w:rPr>
                <w:sz w:val="22"/>
                <w:szCs w:val="22"/>
                <w:lang w:val="pl-PL"/>
              </w:rPr>
            </w:pPr>
            <w:r w:rsidRPr="00A45ED9">
              <w:rPr>
                <w:iCs/>
                <w:color w:val="000000"/>
                <w:sz w:val="22"/>
                <w:szCs w:val="22"/>
                <w:lang w:val="pl-PL"/>
              </w:rPr>
              <w:t>Wiek drzewostanu (udział starodrzewu) &gt;10% udział drzew starszych niż 100 lat (1 lub więcej w opisie taksacyjnym wg metodyki urządzania lasu).</w:t>
            </w:r>
          </w:p>
        </w:tc>
      </w:tr>
      <w:tr w:rsidR="009E072C" w:rsidRPr="00A45ED9" w14:paraId="52666B29" w14:textId="77777777" w:rsidTr="00C90829">
        <w:trPr>
          <w:trHeight w:val="281"/>
        </w:trPr>
        <w:tc>
          <w:tcPr>
            <w:tcW w:w="704" w:type="dxa"/>
            <w:vMerge/>
          </w:tcPr>
          <w:p w14:paraId="00278ECF"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089E49E2"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3B851CCC" w14:textId="5C7C67CD" w:rsidR="009E072C" w:rsidRPr="00A45ED9" w:rsidRDefault="009E072C" w:rsidP="007E79A0">
            <w:pPr>
              <w:pStyle w:val="Standard"/>
              <w:snapToGrid w:val="0"/>
              <w:jc w:val="center"/>
              <w:rPr>
                <w:sz w:val="22"/>
                <w:szCs w:val="22"/>
                <w:lang w:val="pl-PL"/>
              </w:rPr>
            </w:pPr>
            <w:r w:rsidRPr="00A45ED9">
              <w:rPr>
                <w:sz w:val="22"/>
                <w:szCs w:val="22"/>
                <w:lang w:val="pl-PL"/>
              </w:rPr>
              <w:t>Naturalne odnowienie drzewostanu</w:t>
            </w:r>
          </w:p>
        </w:tc>
        <w:tc>
          <w:tcPr>
            <w:tcW w:w="9610" w:type="dxa"/>
            <w:shd w:val="clear" w:color="auto" w:fill="auto"/>
            <w:vAlign w:val="center"/>
          </w:tcPr>
          <w:p w14:paraId="2BA6F931" w14:textId="77777777" w:rsidR="009E072C" w:rsidRPr="00A45ED9" w:rsidRDefault="009E072C" w:rsidP="009E072C">
            <w:pPr>
              <w:pStyle w:val="Standard"/>
              <w:snapToGrid w:val="0"/>
              <w:jc w:val="both"/>
              <w:rPr>
                <w:sz w:val="22"/>
                <w:szCs w:val="22"/>
                <w:lang w:val="pl-PL"/>
              </w:rPr>
            </w:pPr>
            <w:r w:rsidRPr="00A45ED9">
              <w:rPr>
                <w:sz w:val="22"/>
                <w:szCs w:val="22"/>
                <w:lang w:val="pl-PL"/>
              </w:rPr>
              <w:t xml:space="preserve">Utrzymanie wskaźnika na poziomie FV </w:t>
            </w:r>
            <w:r w:rsidRPr="00A45ED9">
              <w:rPr>
                <w:color w:val="000000"/>
                <w:sz w:val="22"/>
                <w:szCs w:val="22"/>
                <w:lang w:val="pl-PL"/>
              </w:rPr>
              <w:t xml:space="preserve">na </w:t>
            </w:r>
            <w:r w:rsidRPr="00A45ED9">
              <w:rPr>
                <w:sz w:val="22"/>
                <w:szCs w:val="22"/>
                <w:lang w:val="pl-PL"/>
              </w:rPr>
              <w:t>co najmniej 65 % powierzchni siedliska</w:t>
            </w:r>
            <w:r w:rsidRPr="00A45ED9">
              <w:rPr>
                <w:color w:val="000000"/>
                <w:sz w:val="22"/>
                <w:szCs w:val="22"/>
                <w:lang w:val="pl-PL"/>
              </w:rPr>
              <w:t xml:space="preserve"> </w:t>
            </w:r>
            <w:r w:rsidRPr="00A45ED9">
              <w:rPr>
                <w:sz w:val="22"/>
                <w:szCs w:val="22"/>
                <w:lang w:val="pl-PL"/>
              </w:rPr>
              <w:t>z obecnym odnowieniem buka.</w:t>
            </w:r>
          </w:p>
          <w:p w14:paraId="3FB29ED9" w14:textId="77777777" w:rsidR="009E072C" w:rsidRPr="00A45ED9" w:rsidRDefault="009E072C" w:rsidP="009E072C">
            <w:pPr>
              <w:pStyle w:val="Standard"/>
              <w:snapToGrid w:val="0"/>
              <w:jc w:val="both"/>
              <w:rPr>
                <w:iCs/>
                <w:sz w:val="22"/>
                <w:szCs w:val="22"/>
                <w:lang w:val="pl-PL"/>
              </w:rPr>
            </w:pPr>
          </w:p>
          <w:p w14:paraId="7CAEA114" w14:textId="4284C0B3" w:rsidR="009E072C" w:rsidRPr="00A45ED9" w:rsidRDefault="009E072C" w:rsidP="009E072C">
            <w:pPr>
              <w:pStyle w:val="Standard"/>
              <w:snapToGrid w:val="0"/>
              <w:spacing w:before="60" w:after="60"/>
              <w:jc w:val="both"/>
              <w:rPr>
                <w:sz w:val="22"/>
                <w:szCs w:val="22"/>
                <w:lang w:val="pl-PL"/>
              </w:rPr>
            </w:pPr>
            <w:r w:rsidRPr="00A45ED9">
              <w:rPr>
                <w:iCs/>
                <w:color w:val="000000"/>
                <w:sz w:val="22"/>
                <w:szCs w:val="22"/>
                <w:lang w:val="pl-PL"/>
              </w:rPr>
              <w:lastRenderedPageBreak/>
              <w:t>Naturalne odnowienie drzewostanu: obecne, wypełniające dogodne do odnowienia miejsca, w szczególności naturalne luki i prześwietlenia, lub intensywnie pojawiające się w wyniku cięć obsiewnych, o składzie odpowiadającym składowi drzewostanu; przy rębniach niewymagające uzupełniania odnowieniem sztucznym więcej niż 10%.</w:t>
            </w:r>
          </w:p>
        </w:tc>
      </w:tr>
      <w:tr w:rsidR="009E072C" w:rsidRPr="00A45ED9" w14:paraId="26EEF0B6" w14:textId="77777777" w:rsidTr="00C90829">
        <w:trPr>
          <w:trHeight w:val="281"/>
        </w:trPr>
        <w:tc>
          <w:tcPr>
            <w:tcW w:w="704" w:type="dxa"/>
            <w:vMerge/>
          </w:tcPr>
          <w:p w14:paraId="3E29D724"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662F5259"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0770B1B" w14:textId="79E17302" w:rsidR="009E072C" w:rsidRPr="00A45ED9" w:rsidRDefault="009E072C" w:rsidP="007E79A0">
            <w:pPr>
              <w:pStyle w:val="Standard"/>
              <w:snapToGrid w:val="0"/>
              <w:jc w:val="center"/>
              <w:rPr>
                <w:sz w:val="22"/>
                <w:szCs w:val="22"/>
                <w:lang w:val="pl-PL"/>
              </w:rPr>
            </w:pPr>
            <w:r w:rsidRPr="00A45ED9">
              <w:rPr>
                <w:sz w:val="22"/>
                <w:szCs w:val="22"/>
                <w:lang w:val="pl-PL"/>
              </w:rPr>
              <w:t>Gatunki obce w drzewostanie</w:t>
            </w:r>
          </w:p>
        </w:tc>
        <w:tc>
          <w:tcPr>
            <w:tcW w:w="9610" w:type="dxa"/>
            <w:shd w:val="clear" w:color="auto" w:fill="auto"/>
            <w:vAlign w:val="center"/>
          </w:tcPr>
          <w:p w14:paraId="590607B7"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na </w:t>
            </w:r>
            <w:r w:rsidRPr="00A45ED9">
              <w:rPr>
                <w:sz w:val="22"/>
                <w:szCs w:val="22"/>
                <w:lang w:val="pl-PL"/>
              </w:rPr>
              <w:t>co najmniej 65 % powierzchni siedliska</w:t>
            </w:r>
            <w:r w:rsidRPr="00A45ED9">
              <w:rPr>
                <w:color w:val="000000"/>
                <w:sz w:val="22"/>
                <w:szCs w:val="22"/>
                <w:lang w:val="pl-PL"/>
              </w:rPr>
              <w:t>.</w:t>
            </w:r>
          </w:p>
          <w:p w14:paraId="31F1DE6E" w14:textId="5762D836"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Gatunki obce w drzewostanie &lt; 5%, tj. najwyżej miejscami lub pojedynczo i nie odnawiające się.</w:t>
            </w:r>
          </w:p>
        </w:tc>
      </w:tr>
      <w:tr w:rsidR="009E072C" w:rsidRPr="00A45ED9" w14:paraId="40BCEFA3" w14:textId="77777777" w:rsidTr="00C90829">
        <w:trPr>
          <w:trHeight w:val="281"/>
        </w:trPr>
        <w:tc>
          <w:tcPr>
            <w:tcW w:w="704" w:type="dxa"/>
            <w:vMerge/>
          </w:tcPr>
          <w:p w14:paraId="37954C49"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759C6203"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0B68F099" w14:textId="060D7C91" w:rsidR="009E072C" w:rsidRPr="00A45ED9" w:rsidRDefault="009E072C" w:rsidP="007E79A0">
            <w:pPr>
              <w:pStyle w:val="Standard"/>
              <w:snapToGrid w:val="0"/>
              <w:jc w:val="center"/>
              <w:rPr>
                <w:sz w:val="22"/>
                <w:szCs w:val="22"/>
                <w:lang w:val="pl-PL"/>
              </w:rPr>
            </w:pPr>
            <w:r w:rsidRPr="00A45ED9">
              <w:rPr>
                <w:sz w:val="22"/>
                <w:szCs w:val="22"/>
                <w:lang w:val="pl-PL"/>
              </w:rPr>
              <w:t>Inwazyjne gatunki obce w podszycie i runie</w:t>
            </w:r>
          </w:p>
        </w:tc>
        <w:tc>
          <w:tcPr>
            <w:tcW w:w="9610" w:type="dxa"/>
            <w:shd w:val="clear" w:color="auto" w:fill="auto"/>
            <w:vAlign w:val="center"/>
          </w:tcPr>
          <w:p w14:paraId="4E707E32" w14:textId="77777777" w:rsidR="009E072C" w:rsidRPr="00A45ED9" w:rsidRDefault="009E072C" w:rsidP="009E072C">
            <w:pPr>
              <w:pStyle w:val="Standard"/>
              <w:snapToGrid w:val="0"/>
              <w:jc w:val="both"/>
              <w:rPr>
                <w:sz w:val="22"/>
                <w:szCs w:val="22"/>
                <w:lang w:val="pl-PL"/>
              </w:rPr>
            </w:pPr>
            <w:r w:rsidRPr="00A45ED9">
              <w:rPr>
                <w:color w:val="000000"/>
                <w:sz w:val="22"/>
                <w:szCs w:val="22"/>
                <w:lang w:val="pl-PL"/>
              </w:rPr>
              <w:t xml:space="preserve">Utrzymanie wskaźnika na poziomie FV na </w:t>
            </w:r>
            <w:r w:rsidRPr="00A45ED9">
              <w:rPr>
                <w:sz w:val="22"/>
                <w:szCs w:val="22"/>
                <w:lang w:val="pl-PL"/>
              </w:rPr>
              <w:t>co najmniej 90 % powierzchni siedliska.</w:t>
            </w:r>
          </w:p>
          <w:p w14:paraId="53E2D973" w14:textId="4CA634DB"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 xml:space="preserve">Brak lub pojedyncze osobniki jednego gatunku obcego (niecierpek drobnokwiatowy </w:t>
            </w:r>
            <w:r w:rsidRPr="00A45ED9">
              <w:rPr>
                <w:i/>
                <w:color w:val="000000"/>
                <w:sz w:val="22"/>
                <w:szCs w:val="22"/>
                <w:lang w:val="pl-PL"/>
              </w:rPr>
              <w:t>Impatiens parviflora</w:t>
            </w:r>
            <w:r w:rsidRPr="00A45ED9">
              <w:rPr>
                <w:color w:val="000000"/>
                <w:sz w:val="22"/>
                <w:szCs w:val="22"/>
                <w:lang w:val="pl-PL"/>
              </w:rPr>
              <w:t>).</w:t>
            </w:r>
          </w:p>
        </w:tc>
      </w:tr>
      <w:tr w:rsidR="009E072C" w:rsidRPr="00A45ED9" w14:paraId="2D1782E5" w14:textId="77777777" w:rsidTr="00C90829">
        <w:trPr>
          <w:trHeight w:val="281"/>
        </w:trPr>
        <w:tc>
          <w:tcPr>
            <w:tcW w:w="704" w:type="dxa"/>
            <w:vMerge/>
          </w:tcPr>
          <w:p w14:paraId="028397AB"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0D5E39B1"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72D7E21D" w14:textId="1F469698" w:rsidR="009E072C" w:rsidRPr="00A45ED9" w:rsidRDefault="009E072C" w:rsidP="007E79A0">
            <w:pPr>
              <w:pStyle w:val="Standard"/>
              <w:snapToGrid w:val="0"/>
              <w:jc w:val="center"/>
              <w:rPr>
                <w:sz w:val="22"/>
                <w:szCs w:val="22"/>
                <w:lang w:val="pl-PL"/>
              </w:rPr>
            </w:pPr>
            <w:r w:rsidRPr="00A45ED9">
              <w:rPr>
                <w:sz w:val="22"/>
                <w:szCs w:val="22"/>
                <w:lang w:val="pl-PL"/>
              </w:rPr>
              <w:t>Martwe drewno (łączne zasoby)</w:t>
            </w:r>
          </w:p>
        </w:tc>
        <w:tc>
          <w:tcPr>
            <w:tcW w:w="9610" w:type="dxa"/>
            <w:shd w:val="clear" w:color="auto" w:fill="auto"/>
            <w:vAlign w:val="center"/>
          </w:tcPr>
          <w:p w14:paraId="720C014F" w14:textId="77777777" w:rsidR="009E072C" w:rsidRPr="00A45ED9" w:rsidRDefault="009E072C" w:rsidP="009E072C">
            <w:pPr>
              <w:pStyle w:val="Standard"/>
              <w:snapToGrid w:val="0"/>
              <w:jc w:val="both"/>
              <w:rPr>
                <w:sz w:val="22"/>
                <w:szCs w:val="22"/>
                <w:lang w:val="pl-PL"/>
              </w:rPr>
            </w:pPr>
            <w:r w:rsidRPr="00A45ED9">
              <w:rPr>
                <w:sz w:val="22"/>
                <w:szCs w:val="22"/>
                <w:lang w:val="pl-PL"/>
              </w:rPr>
              <w:t xml:space="preserve">Utrzymanie wskaźnika na poziomie oceny FV, na powierzchni siedliska. </w:t>
            </w:r>
          </w:p>
          <w:p w14:paraId="5F0A66D3" w14:textId="519B2776" w:rsidR="009E072C" w:rsidRPr="00A45ED9" w:rsidRDefault="009E072C" w:rsidP="009E072C">
            <w:pPr>
              <w:pStyle w:val="Standard"/>
              <w:snapToGrid w:val="0"/>
              <w:spacing w:before="60" w:after="60"/>
              <w:jc w:val="both"/>
              <w:rPr>
                <w:sz w:val="22"/>
                <w:szCs w:val="22"/>
                <w:lang w:val="pl-PL"/>
              </w:rPr>
            </w:pPr>
            <w:r w:rsidRPr="00A45ED9">
              <w:rPr>
                <w:iCs/>
                <w:color w:val="000000"/>
                <w:sz w:val="22"/>
                <w:szCs w:val="22"/>
                <w:lang w:val="pl-PL"/>
              </w:rPr>
              <w:t>Martwe drewno (łączne zasoby): &gt;20 m3 /ha.</w:t>
            </w:r>
          </w:p>
        </w:tc>
      </w:tr>
      <w:tr w:rsidR="009E072C" w:rsidRPr="00A45ED9" w14:paraId="25A5DE09" w14:textId="77777777" w:rsidTr="00C90829">
        <w:trPr>
          <w:trHeight w:val="281"/>
        </w:trPr>
        <w:tc>
          <w:tcPr>
            <w:tcW w:w="704" w:type="dxa"/>
            <w:vMerge/>
          </w:tcPr>
          <w:p w14:paraId="7A0567A6"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3C66510D"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3C404267" w14:textId="4845CC22" w:rsidR="009E072C" w:rsidRPr="00A45ED9" w:rsidRDefault="009E072C" w:rsidP="007E79A0">
            <w:pPr>
              <w:pStyle w:val="Standard"/>
              <w:snapToGrid w:val="0"/>
              <w:jc w:val="center"/>
              <w:rPr>
                <w:sz w:val="22"/>
                <w:szCs w:val="22"/>
                <w:lang w:val="pl-PL"/>
              </w:rPr>
            </w:pPr>
            <w:r w:rsidRPr="00A45ED9">
              <w:rPr>
                <w:sz w:val="22"/>
                <w:szCs w:val="22"/>
                <w:lang w:val="pl-PL"/>
              </w:rPr>
              <w:t>Martwe drewno grubowymiarowe</w:t>
            </w:r>
          </w:p>
        </w:tc>
        <w:tc>
          <w:tcPr>
            <w:tcW w:w="9610" w:type="dxa"/>
            <w:shd w:val="clear" w:color="auto" w:fill="auto"/>
            <w:vAlign w:val="center"/>
          </w:tcPr>
          <w:p w14:paraId="38B50E44" w14:textId="77777777" w:rsidR="009E072C" w:rsidRPr="00A45ED9" w:rsidRDefault="009E072C" w:rsidP="009E072C">
            <w:pPr>
              <w:pStyle w:val="Standard"/>
              <w:snapToGrid w:val="0"/>
              <w:jc w:val="both"/>
              <w:rPr>
                <w:sz w:val="22"/>
                <w:szCs w:val="22"/>
                <w:lang w:val="pl-PL"/>
              </w:rPr>
            </w:pPr>
            <w:r w:rsidRPr="00A45ED9">
              <w:rPr>
                <w:sz w:val="22"/>
                <w:szCs w:val="22"/>
                <w:lang w:val="pl-PL"/>
              </w:rPr>
              <w:t>Utrzymanie wskaźnika na poziomie oceny FV.</w:t>
            </w:r>
          </w:p>
          <w:p w14:paraId="08404BBA" w14:textId="14F11F59" w:rsidR="009E072C" w:rsidRPr="00A45ED9" w:rsidRDefault="009E072C" w:rsidP="009E072C">
            <w:pPr>
              <w:pStyle w:val="Standard"/>
              <w:snapToGrid w:val="0"/>
              <w:spacing w:before="60" w:after="60"/>
              <w:jc w:val="both"/>
              <w:rPr>
                <w:sz w:val="22"/>
                <w:szCs w:val="22"/>
                <w:lang w:val="pl-PL"/>
              </w:rPr>
            </w:pPr>
            <w:r w:rsidRPr="00A45ED9">
              <w:rPr>
                <w:iCs/>
                <w:color w:val="000000"/>
                <w:sz w:val="22"/>
                <w:szCs w:val="22"/>
                <w:lang w:val="pl-PL"/>
              </w:rPr>
              <w:t>Martwe drewno grubowymiarowe &gt;5 szt./ha.</w:t>
            </w:r>
          </w:p>
        </w:tc>
      </w:tr>
      <w:tr w:rsidR="009E072C" w:rsidRPr="00A45ED9" w14:paraId="0E320B26" w14:textId="77777777" w:rsidTr="00C90829">
        <w:trPr>
          <w:trHeight w:val="281"/>
        </w:trPr>
        <w:tc>
          <w:tcPr>
            <w:tcW w:w="704" w:type="dxa"/>
            <w:vMerge/>
          </w:tcPr>
          <w:p w14:paraId="6743D356"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300F82CE"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5E19D647" w14:textId="014C483E" w:rsidR="009E072C" w:rsidRPr="00A45ED9" w:rsidRDefault="009E072C" w:rsidP="007E79A0">
            <w:pPr>
              <w:pStyle w:val="Standard"/>
              <w:snapToGrid w:val="0"/>
              <w:jc w:val="center"/>
              <w:rPr>
                <w:sz w:val="22"/>
                <w:szCs w:val="22"/>
                <w:lang w:val="pl-PL"/>
              </w:rPr>
            </w:pPr>
            <w:r w:rsidRPr="00A45ED9">
              <w:rPr>
                <w:sz w:val="22"/>
                <w:szCs w:val="22"/>
                <w:lang w:val="pl-PL"/>
              </w:rPr>
              <w:t>Mikrosiedliska drzewne (drzewa biocenotyczne)</w:t>
            </w:r>
          </w:p>
        </w:tc>
        <w:tc>
          <w:tcPr>
            <w:tcW w:w="9610" w:type="dxa"/>
            <w:shd w:val="clear" w:color="auto" w:fill="auto"/>
            <w:vAlign w:val="center"/>
          </w:tcPr>
          <w:p w14:paraId="667C1AC2" w14:textId="77777777" w:rsidR="009E072C" w:rsidRPr="00A45ED9" w:rsidRDefault="009E072C" w:rsidP="009E072C">
            <w:pPr>
              <w:pStyle w:val="Standard"/>
              <w:snapToGrid w:val="0"/>
              <w:jc w:val="both"/>
              <w:rPr>
                <w:sz w:val="22"/>
                <w:szCs w:val="22"/>
                <w:lang w:val="pl-PL"/>
              </w:rPr>
            </w:pPr>
            <w:r w:rsidRPr="00A45ED9">
              <w:rPr>
                <w:sz w:val="22"/>
                <w:szCs w:val="22"/>
                <w:lang w:val="pl-PL"/>
              </w:rPr>
              <w:t>Utrzymanie wskaźnika na poziomie oceny FV.</w:t>
            </w:r>
          </w:p>
          <w:p w14:paraId="203E3989" w14:textId="421B7312" w:rsidR="009E072C" w:rsidRPr="00A45ED9" w:rsidRDefault="009E072C" w:rsidP="009E072C">
            <w:pPr>
              <w:pStyle w:val="Standard"/>
              <w:snapToGrid w:val="0"/>
              <w:spacing w:before="60" w:after="60"/>
              <w:jc w:val="both"/>
              <w:rPr>
                <w:sz w:val="22"/>
                <w:szCs w:val="22"/>
                <w:lang w:val="pl-PL"/>
              </w:rPr>
            </w:pPr>
            <w:r w:rsidRPr="00A45ED9">
              <w:rPr>
                <w:iCs/>
                <w:color w:val="000000"/>
                <w:sz w:val="22"/>
                <w:szCs w:val="22"/>
                <w:lang w:val="pl-PL"/>
              </w:rPr>
              <w:t>Mikrosiedliska drzewne (drzewa biocenotyczne): &gt;20 szt./ha</w:t>
            </w:r>
          </w:p>
        </w:tc>
      </w:tr>
      <w:tr w:rsidR="009E072C" w:rsidRPr="00A45ED9" w14:paraId="7F42569C" w14:textId="77777777" w:rsidTr="00C90829">
        <w:trPr>
          <w:trHeight w:val="281"/>
        </w:trPr>
        <w:tc>
          <w:tcPr>
            <w:tcW w:w="704" w:type="dxa"/>
            <w:vMerge/>
          </w:tcPr>
          <w:p w14:paraId="30E26422"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78283015"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38C99DA0" w14:textId="321A62BD" w:rsidR="009E072C" w:rsidRPr="00A45ED9" w:rsidRDefault="009E072C" w:rsidP="007E79A0">
            <w:pPr>
              <w:pStyle w:val="Standard"/>
              <w:snapToGrid w:val="0"/>
              <w:jc w:val="center"/>
              <w:rPr>
                <w:sz w:val="22"/>
                <w:szCs w:val="22"/>
                <w:lang w:val="pl-PL"/>
              </w:rPr>
            </w:pPr>
            <w:r w:rsidRPr="00A45ED9">
              <w:rPr>
                <w:sz w:val="22"/>
                <w:szCs w:val="22"/>
                <w:lang w:val="pl-PL"/>
              </w:rPr>
              <w:t>Inne zniekształcenia, w tym zniszczenia runa i gleby związane z pozyskaniem drewna.</w:t>
            </w:r>
          </w:p>
        </w:tc>
        <w:tc>
          <w:tcPr>
            <w:tcW w:w="9610" w:type="dxa"/>
            <w:shd w:val="clear" w:color="auto" w:fill="auto"/>
            <w:vAlign w:val="center"/>
          </w:tcPr>
          <w:p w14:paraId="29B0D0AD" w14:textId="394AC766"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 xml:space="preserve">Utrzymanie wskaźnika na poziomie FV na </w:t>
            </w:r>
            <w:r w:rsidRPr="00A45ED9">
              <w:rPr>
                <w:sz w:val="22"/>
                <w:szCs w:val="22"/>
                <w:lang w:val="pl-PL"/>
              </w:rPr>
              <w:t>co najmniej 90 % powierzchni siedliska</w:t>
            </w:r>
            <w:r w:rsidRPr="00A45ED9">
              <w:rPr>
                <w:color w:val="000000"/>
                <w:sz w:val="22"/>
                <w:szCs w:val="22"/>
                <w:lang w:val="pl-PL"/>
              </w:rPr>
              <w:t>.</w:t>
            </w:r>
          </w:p>
        </w:tc>
      </w:tr>
      <w:tr w:rsidR="009E072C" w:rsidRPr="00A45ED9" w14:paraId="3BF5833D" w14:textId="77777777" w:rsidTr="00C90829">
        <w:trPr>
          <w:trHeight w:val="281"/>
        </w:trPr>
        <w:tc>
          <w:tcPr>
            <w:tcW w:w="704" w:type="dxa"/>
            <w:vMerge/>
          </w:tcPr>
          <w:p w14:paraId="2F018FBD"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69F4233E"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04D06CA0" w14:textId="77777777" w:rsidR="009E072C" w:rsidRPr="00A45ED9" w:rsidRDefault="009E072C" w:rsidP="007E79A0">
            <w:pPr>
              <w:autoSpaceDE w:val="0"/>
              <w:adjustRightInd w:val="0"/>
              <w:ind w:left="-20" w:right="131" w:firstLine="20"/>
              <w:jc w:val="center"/>
              <w:rPr>
                <w:sz w:val="22"/>
                <w:szCs w:val="22"/>
              </w:rPr>
            </w:pPr>
            <w:r w:rsidRPr="00A45ED9">
              <w:rPr>
                <w:sz w:val="22"/>
                <w:szCs w:val="22"/>
              </w:rPr>
              <w:t>Stan kluczowych dla różnorodności biologicznej gatunków lokalnie typowych dla siedliska (wskaźnik</w:t>
            </w:r>
          </w:p>
          <w:p w14:paraId="55F8FCB4" w14:textId="4AE3DE10" w:rsidR="009E072C" w:rsidRPr="00A45ED9" w:rsidRDefault="009E072C" w:rsidP="007E79A0">
            <w:pPr>
              <w:pStyle w:val="Standard"/>
              <w:snapToGrid w:val="0"/>
              <w:jc w:val="center"/>
              <w:rPr>
                <w:sz w:val="22"/>
                <w:szCs w:val="22"/>
                <w:lang w:val="pl-PL"/>
              </w:rPr>
            </w:pPr>
            <w:r w:rsidRPr="00A45ED9">
              <w:rPr>
                <w:sz w:val="22"/>
                <w:szCs w:val="22"/>
                <w:lang w:val="pl-PL"/>
              </w:rPr>
              <w:t>fakultatywny, stosować tylko, gdy są odpowiednie dane)</w:t>
            </w:r>
          </w:p>
        </w:tc>
        <w:tc>
          <w:tcPr>
            <w:tcW w:w="9610" w:type="dxa"/>
            <w:shd w:val="clear" w:color="auto" w:fill="auto"/>
            <w:vAlign w:val="center"/>
          </w:tcPr>
          <w:p w14:paraId="22CADE89"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w:t>
            </w:r>
          </w:p>
          <w:p w14:paraId="4C0376E8" w14:textId="5BC7F5A0"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Stan siedliska wszystkich lokalnie ważnych gatunków właściwy (FV).</w:t>
            </w:r>
          </w:p>
        </w:tc>
      </w:tr>
      <w:tr w:rsidR="009E072C" w:rsidRPr="00A45ED9" w14:paraId="40CB75D1" w14:textId="77777777" w:rsidTr="00C90829">
        <w:trPr>
          <w:trHeight w:val="281"/>
        </w:trPr>
        <w:tc>
          <w:tcPr>
            <w:tcW w:w="704" w:type="dxa"/>
            <w:vMerge/>
          </w:tcPr>
          <w:p w14:paraId="54B896A6"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48782FD4"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5CFA378" w14:textId="2126DC62" w:rsidR="009E072C" w:rsidRPr="00A45ED9" w:rsidRDefault="009E072C" w:rsidP="007E79A0">
            <w:pPr>
              <w:pStyle w:val="Standard"/>
              <w:snapToGrid w:val="0"/>
              <w:jc w:val="center"/>
              <w:rPr>
                <w:sz w:val="22"/>
                <w:szCs w:val="22"/>
                <w:lang w:val="pl-PL"/>
              </w:rPr>
            </w:pPr>
            <w:r w:rsidRPr="00A45ED9">
              <w:rPr>
                <w:sz w:val="22"/>
                <w:szCs w:val="22"/>
                <w:lang w:val="pl-PL"/>
              </w:rPr>
              <w:t>Ogólnie struktura i funkcje</w:t>
            </w:r>
          </w:p>
        </w:tc>
        <w:tc>
          <w:tcPr>
            <w:tcW w:w="9610" w:type="dxa"/>
            <w:shd w:val="clear" w:color="auto" w:fill="auto"/>
            <w:vAlign w:val="center"/>
          </w:tcPr>
          <w:p w14:paraId="6AE16C99"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w:t>
            </w:r>
          </w:p>
          <w:p w14:paraId="49BF0910" w14:textId="651010FB"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 xml:space="preserve">Utrzymanie wskaźnika kardynalnego na poziomie FV, a wskaźników dotyczących jakości co najmniej na poziomie U1 (mają znikomy wpływ na stan zachowania ekosystemu i jego zdolność do podtrzymywania </w:t>
            </w:r>
            <w:r w:rsidRPr="00A45ED9">
              <w:rPr>
                <w:color w:val="000000"/>
                <w:sz w:val="22"/>
                <w:szCs w:val="22"/>
                <w:lang w:val="pl-PL"/>
              </w:rPr>
              <w:lastRenderedPageBreak/>
              <w:t>różnorodności biologicznej), z zastrzeżeniem, że co najmniej jeden z 3 wskaźników dotyczących martwego drewna i drzew biocenotycznych powinien być oceniony na FV.</w:t>
            </w:r>
          </w:p>
        </w:tc>
      </w:tr>
      <w:tr w:rsidR="009E072C" w:rsidRPr="00A45ED9" w14:paraId="27521E35" w14:textId="77777777" w:rsidTr="00C90829">
        <w:trPr>
          <w:trHeight w:val="281"/>
        </w:trPr>
        <w:tc>
          <w:tcPr>
            <w:tcW w:w="704" w:type="dxa"/>
            <w:vMerge/>
          </w:tcPr>
          <w:p w14:paraId="70451FC1"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26E01924"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7E312E73" w14:textId="34686080" w:rsidR="009E072C" w:rsidRPr="00A45ED9" w:rsidRDefault="009E072C" w:rsidP="007E79A0">
            <w:pPr>
              <w:pStyle w:val="Standard"/>
              <w:snapToGrid w:val="0"/>
              <w:jc w:val="center"/>
              <w:rPr>
                <w:sz w:val="22"/>
                <w:szCs w:val="22"/>
                <w:lang w:val="pl-PL"/>
              </w:rPr>
            </w:pPr>
            <w:r w:rsidRPr="00A45ED9">
              <w:rPr>
                <w:sz w:val="22"/>
                <w:szCs w:val="22"/>
                <w:lang w:val="pl-PL"/>
              </w:rPr>
              <w:t>Perspektywy ochrony</w:t>
            </w:r>
          </w:p>
        </w:tc>
        <w:tc>
          <w:tcPr>
            <w:tcW w:w="9610" w:type="dxa"/>
            <w:shd w:val="clear" w:color="auto" w:fill="auto"/>
            <w:vAlign w:val="center"/>
          </w:tcPr>
          <w:p w14:paraId="234AD6E2"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wskaźnika na poziomie FV. </w:t>
            </w:r>
          </w:p>
          <w:p w14:paraId="3FCFF0B5" w14:textId="0922616A"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Brak zagrożeń i negatywnych trendów. Zachowanie siedliska w stanie niepogorszonym w perspektywie 10–20 lat jest niemal pewne.</w:t>
            </w:r>
          </w:p>
        </w:tc>
      </w:tr>
      <w:tr w:rsidR="009E072C" w:rsidRPr="00A45ED9" w14:paraId="7B905CF1" w14:textId="77777777" w:rsidTr="00310010">
        <w:trPr>
          <w:trHeight w:val="281"/>
        </w:trPr>
        <w:tc>
          <w:tcPr>
            <w:tcW w:w="704" w:type="dxa"/>
            <w:vMerge w:val="restart"/>
          </w:tcPr>
          <w:p w14:paraId="145D918D" w14:textId="212C9F81" w:rsidR="009E072C" w:rsidRPr="00A45ED9" w:rsidRDefault="009E072C" w:rsidP="009E072C">
            <w:pPr>
              <w:pStyle w:val="Akapitzlist"/>
              <w:autoSpaceDE w:val="0"/>
              <w:autoSpaceDN w:val="0"/>
              <w:adjustRightInd w:val="0"/>
              <w:spacing w:before="60" w:after="60"/>
              <w:ind w:left="0"/>
              <w:rPr>
                <w:bCs/>
                <w:sz w:val="22"/>
                <w:szCs w:val="22"/>
              </w:rPr>
            </w:pPr>
            <w:r w:rsidRPr="00A45ED9">
              <w:rPr>
                <w:bCs/>
                <w:sz w:val="22"/>
                <w:szCs w:val="22"/>
              </w:rPr>
              <w:t>2.</w:t>
            </w:r>
          </w:p>
        </w:tc>
        <w:tc>
          <w:tcPr>
            <w:tcW w:w="1985" w:type="dxa"/>
            <w:vMerge w:val="restart"/>
            <w:vAlign w:val="center"/>
          </w:tcPr>
          <w:p w14:paraId="64A58DD6" w14:textId="10D1D577" w:rsidR="009E072C" w:rsidRPr="00A45ED9" w:rsidRDefault="009E072C" w:rsidP="009E072C">
            <w:pPr>
              <w:pStyle w:val="Akapitzlist"/>
              <w:autoSpaceDE w:val="0"/>
              <w:autoSpaceDN w:val="0"/>
              <w:adjustRightInd w:val="0"/>
              <w:spacing w:before="60" w:after="60"/>
              <w:ind w:left="0"/>
              <w:rPr>
                <w:sz w:val="22"/>
                <w:szCs w:val="22"/>
              </w:rPr>
            </w:pPr>
            <w:r w:rsidRPr="00A45ED9">
              <w:rPr>
                <w:b/>
                <w:bCs/>
                <w:sz w:val="22"/>
                <w:szCs w:val="22"/>
              </w:rPr>
              <w:t>*9180</w:t>
            </w:r>
            <w:r w:rsidRPr="00A45ED9">
              <w:rPr>
                <w:sz w:val="22"/>
                <w:szCs w:val="22"/>
              </w:rPr>
              <w:t xml:space="preserve"> Jaworzyny i lasy klonowo-lipowe na stokach i zboczach </w:t>
            </w:r>
            <w:r w:rsidRPr="00A45ED9">
              <w:rPr>
                <w:i/>
                <w:iCs/>
                <w:sz w:val="22"/>
                <w:szCs w:val="22"/>
              </w:rPr>
              <w:t>Tilio platyphyllis-Acerion pseudoplatani</w:t>
            </w:r>
          </w:p>
        </w:tc>
        <w:tc>
          <w:tcPr>
            <w:tcW w:w="2268" w:type="dxa"/>
            <w:vAlign w:val="center"/>
          </w:tcPr>
          <w:p w14:paraId="5CF6F578" w14:textId="77777777" w:rsidR="009E072C" w:rsidRPr="00A45ED9" w:rsidRDefault="009E072C" w:rsidP="007E79A0">
            <w:pPr>
              <w:autoSpaceDE w:val="0"/>
              <w:adjustRightInd w:val="0"/>
              <w:ind w:left="-20" w:right="131" w:firstLine="20"/>
              <w:jc w:val="center"/>
              <w:rPr>
                <w:sz w:val="22"/>
                <w:szCs w:val="22"/>
              </w:rPr>
            </w:pPr>
            <w:r w:rsidRPr="00A45ED9">
              <w:rPr>
                <w:sz w:val="22"/>
                <w:szCs w:val="22"/>
              </w:rPr>
              <w:t>Powierzchnia siedliska</w:t>
            </w:r>
          </w:p>
          <w:p w14:paraId="3E3F2CC0" w14:textId="77777777" w:rsidR="009E072C" w:rsidRPr="00A45ED9" w:rsidRDefault="009E072C" w:rsidP="007E79A0">
            <w:pPr>
              <w:pStyle w:val="Standard"/>
              <w:snapToGrid w:val="0"/>
              <w:jc w:val="center"/>
              <w:rPr>
                <w:sz w:val="22"/>
                <w:szCs w:val="22"/>
                <w:lang w:val="pl-PL"/>
              </w:rPr>
            </w:pPr>
          </w:p>
        </w:tc>
        <w:tc>
          <w:tcPr>
            <w:tcW w:w="9610" w:type="dxa"/>
            <w:shd w:val="clear" w:color="auto" w:fill="auto"/>
            <w:vAlign w:val="center"/>
          </w:tcPr>
          <w:p w14:paraId="18A48BB5" w14:textId="01663E44" w:rsidR="009E072C" w:rsidRPr="00A45ED9" w:rsidRDefault="00223377" w:rsidP="00B52C53">
            <w:pPr>
              <w:pStyle w:val="Standard"/>
              <w:snapToGrid w:val="0"/>
              <w:jc w:val="both"/>
              <w:rPr>
                <w:color w:val="000000"/>
                <w:sz w:val="22"/>
                <w:szCs w:val="22"/>
                <w:lang w:val="pl-PL"/>
              </w:rPr>
            </w:pPr>
            <w:r w:rsidRPr="00A45ED9">
              <w:rPr>
                <w:iCs/>
                <w:color w:val="000000"/>
                <w:sz w:val="22"/>
                <w:szCs w:val="22"/>
                <w:lang w:val="pl-PL"/>
              </w:rPr>
              <w:t xml:space="preserve">Dla wszystkich płatów siedliska w obszarze: Utrzymanie oceny wskaźnika na poziomie FV. Utrzymanie stabilnej </w:t>
            </w:r>
            <w:r w:rsidRPr="00A45ED9">
              <w:rPr>
                <w:iCs/>
                <w:sz w:val="22"/>
                <w:szCs w:val="22"/>
                <w:lang w:val="pl-PL"/>
              </w:rPr>
              <w:t xml:space="preserve">powierzchni siedliska z uwzględnieniem naturalnych procesów. Siedlisko w obszarze Natura 2000 występuje w </w:t>
            </w:r>
            <w:r w:rsidR="00B52C53" w:rsidRPr="00A45ED9">
              <w:rPr>
                <w:iCs/>
                <w:sz w:val="22"/>
                <w:szCs w:val="22"/>
                <w:lang w:val="pl-PL"/>
              </w:rPr>
              <w:t>8</w:t>
            </w:r>
            <w:r w:rsidRPr="00A45ED9">
              <w:rPr>
                <w:iCs/>
                <w:sz w:val="22"/>
                <w:szCs w:val="22"/>
                <w:lang w:val="pl-PL"/>
              </w:rPr>
              <w:t xml:space="preserve"> płatach o łącznej powierzchni </w:t>
            </w:r>
            <w:r w:rsidR="00B52C53" w:rsidRPr="00A45ED9">
              <w:rPr>
                <w:iCs/>
                <w:sz w:val="22"/>
                <w:szCs w:val="22"/>
                <w:lang w:val="pl-PL"/>
              </w:rPr>
              <w:t>8,0</w:t>
            </w:r>
            <w:r w:rsidRPr="00A45ED9">
              <w:rPr>
                <w:iCs/>
                <w:sz w:val="22"/>
                <w:szCs w:val="22"/>
                <w:lang w:val="pl-PL"/>
              </w:rPr>
              <w:t xml:space="preserve"> ha.</w:t>
            </w:r>
          </w:p>
        </w:tc>
      </w:tr>
      <w:tr w:rsidR="009E072C" w:rsidRPr="00A45ED9" w14:paraId="35A15476" w14:textId="77777777" w:rsidTr="00310010">
        <w:trPr>
          <w:trHeight w:val="281"/>
        </w:trPr>
        <w:tc>
          <w:tcPr>
            <w:tcW w:w="704" w:type="dxa"/>
            <w:vMerge/>
          </w:tcPr>
          <w:p w14:paraId="3F3BA316"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6DEC630C"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20A0BE52" w14:textId="31318E94" w:rsidR="009E072C" w:rsidRPr="00A45ED9" w:rsidRDefault="009E072C" w:rsidP="007E79A0">
            <w:pPr>
              <w:pStyle w:val="Standard"/>
              <w:snapToGrid w:val="0"/>
              <w:jc w:val="center"/>
              <w:rPr>
                <w:sz w:val="22"/>
                <w:szCs w:val="22"/>
                <w:lang w:val="pl-PL"/>
              </w:rPr>
            </w:pPr>
            <w:r w:rsidRPr="00A45ED9">
              <w:rPr>
                <w:sz w:val="22"/>
                <w:szCs w:val="22"/>
                <w:lang w:val="pl-PL"/>
              </w:rPr>
              <w:t>Gatunki charakterystyczne</w:t>
            </w:r>
          </w:p>
        </w:tc>
        <w:tc>
          <w:tcPr>
            <w:tcW w:w="9610" w:type="dxa"/>
            <w:shd w:val="clear" w:color="auto" w:fill="auto"/>
            <w:vAlign w:val="center"/>
          </w:tcPr>
          <w:p w14:paraId="553781E1"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51B2061C" w14:textId="4D7E84D5"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Gatunki charakterystyczne : &gt;5 gatunków, charakterystycznych dla warunków lokalnych (w tym min. dwa gatunki charakterystyczne w drzewostanie).</w:t>
            </w:r>
          </w:p>
        </w:tc>
      </w:tr>
      <w:tr w:rsidR="009E072C" w:rsidRPr="00A45ED9" w14:paraId="216A942D" w14:textId="77777777" w:rsidTr="00310010">
        <w:trPr>
          <w:trHeight w:val="281"/>
        </w:trPr>
        <w:tc>
          <w:tcPr>
            <w:tcW w:w="704" w:type="dxa"/>
            <w:vMerge/>
          </w:tcPr>
          <w:p w14:paraId="2D9EB7E9"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3D02439B"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1AE8629C" w14:textId="09BAAF08" w:rsidR="009E072C" w:rsidRPr="00A45ED9" w:rsidRDefault="009E072C" w:rsidP="007E79A0">
            <w:pPr>
              <w:pStyle w:val="Standard"/>
              <w:snapToGrid w:val="0"/>
              <w:jc w:val="center"/>
              <w:rPr>
                <w:sz w:val="22"/>
                <w:szCs w:val="22"/>
                <w:lang w:val="pl-PL"/>
              </w:rPr>
            </w:pPr>
            <w:r w:rsidRPr="00A45ED9">
              <w:rPr>
                <w:sz w:val="22"/>
                <w:szCs w:val="22"/>
                <w:lang w:val="pl-PL"/>
              </w:rPr>
              <w:t>Gatunki dominujące</w:t>
            </w:r>
          </w:p>
        </w:tc>
        <w:tc>
          <w:tcPr>
            <w:tcW w:w="9610" w:type="dxa"/>
            <w:shd w:val="clear" w:color="auto" w:fill="auto"/>
            <w:vAlign w:val="center"/>
          </w:tcPr>
          <w:p w14:paraId="59D97C9A"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601BB138" w14:textId="078E10B7"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 xml:space="preserve">Możliwe występowanie facjalne gatunków z klasy </w:t>
            </w:r>
            <w:r w:rsidRPr="00A45ED9">
              <w:rPr>
                <w:i/>
                <w:iCs/>
                <w:color w:val="000000"/>
                <w:sz w:val="22"/>
                <w:szCs w:val="22"/>
                <w:lang w:val="pl-PL"/>
              </w:rPr>
              <w:t>Querco-Fagetea</w:t>
            </w:r>
            <w:r w:rsidRPr="00A45ED9">
              <w:rPr>
                <w:color w:val="000000"/>
                <w:sz w:val="22"/>
                <w:szCs w:val="22"/>
                <w:lang w:val="pl-PL"/>
              </w:rPr>
              <w:t>, sporadyczny udział gatunków porębowych i inwazyjnych.</w:t>
            </w:r>
          </w:p>
        </w:tc>
      </w:tr>
      <w:tr w:rsidR="009E072C" w:rsidRPr="00A45ED9" w14:paraId="0416B04B" w14:textId="77777777" w:rsidTr="00310010">
        <w:trPr>
          <w:trHeight w:val="281"/>
        </w:trPr>
        <w:tc>
          <w:tcPr>
            <w:tcW w:w="704" w:type="dxa"/>
            <w:vMerge/>
          </w:tcPr>
          <w:p w14:paraId="10C34C3B"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2F502AA8"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318143DA" w14:textId="7023FE1D" w:rsidR="009E072C" w:rsidRPr="00A45ED9" w:rsidRDefault="009E072C" w:rsidP="007E79A0">
            <w:pPr>
              <w:pStyle w:val="Standard"/>
              <w:snapToGrid w:val="0"/>
              <w:jc w:val="center"/>
              <w:rPr>
                <w:sz w:val="22"/>
                <w:szCs w:val="22"/>
                <w:lang w:val="pl-PL"/>
              </w:rPr>
            </w:pPr>
            <w:r w:rsidRPr="00A45ED9">
              <w:rPr>
                <w:sz w:val="22"/>
                <w:szCs w:val="22"/>
                <w:lang w:val="pl-PL"/>
              </w:rPr>
              <w:t>Obce gatunki inwazyjne</w:t>
            </w:r>
          </w:p>
        </w:tc>
        <w:tc>
          <w:tcPr>
            <w:tcW w:w="9610" w:type="dxa"/>
            <w:shd w:val="clear" w:color="auto" w:fill="auto"/>
            <w:vAlign w:val="center"/>
          </w:tcPr>
          <w:p w14:paraId="2FD8A33C"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4714CD59" w14:textId="24FB02A6"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Nie występują gatunki obce inwazyjne lub sporadycznie występują pojedyncze osobniki.</w:t>
            </w:r>
          </w:p>
        </w:tc>
      </w:tr>
      <w:tr w:rsidR="009E072C" w:rsidRPr="00A45ED9" w14:paraId="506DB6DA" w14:textId="77777777" w:rsidTr="00310010">
        <w:trPr>
          <w:trHeight w:val="281"/>
        </w:trPr>
        <w:tc>
          <w:tcPr>
            <w:tcW w:w="704" w:type="dxa"/>
            <w:vMerge/>
          </w:tcPr>
          <w:p w14:paraId="7575E25E"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467A2809"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575EACB9" w14:textId="4CA16994" w:rsidR="009E072C" w:rsidRPr="00A45ED9" w:rsidRDefault="009E072C" w:rsidP="007E79A0">
            <w:pPr>
              <w:pStyle w:val="Standard"/>
              <w:snapToGrid w:val="0"/>
              <w:jc w:val="center"/>
              <w:rPr>
                <w:sz w:val="22"/>
                <w:szCs w:val="22"/>
                <w:lang w:val="pl-PL"/>
              </w:rPr>
            </w:pPr>
            <w:r w:rsidRPr="00A45ED9">
              <w:rPr>
                <w:sz w:val="22"/>
                <w:szCs w:val="22"/>
                <w:lang w:val="pl-PL"/>
              </w:rPr>
              <w:t>Rodzime gatunki ekspansywne roślin zielnych</w:t>
            </w:r>
          </w:p>
        </w:tc>
        <w:tc>
          <w:tcPr>
            <w:tcW w:w="9610" w:type="dxa"/>
            <w:shd w:val="clear" w:color="auto" w:fill="auto"/>
            <w:vAlign w:val="center"/>
          </w:tcPr>
          <w:p w14:paraId="675C3359"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66150BAC" w14:textId="572ABC57"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 xml:space="preserve">Możliwe występowanie facjalne gatunków z klasy </w:t>
            </w:r>
            <w:r w:rsidRPr="00A45ED9">
              <w:rPr>
                <w:i/>
                <w:iCs/>
                <w:color w:val="000000"/>
                <w:sz w:val="22"/>
                <w:szCs w:val="22"/>
                <w:lang w:val="pl-PL"/>
              </w:rPr>
              <w:t>Querco-Fagetea</w:t>
            </w:r>
            <w:r w:rsidRPr="00A45ED9">
              <w:rPr>
                <w:color w:val="000000"/>
                <w:sz w:val="22"/>
                <w:szCs w:val="22"/>
                <w:lang w:val="pl-PL"/>
              </w:rPr>
              <w:t xml:space="preserve"> (przytulia wonna </w:t>
            </w:r>
            <w:r w:rsidRPr="00A45ED9">
              <w:rPr>
                <w:i/>
                <w:iCs/>
                <w:color w:val="000000"/>
                <w:sz w:val="22"/>
                <w:szCs w:val="22"/>
                <w:lang w:val="pl-PL"/>
              </w:rPr>
              <w:t>Galium odoratum</w:t>
            </w:r>
            <w:r w:rsidRPr="00A45ED9">
              <w:rPr>
                <w:color w:val="000000"/>
                <w:sz w:val="22"/>
                <w:szCs w:val="22"/>
                <w:lang w:val="pl-PL"/>
              </w:rPr>
              <w:t xml:space="preserve">, szczyr trwały </w:t>
            </w:r>
            <w:r w:rsidRPr="00A45ED9">
              <w:rPr>
                <w:i/>
                <w:iCs/>
                <w:color w:val="000000"/>
                <w:sz w:val="22"/>
                <w:szCs w:val="22"/>
                <w:lang w:val="pl-PL"/>
              </w:rPr>
              <w:t>Mercurialis perennis</w:t>
            </w:r>
            <w:r w:rsidRPr="00A45ED9">
              <w:rPr>
                <w:color w:val="000000"/>
                <w:sz w:val="22"/>
                <w:szCs w:val="22"/>
                <w:lang w:val="pl-PL"/>
              </w:rPr>
              <w:t xml:space="preserve">, gajowiec żółty </w:t>
            </w:r>
            <w:r w:rsidRPr="00A45ED9">
              <w:rPr>
                <w:i/>
                <w:iCs/>
                <w:color w:val="000000"/>
                <w:sz w:val="22"/>
                <w:szCs w:val="22"/>
                <w:lang w:val="pl-PL"/>
              </w:rPr>
              <w:t>Galeobdolon luteum</w:t>
            </w:r>
            <w:r w:rsidRPr="00A45ED9">
              <w:rPr>
                <w:color w:val="000000"/>
                <w:sz w:val="22"/>
                <w:szCs w:val="22"/>
                <w:lang w:val="pl-PL"/>
              </w:rPr>
              <w:t>), co jest zjawiskiem naturalnym w niektórych płatach siedliska; sporadyczny udział gatunków porębowych i inwazyjnych.</w:t>
            </w:r>
          </w:p>
        </w:tc>
      </w:tr>
      <w:tr w:rsidR="009E072C" w:rsidRPr="00A45ED9" w14:paraId="7EB17977" w14:textId="77777777" w:rsidTr="00310010">
        <w:trPr>
          <w:trHeight w:val="281"/>
        </w:trPr>
        <w:tc>
          <w:tcPr>
            <w:tcW w:w="704" w:type="dxa"/>
            <w:vMerge/>
          </w:tcPr>
          <w:p w14:paraId="1C0C9C38"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2AD1CDB6"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DCD8FE4" w14:textId="1D883BBC" w:rsidR="009E072C" w:rsidRPr="00A45ED9" w:rsidRDefault="009E072C" w:rsidP="007E79A0">
            <w:pPr>
              <w:pStyle w:val="Standard"/>
              <w:snapToGrid w:val="0"/>
              <w:jc w:val="center"/>
              <w:rPr>
                <w:sz w:val="22"/>
                <w:szCs w:val="22"/>
                <w:lang w:val="pl-PL"/>
              </w:rPr>
            </w:pPr>
            <w:r w:rsidRPr="00A45ED9">
              <w:rPr>
                <w:sz w:val="22"/>
                <w:szCs w:val="22"/>
                <w:lang w:val="pl-PL"/>
              </w:rPr>
              <w:t>Gatunki ziołoroślowe i nitrofilne</w:t>
            </w:r>
          </w:p>
        </w:tc>
        <w:tc>
          <w:tcPr>
            <w:tcW w:w="9610" w:type="dxa"/>
            <w:shd w:val="clear" w:color="auto" w:fill="auto"/>
            <w:vAlign w:val="center"/>
          </w:tcPr>
          <w:p w14:paraId="0E6864E1"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6215F053" w14:textId="55F2CD73"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 xml:space="preserve">Pożądany stały udział gatunków takich jak czosnaczek pospolity </w:t>
            </w:r>
            <w:r w:rsidRPr="00A45ED9">
              <w:rPr>
                <w:i/>
                <w:iCs/>
                <w:color w:val="000000"/>
                <w:sz w:val="22"/>
                <w:szCs w:val="22"/>
                <w:lang w:val="pl-PL"/>
              </w:rPr>
              <w:t>Alliaria petiolata</w:t>
            </w:r>
            <w:r w:rsidRPr="00A45ED9">
              <w:rPr>
                <w:color w:val="000000"/>
                <w:sz w:val="22"/>
                <w:szCs w:val="22"/>
                <w:lang w:val="pl-PL"/>
              </w:rPr>
              <w:t xml:space="preserve">, bodziszek cuchnący </w:t>
            </w:r>
            <w:r w:rsidRPr="00A45ED9">
              <w:rPr>
                <w:i/>
                <w:iCs/>
                <w:color w:val="000000"/>
                <w:sz w:val="22"/>
                <w:szCs w:val="22"/>
                <w:lang w:val="pl-PL"/>
              </w:rPr>
              <w:t>Geranium robertianum</w:t>
            </w:r>
            <w:r w:rsidRPr="00A45ED9">
              <w:rPr>
                <w:color w:val="000000"/>
                <w:sz w:val="22"/>
                <w:szCs w:val="22"/>
                <w:lang w:val="pl-PL"/>
              </w:rPr>
              <w:t xml:space="preserve">, pokrzywa zwyczajna </w:t>
            </w:r>
            <w:r w:rsidRPr="00A45ED9">
              <w:rPr>
                <w:i/>
                <w:iCs/>
                <w:color w:val="000000"/>
                <w:sz w:val="22"/>
                <w:szCs w:val="22"/>
                <w:lang w:val="pl-PL"/>
              </w:rPr>
              <w:t>Urtica dioica</w:t>
            </w:r>
            <w:r w:rsidRPr="00A45ED9">
              <w:rPr>
                <w:color w:val="000000"/>
                <w:sz w:val="22"/>
                <w:szCs w:val="22"/>
                <w:lang w:val="pl-PL"/>
              </w:rPr>
              <w:t xml:space="preserve">, kuklik pospolity </w:t>
            </w:r>
            <w:r w:rsidRPr="00A45ED9">
              <w:rPr>
                <w:i/>
                <w:iCs/>
                <w:color w:val="000000"/>
                <w:sz w:val="22"/>
                <w:szCs w:val="22"/>
                <w:lang w:val="pl-PL"/>
              </w:rPr>
              <w:t>Geum urbanum</w:t>
            </w:r>
            <w:r w:rsidRPr="00A45ED9">
              <w:rPr>
                <w:color w:val="000000"/>
                <w:sz w:val="22"/>
                <w:szCs w:val="22"/>
                <w:lang w:val="pl-PL"/>
              </w:rPr>
              <w:t>. Możliwe facjalne występowanie w niektórych płatach siedliska.</w:t>
            </w:r>
          </w:p>
        </w:tc>
      </w:tr>
      <w:tr w:rsidR="009E072C" w:rsidRPr="00A45ED9" w14:paraId="5CAB52E6" w14:textId="77777777" w:rsidTr="00310010">
        <w:trPr>
          <w:trHeight w:val="281"/>
        </w:trPr>
        <w:tc>
          <w:tcPr>
            <w:tcW w:w="704" w:type="dxa"/>
            <w:vMerge/>
          </w:tcPr>
          <w:p w14:paraId="798DB7D9"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4CD2F625"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5439BC16" w14:textId="5EC09A14" w:rsidR="009E072C" w:rsidRPr="00A45ED9" w:rsidRDefault="009E072C" w:rsidP="007E79A0">
            <w:pPr>
              <w:pStyle w:val="Standard"/>
              <w:snapToGrid w:val="0"/>
              <w:jc w:val="center"/>
              <w:rPr>
                <w:sz w:val="22"/>
                <w:szCs w:val="22"/>
                <w:lang w:val="pl-PL"/>
              </w:rPr>
            </w:pPr>
            <w:r w:rsidRPr="00A45ED9">
              <w:rPr>
                <w:sz w:val="22"/>
                <w:szCs w:val="22"/>
                <w:lang w:val="pl-PL"/>
              </w:rPr>
              <w:t>Struktura drzewostanu</w:t>
            </w:r>
          </w:p>
        </w:tc>
        <w:tc>
          <w:tcPr>
            <w:tcW w:w="9610" w:type="dxa"/>
            <w:shd w:val="clear" w:color="auto" w:fill="auto"/>
            <w:vAlign w:val="center"/>
          </w:tcPr>
          <w:p w14:paraId="1DE3E149"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45F17F3E" w14:textId="4A467633"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Drzewostan zróżnicowany pod względem wysokości i pierśnicy drzew.</w:t>
            </w:r>
          </w:p>
        </w:tc>
      </w:tr>
      <w:tr w:rsidR="009E072C" w:rsidRPr="00A45ED9" w14:paraId="1C155170" w14:textId="77777777" w:rsidTr="00310010">
        <w:trPr>
          <w:trHeight w:val="281"/>
        </w:trPr>
        <w:tc>
          <w:tcPr>
            <w:tcW w:w="704" w:type="dxa"/>
            <w:vMerge/>
          </w:tcPr>
          <w:p w14:paraId="3398388B"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71BDF10E"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1ED587A5" w14:textId="0C3163B6" w:rsidR="009E072C" w:rsidRPr="00A45ED9" w:rsidRDefault="009E072C" w:rsidP="007E79A0">
            <w:pPr>
              <w:pStyle w:val="Standard"/>
              <w:snapToGrid w:val="0"/>
              <w:jc w:val="center"/>
              <w:rPr>
                <w:sz w:val="22"/>
                <w:szCs w:val="22"/>
                <w:lang w:val="pl-PL"/>
              </w:rPr>
            </w:pPr>
            <w:r w:rsidRPr="00A45ED9">
              <w:rPr>
                <w:sz w:val="22"/>
                <w:szCs w:val="22"/>
                <w:lang w:val="pl-PL"/>
              </w:rPr>
              <w:t>Pionowa struktura roślinności</w:t>
            </w:r>
          </w:p>
        </w:tc>
        <w:tc>
          <w:tcPr>
            <w:tcW w:w="9610" w:type="dxa"/>
            <w:shd w:val="clear" w:color="auto" w:fill="auto"/>
            <w:vAlign w:val="center"/>
          </w:tcPr>
          <w:p w14:paraId="5DCB0725"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00C18B9A" w14:textId="50DE01F6"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Utrzymanie naturalnej i zróżnicowanej struktury roślinności (występują wszystkie warstwy roślinności: a1,a2, b, c, d); warstwa mchów może być bardzo uboga.</w:t>
            </w:r>
          </w:p>
        </w:tc>
      </w:tr>
      <w:tr w:rsidR="009E072C" w:rsidRPr="00A45ED9" w14:paraId="4A4B2E4F" w14:textId="77777777" w:rsidTr="00310010">
        <w:trPr>
          <w:trHeight w:val="281"/>
        </w:trPr>
        <w:tc>
          <w:tcPr>
            <w:tcW w:w="704" w:type="dxa"/>
            <w:vMerge/>
          </w:tcPr>
          <w:p w14:paraId="78E1FBE5"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10896D1A"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032B45B5" w14:textId="6FFE2D4E" w:rsidR="009E072C" w:rsidRPr="00A45ED9" w:rsidRDefault="009E072C" w:rsidP="007E79A0">
            <w:pPr>
              <w:pStyle w:val="Standard"/>
              <w:snapToGrid w:val="0"/>
              <w:jc w:val="center"/>
              <w:rPr>
                <w:sz w:val="22"/>
                <w:szCs w:val="22"/>
                <w:lang w:val="pl-PL"/>
              </w:rPr>
            </w:pPr>
            <w:r w:rsidRPr="00A45ED9">
              <w:rPr>
                <w:sz w:val="22"/>
                <w:szCs w:val="22"/>
                <w:lang w:val="pl-PL"/>
              </w:rPr>
              <w:t>Gatunki obce w drzewostanie</w:t>
            </w:r>
          </w:p>
        </w:tc>
        <w:tc>
          <w:tcPr>
            <w:tcW w:w="9610" w:type="dxa"/>
            <w:shd w:val="clear" w:color="auto" w:fill="auto"/>
            <w:vAlign w:val="center"/>
          </w:tcPr>
          <w:p w14:paraId="051CFB9B"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2E1DDA44" w14:textId="43ED1CEF"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lastRenderedPageBreak/>
              <w:t>Brak gatunków obcych w drzewostanie.</w:t>
            </w:r>
          </w:p>
        </w:tc>
      </w:tr>
      <w:tr w:rsidR="009E072C" w:rsidRPr="00A45ED9" w14:paraId="0DEFB3C0" w14:textId="77777777" w:rsidTr="00310010">
        <w:trPr>
          <w:trHeight w:val="281"/>
        </w:trPr>
        <w:tc>
          <w:tcPr>
            <w:tcW w:w="704" w:type="dxa"/>
            <w:vMerge/>
          </w:tcPr>
          <w:p w14:paraId="413C61BE"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447E9615"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7507839" w14:textId="7A7BDC6E" w:rsidR="009E072C" w:rsidRPr="00A45ED9" w:rsidRDefault="009E072C" w:rsidP="007E79A0">
            <w:pPr>
              <w:pStyle w:val="Standard"/>
              <w:snapToGrid w:val="0"/>
              <w:jc w:val="center"/>
              <w:rPr>
                <w:sz w:val="22"/>
                <w:szCs w:val="22"/>
                <w:lang w:val="pl-PL"/>
              </w:rPr>
            </w:pPr>
            <w:r w:rsidRPr="00A45ED9">
              <w:rPr>
                <w:sz w:val="22"/>
                <w:szCs w:val="22"/>
                <w:lang w:val="pl-PL"/>
              </w:rPr>
              <w:t>Naturalne odnowienie drzewostanu</w:t>
            </w:r>
          </w:p>
        </w:tc>
        <w:tc>
          <w:tcPr>
            <w:tcW w:w="9610" w:type="dxa"/>
            <w:shd w:val="clear" w:color="auto" w:fill="auto"/>
            <w:vAlign w:val="center"/>
          </w:tcPr>
          <w:p w14:paraId="7CC45F78"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7520FF51" w14:textId="148F7402"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Utrzymanie różnowiekowego odnowienia z minimum 3 gatunkami.</w:t>
            </w:r>
          </w:p>
        </w:tc>
      </w:tr>
      <w:tr w:rsidR="009E072C" w:rsidRPr="00A45ED9" w14:paraId="7E9A0EFF" w14:textId="77777777" w:rsidTr="00310010">
        <w:trPr>
          <w:trHeight w:val="281"/>
        </w:trPr>
        <w:tc>
          <w:tcPr>
            <w:tcW w:w="704" w:type="dxa"/>
            <w:vMerge/>
          </w:tcPr>
          <w:p w14:paraId="3FCF80D3"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168E01B6"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60E45B89" w14:textId="5E623C7A" w:rsidR="009E072C" w:rsidRPr="00A45ED9" w:rsidRDefault="009E072C" w:rsidP="007E79A0">
            <w:pPr>
              <w:pStyle w:val="Standard"/>
              <w:snapToGrid w:val="0"/>
              <w:jc w:val="center"/>
              <w:rPr>
                <w:sz w:val="22"/>
                <w:szCs w:val="22"/>
                <w:lang w:val="pl-PL"/>
              </w:rPr>
            </w:pPr>
            <w:r w:rsidRPr="00A45ED9">
              <w:rPr>
                <w:sz w:val="22"/>
                <w:szCs w:val="22"/>
                <w:lang w:val="pl-PL"/>
              </w:rPr>
              <w:t>Przekształcenia związane z użytkowaniem</w:t>
            </w:r>
          </w:p>
        </w:tc>
        <w:tc>
          <w:tcPr>
            <w:tcW w:w="9610" w:type="dxa"/>
            <w:shd w:val="clear" w:color="auto" w:fill="auto"/>
            <w:vAlign w:val="center"/>
          </w:tcPr>
          <w:p w14:paraId="79B706A8" w14:textId="77777777" w:rsidR="009E072C" w:rsidRPr="00A45ED9" w:rsidRDefault="009E072C" w:rsidP="009E072C">
            <w:pPr>
              <w:pStyle w:val="Standard"/>
              <w:snapToGrid w:val="0"/>
              <w:jc w:val="both"/>
              <w:rPr>
                <w:color w:val="000000"/>
                <w:sz w:val="22"/>
                <w:szCs w:val="22"/>
                <w:lang w:val="pl-PL"/>
              </w:rPr>
            </w:pPr>
            <w:r w:rsidRPr="00A45ED9">
              <w:rPr>
                <w:color w:val="000000"/>
                <w:sz w:val="22"/>
                <w:szCs w:val="22"/>
                <w:lang w:val="pl-PL"/>
              </w:rPr>
              <w:t xml:space="preserve">Utrzymanie oceny wskaźnika na poziomie FV. </w:t>
            </w:r>
          </w:p>
          <w:p w14:paraId="33988E5B" w14:textId="7D876246"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Brak przekształceń związanych z użytkowaniem w obrębie siedliska.</w:t>
            </w:r>
          </w:p>
        </w:tc>
      </w:tr>
      <w:tr w:rsidR="009E072C" w:rsidRPr="00A45ED9" w14:paraId="364DCF19" w14:textId="77777777" w:rsidTr="00310010">
        <w:trPr>
          <w:trHeight w:val="281"/>
        </w:trPr>
        <w:tc>
          <w:tcPr>
            <w:tcW w:w="704" w:type="dxa"/>
            <w:vMerge/>
          </w:tcPr>
          <w:p w14:paraId="773E59F3"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2E0DAF4C"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5E0ABF5D" w14:textId="4DD21263" w:rsidR="009E072C" w:rsidRPr="00A45ED9" w:rsidRDefault="009E072C" w:rsidP="007E79A0">
            <w:pPr>
              <w:pStyle w:val="Standard"/>
              <w:snapToGrid w:val="0"/>
              <w:jc w:val="center"/>
              <w:rPr>
                <w:sz w:val="22"/>
                <w:szCs w:val="22"/>
                <w:lang w:val="pl-PL"/>
              </w:rPr>
            </w:pPr>
            <w:r w:rsidRPr="00A45ED9">
              <w:rPr>
                <w:sz w:val="22"/>
                <w:szCs w:val="22"/>
                <w:lang w:val="pl-PL"/>
              </w:rPr>
              <w:t>Ogólnie struktura i funkcje</w:t>
            </w:r>
          </w:p>
        </w:tc>
        <w:tc>
          <w:tcPr>
            <w:tcW w:w="9610" w:type="dxa"/>
            <w:shd w:val="clear" w:color="auto" w:fill="auto"/>
            <w:vAlign w:val="center"/>
          </w:tcPr>
          <w:p w14:paraId="0F183CA8" w14:textId="77777777" w:rsidR="009E072C" w:rsidRPr="00A45ED9" w:rsidRDefault="009E072C" w:rsidP="009E072C">
            <w:pPr>
              <w:pStyle w:val="Standard"/>
              <w:snapToGrid w:val="0"/>
              <w:rPr>
                <w:color w:val="000000"/>
                <w:sz w:val="22"/>
                <w:szCs w:val="22"/>
                <w:lang w:val="pl-PL"/>
              </w:rPr>
            </w:pPr>
            <w:r w:rsidRPr="00A45ED9">
              <w:rPr>
                <w:color w:val="000000"/>
                <w:sz w:val="22"/>
                <w:szCs w:val="22"/>
                <w:lang w:val="pl-PL"/>
              </w:rPr>
              <w:t xml:space="preserve">Utrzymanie oceny parametru na poziomie FV. </w:t>
            </w:r>
          </w:p>
          <w:p w14:paraId="5D5C3AEF" w14:textId="2FDBA098"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Utrzymanie wszystkich wskaźników kardynalnych (gatunków charakterystycznych, inwazyjnych gatunków obcych, gatunków obcych w drzewostanie, struktury drzewostanu) na poziomie FV, a pozostałych wskaźniki przynajmniej na poziomie U1.</w:t>
            </w:r>
          </w:p>
        </w:tc>
      </w:tr>
      <w:tr w:rsidR="009E072C" w:rsidRPr="00A45ED9" w14:paraId="31B0C160" w14:textId="77777777" w:rsidTr="00310010">
        <w:trPr>
          <w:trHeight w:val="281"/>
        </w:trPr>
        <w:tc>
          <w:tcPr>
            <w:tcW w:w="704" w:type="dxa"/>
            <w:vMerge/>
          </w:tcPr>
          <w:p w14:paraId="620EB79D"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vAlign w:val="center"/>
          </w:tcPr>
          <w:p w14:paraId="69A6F174" w14:textId="77777777" w:rsidR="009E072C" w:rsidRPr="00A45ED9" w:rsidRDefault="009E072C" w:rsidP="009E072C">
            <w:pPr>
              <w:pStyle w:val="Akapitzlist"/>
              <w:autoSpaceDE w:val="0"/>
              <w:autoSpaceDN w:val="0"/>
              <w:adjustRightInd w:val="0"/>
              <w:spacing w:before="60" w:after="60"/>
              <w:ind w:left="0"/>
              <w:rPr>
                <w:sz w:val="22"/>
                <w:szCs w:val="22"/>
              </w:rPr>
            </w:pPr>
          </w:p>
        </w:tc>
        <w:tc>
          <w:tcPr>
            <w:tcW w:w="2268" w:type="dxa"/>
            <w:vAlign w:val="center"/>
          </w:tcPr>
          <w:p w14:paraId="4489CCCD" w14:textId="17ACBD77" w:rsidR="009E072C" w:rsidRPr="00A45ED9" w:rsidRDefault="009E072C" w:rsidP="007E79A0">
            <w:pPr>
              <w:pStyle w:val="Standard"/>
              <w:snapToGrid w:val="0"/>
              <w:jc w:val="center"/>
              <w:rPr>
                <w:sz w:val="22"/>
                <w:szCs w:val="22"/>
                <w:lang w:val="pl-PL"/>
              </w:rPr>
            </w:pPr>
            <w:r w:rsidRPr="00A45ED9">
              <w:rPr>
                <w:sz w:val="22"/>
                <w:szCs w:val="22"/>
                <w:lang w:val="pl-PL"/>
              </w:rPr>
              <w:t>Perspektywy ochrony</w:t>
            </w:r>
          </w:p>
        </w:tc>
        <w:tc>
          <w:tcPr>
            <w:tcW w:w="9610" w:type="dxa"/>
            <w:shd w:val="clear" w:color="auto" w:fill="auto"/>
            <w:vAlign w:val="center"/>
          </w:tcPr>
          <w:p w14:paraId="58ED3454" w14:textId="77777777" w:rsidR="009E072C" w:rsidRPr="00A45ED9" w:rsidRDefault="009E072C" w:rsidP="009E072C">
            <w:pPr>
              <w:pStyle w:val="Standard"/>
              <w:snapToGrid w:val="0"/>
              <w:rPr>
                <w:color w:val="000000"/>
                <w:sz w:val="22"/>
                <w:szCs w:val="22"/>
                <w:lang w:val="pl-PL"/>
              </w:rPr>
            </w:pPr>
            <w:r w:rsidRPr="00A45ED9">
              <w:rPr>
                <w:color w:val="000000"/>
                <w:sz w:val="22"/>
                <w:szCs w:val="22"/>
                <w:lang w:val="pl-PL"/>
              </w:rPr>
              <w:t xml:space="preserve">Utrzymanie oceny parametru na poziomie FV. </w:t>
            </w:r>
          </w:p>
          <w:p w14:paraId="7582B042" w14:textId="1EFD59E7" w:rsidR="009E072C" w:rsidRPr="00A45ED9" w:rsidRDefault="009E072C" w:rsidP="009E072C">
            <w:pPr>
              <w:pStyle w:val="Standard"/>
              <w:snapToGrid w:val="0"/>
              <w:spacing w:before="60" w:after="60"/>
              <w:jc w:val="both"/>
              <w:rPr>
                <w:sz w:val="22"/>
                <w:szCs w:val="22"/>
                <w:lang w:val="pl-PL"/>
              </w:rPr>
            </w:pPr>
            <w:r w:rsidRPr="00A45ED9">
              <w:rPr>
                <w:color w:val="000000"/>
                <w:sz w:val="22"/>
                <w:szCs w:val="22"/>
                <w:lang w:val="pl-PL"/>
              </w:rPr>
              <w:t>Perspektywy zachowania siedliska dobre lub doskonałe, nie przewiduje się znacznego oddziaływania czynników zagrażających.</w:t>
            </w:r>
          </w:p>
        </w:tc>
      </w:tr>
      <w:tr w:rsidR="009E072C" w:rsidRPr="00A45ED9" w14:paraId="49F71570" w14:textId="77777777" w:rsidTr="00A23D39">
        <w:trPr>
          <w:trHeight w:val="281"/>
        </w:trPr>
        <w:tc>
          <w:tcPr>
            <w:tcW w:w="704" w:type="dxa"/>
            <w:vMerge w:val="restart"/>
          </w:tcPr>
          <w:p w14:paraId="654CEE4D" w14:textId="5801DBA0" w:rsidR="009E072C" w:rsidRPr="00A45ED9" w:rsidRDefault="009E072C" w:rsidP="009E072C">
            <w:pPr>
              <w:pStyle w:val="Akapitzlist"/>
              <w:autoSpaceDE w:val="0"/>
              <w:autoSpaceDN w:val="0"/>
              <w:adjustRightInd w:val="0"/>
              <w:spacing w:before="60" w:after="60"/>
              <w:ind w:left="0"/>
              <w:rPr>
                <w:bCs/>
                <w:sz w:val="22"/>
                <w:szCs w:val="22"/>
              </w:rPr>
            </w:pPr>
            <w:r w:rsidRPr="00A45ED9">
              <w:rPr>
                <w:bCs/>
                <w:sz w:val="22"/>
                <w:szCs w:val="22"/>
              </w:rPr>
              <w:t>3.</w:t>
            </w:r>
          </w:p>
        </w:tc>
        <w:tc>
          <w:tcPr>
            <w:tcW w:w="1985" w:type="dxa"/>
            <w:vMerge w:val="restart"/>
          </w:tcPr>
          <w:p w14:paraId="535EFA08" w14:textId="77777777" w:rsidR="009E072C" w:rsidRPr="00A45ED9" w:rsidRDefault="009E072C" w:rsidP="009E072C">
            <w:pPr>
              <w:pStyle w:val="Akapitzlist"/>
              <w:autoSpaceDE w:val="0"/>
              <w:autoSpaceDN w:val="0"/>
              <w:adjustRightInd w:val="0"/>
              <w:spacing w:before="60" w:after="60"/>
              <w:ind w:left="0"/>
              <w:rPr>
                <w:sz w:val="22"/>
                <w:szCs w:val="22"/>
              </w:rPr>
            </w:pPr>
            <w:r w:rsidRPr="00A45ED9">
              <w:rPr>
                <w:sz w:val="22"/>
                <w:szCs w:val="22"/>
              </w:rPr>
              <w:t xml:space="preserve">1303 podkowiec mały </w:t>
            </w:r>
            <w:r w:rsidRPr="00A45ED9">
              <w:rPr>
                <w:i/>
                <w:iCs/>
                <w:sz w:val="22"/>
                <w:szCs w:val="22"/>
              </w:rPr>
              <w:t>Rhinolophus hipposideros</w:t>
            </w:r>
          </w:p>
        </w:tc>
        <w:tc>
          <w:tcPr>
            <w:tcW w:w="2268" w:type="dxa"/>
            <w:vAlign w:val="center"/>
          </w:tcPr>
          <w:p w14:paraId="7DAADA9F" w14:textId="77777777" w:rsidR="009E072C" w:rsidRPr="00A45ED9" w:rsidRDefault="009E072C" w:rsidP="009E072C">
            <w:pPr>
              <w:pStyle w:val="Standard"/>
              <w:snapToGrid w:val="0"/>
              <w:jc w:val="center"/>
              <w:rPr>
                <w:sz w:val="22"/>
                <w:szCs w:val="22"/>
                <w:lang w:val="pl-PL"/>
              </w:rPr>
            </w:pPr>
            <w:r w:rsidRPr="00A45ED9">
              <w:rPr>
                <w:sz w:val="22"/>
                <w:szCs w:val="22"/>
                <w:lang w:val="pl-PL"/>
              </w:rPr>
              <w:t>Liczebność</w:t>
            </w:r>
          </w:p>
          <w:p w14:paraId="1E91FE2D" w14:textId="77777777" w:rsidR="009E072C" w:rsidRPr="00A45ED9" w:rsidRDefault="009E072C" w:rsidP="009E072C">
            <w:pPr>
              <w:pStyle w:val="Standard"/>
              <w:spacing w:before="60" w:after="60"/>
              <w:jc w:val="center"/>
              <w:rPr>
                <w:sz w:val="22"/>
                <w:szCs w:val="22"/>
                <w:lang w:val="pl-PL"/>
              </w:rPr>
            </w:pPr>
          </w:p>
        </w:tc>
        <w:tc>
          <w:tcPr>
            <w:tcW w:w="9610" w:type="dxa"/>
            <w:shd w:val="clear" w:color="auto" w:fill="auto"/>
            <w:vAlign w:val="center"/>
          </w:tcPr>
          <w:p w14:paraId="07536EA6" w14:textId="3D6B497C" w:rsidR="009E072C" w:rsidRPr="00A45ED9" w:rsidRDefault="009E072C" w:rsidP="009E072C">
            <w:pPr>
              <w:pStyle w:val="Standard"/>
              <w:snapToGrid w:val="0"/>
              <w:spacing w:before="60" w:after="60"/>
              <w:jc w:val="both"/>
              <w:rPr>
                <w:sz w:val="22"/>
                <w:szCs w:val="22"/>
                <w:lang w:val="pl-PL"/>
              </w:rPr>
            </w:pPr>
            <w:bookmarkStart w:id="0" w:name="_Hlk155261658"/>
            <w:r w:rsidRPr="00A45ED9">
              <w:rPr>
                <w:sz w:val="22"/>
                <w:szCs w:val="22"/>
                <w:lang w:val="pl-PL"/>
              </w:rPr>
              <w:t>Stanowisko w cerkwi pw. śś Kosmy i Damiana w Blechnarce: Utrzymanie kolonii rozrodczej na stanowisku. Utrzymanie oceny wskaźnika na poziomie FV. Liczba osobników dorosłych większa niż 80 % liczby z ubiegłego roku, a istotny statystycznie średni spadek liczebności z wielolecia nie większy niż 5% rocznie.</w:t>
            </w:r>
          </w:p>
          <w:p w14:paraId="0CF3654A" w14:textId="36CBA44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kolonii rozrodczej na stanowisku. Utrzymanie oceny wskaźnika na poziomie FV. Liczba osobników dorosłych większa niż 80 % liczby z ubiegłego roku, a istotny statystycznie średni spadek liczebności z wielolecia nie większy niż 5% rocznie.</w:t>
            </w:r>
          </w:p>
          <w:p w14:paraId="6CC18D93" w14:textId="69324FB7"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Apostoła w Kunkowej: Utrzymanie kolonii rozrodczej na stanowisku. Utrzymanie oceny wskaźnika na poziomie FV. Liczba osobników dorosłych większa niż 80 % liczby z ubiegłego roku, a istotny statystycznie średni spadek liczebności z wielolecia nie większy niż 5% rocznie.</w:t>
            </w:r>
          </w:p>
          <w:p w14:paraId="15A10E6B" w14:textId="62428DDE"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kolonii rozrodczej na stanowisku. Utrzymanie oceny wskaźnika na poziomie FV. Liczba osobników dorosłych większa niż 80 % liczby z ubiegłego roku, a istotny statystycznie średni spadek liczebności z wielolecia nie większy niż 5% rocznie.</w:t>
            </w:r>
          </w:p>
          <w:p w14:paraId="471CEDBD" w14:textId="52140763"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kolonii rozrodczej na stanowisku. Utrzymanie oceny wskaźnika na poziomie FV. Liczba osobników dorosłych większa niż 80 % liczby z ubiegłego roku, a istotny statystycznie średni spadek liczebności z wielolecia nie większy niż 5% rocznie.</w:t>
            </w:r>
          </w:p>
          <w:p w14:paraId="7BC6BECE" w14:textId="5CC9BFC8"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kościele pw. św. Michała Archanioła w Ropie: Utrzymanie kolonii rozrodczej na stanowisku. Utrzymanie oceny wskaźnika na poziomie FV. Liczba osobników dorosłych większa niż 80 % liczby z ubiegłego roku, a istotny statystycznie średni spadek liczebności z wielolecia nie większy niż 5% rocznie.</w:t>
            </w:r>
          </w:p>
          <w:p w14:paraId="324DDA87" w14:textId="240D263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lastRenderedPageBreak/>
              <w:t>Stanowisko w kasztelu w Szymbarku: Utrzymanie kolonii rozrodczej na stanowisku. Utrzymanie oceny wskaźnika na poziomie FV. Liczba osobników dorosłych większa niż 80 % liczby z ubiegłego roku, a istotny statystycznie średni spadek liczebności z wielolecia nie większy niż 5% rocznie.</w:t>
            </w:r>
          </w:p>
          <w:p w14:paraId="7706098A" w14:textId="49931C3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kolonii rozrodczej na stanowisku. Co najmniej utrzymanie oceny wskaźnika na poziomie U1. Liczba osobników dorosłych pomiędzy 80 % a 50% liczby z ubiegłego roku, a istotny statystycznie średni spadek liczebności z wielolecia nie jest większy niż 5% -10 % rocznie.</w:t>
            </w:r>
          </w:p>
          <w:bookmarkEnd w:id="0"/>
          <w:p w14:paraId="1A283DD2" w14:textId="77777777" w:rsidR="009E072C" w:rsidRPr="00A45ED9" w:rsidRDefault="009E072C" w:rsidP="009E072C">
            <w:pPr>
              <w:pStyle w:val="Standard"/>
              <w:snapToGrid w:val="0"/>
              <w:spacing w:before="60" w:after="60"/>
              <w:jc w:val="both"/>
              <w:rPr>
                <w:sz w:val="22"/>
                <w:szCs w:val="22"/>
                <w:lang w:val="pl-PL"/>
              </w:rPr>
            </w:pPr>
          </w:p>
          <w:p w14:paraId="54E611EC" w14:textId="547EC2E5" w:rsidR="009E072C" w:rsidRPr="00A45ED9" w:rsidRDefault="009E072C" w:rsidP="009E072C">
            <w:pPr>
              <w:pStyle w:val="Standard"/>
              <w:snapToGrid w:val="0"/>
              <w:spacing w:before="60" w:after="60"/>
              <w:jc w:val="both"/>
              <w:rPr>
                <w:i/>
                <w:iCs/>
                <w:sz w:val="22"/>
                <w:szCs w:val="22"/>
                <w:lang w:val="pl-PL"/>
              </w:rPr>
            </w:pPr>
            <w:r w:rsidRPr="00A45ED9">
              <w:rPr>
                <w:sz w:val="22"/>
                <w:szCs w:val="22"/>
                <w:lang w:val="pl-PL"/>
              </w:rPr>
              <w:t xml:space="preserve">W obszarze Natura 2000 występuje 8 stanowisk kolonii rozrodczych podkowca małego </w:t>
            </w:r>
            <w:r w:rsidRPr="00A45ED9">
              <w:rPr>
                <w:i/>
                <w:iCs/>
                <w:sz w:val="22"/>
                <w:szCs w:val="22"/>
                <w:lang w:val="pl-PL"/>
              </w:rPr>
              <w:t>Rhinolophus hipposideros</w:t>
            </w:r>
            <w:r w:rsidRPr="00A45ED9">
              <w:rPr>
                <w:sz w:val="22"/>
                <w:szCs w:val="22"/>
                <w:lang w:val="pl-PL"/>
              </w:rPr>
              <w:t xml:space="preserve">, są to: </w:t>
            </w:r>
          </w:p>
          <w:p w14:paraId="57180087" w14:textId="4B7608E4" w:rsidR="009E072C" w:rsidRPr="00A45ED9" w:rsidRDefault="009E072C" w:rsidP="009E072C">
            <w:pPr>
              <w:pStyle w:val="Standard"/>
              <w:numPr>
                <w:ilvl w:val="0"/>
                <w:numId w:val="13"/>
              </w:numPr>
              <w:snapToGrid w:val="0"/>
              <w:spacing w:before="60" w:after="60"/>
              <w:jc w:val="both"/>
              <w:rPr>
                <w:sz w:val="22"/>
                <w:szCs w:val="22"/>
                <w:lang w:val="pl-PL"/>
              </w:rPr>
            </w:pPr>
            <w:r w:rsidRPr="00A45ED9">
              <w:rPr>
                <w:sz w:val="22"/>
                <w:szCs w:val="22"/>
                <w:lang w:val="pl-PL"/>
              </w:rPr>
              <w:t>Cerkiew pw. śś. Kosmy i Damiana w Blechnarce,</w:t>
            </w:r>
          </w:p>
          <w:p w14:paraId="7BAF8F19" w14:textId="4E91E03F" w:rsidR="009E072C" w:rsidRPr="00A45ED9" w:rsidRDefault="009E072C" w:rsidP="009E072C">
            <w:pPr>
              <w:pStyle w:val="Standard"/>
              <w:numPr>
                <w:ilvl w:val="0"/>
                <w:numId w:val="13"/>
              </w:numPr>
              <w:snapToGrid w:val="0"/>
              <w:spacing w:before="60" w:after="60"/>
              <w:jc w:val="both"/>
              <w:rPr>
                <w:sz w:val="22"/>
                <w:szCs w:val="22"/>
                <w:lang w:val="pl-PL"/>
              </w:rPr>
            </w:pPr>
            <w:r w:rsidRPr="00A45ED9">
              <w:rPr>
                <w:sz w:val="22"/>
                <w:szCs w:val="22"/>
                <w:lang w:val="pl-PL"/>
              </w:rPr>
              <w:t xml:space="preserve">Cerkiew </w:t>
            </w:r>
            <w:r w:rsidRPr="00A45ED9">
              <w:rPr>
                <w:rFonts w:eastAsiaTheme="minorHAnsi"/>
                <w:sz w:val="22"/>
                <w:szCs w:val="22"/>
                <w:lang w:val="pl-PL" w:eastAsia="en-US"/>
                <w14:ligatures w14:val="standardContextual"/>
              </w:rPr>
              <w:t>pw. Opieki Bogurodzicy w Hańczowej,</w:t>
            </w:r>
          </w:p>
          <w:p w14:paraId="4127C4C9" w14:textId="50EA823C" w:rsidR="009E072C" w:rsidRPr="00A45ED9" w:rsidRDefault="009E072C" w:rsidP="009E072C">
            <w:pPr>
              <w:pStyle w:val="Standard"/>
              <w:numPr>
                <w:ilvl w:val="0"/>
                <w:numId w:val="13"/>
              </w:numPr>
              <w:snapToGrid w:val="0"/>
              <w:spacing w:before="60" w:after="60"/>
              <w:jc w:val="both"/>
              <w:rPr>
                <w:sz w:val="22"/>
                <w:szCs w:val="22"/>
                <w:lang w:val="pl-PL"/>
              </w:rPr>
            </w:pPr>
            <w:r w:rsidRPr="00A45ED9">
              <w:rPr>
                <w:rFonts w:eastAsiaTheme="minorHAnsi"/>
                <w:sz w:val="22"/>
                <w:szCs w:val="22"/>
                <w:lang w:val="pl-PL" w:eastAsia="en-US"/>
                <w14:ligatures w14:val="standardContextual"/>
              </w:rPr>
              <w:t>Cerkiew pw. św. Łukasza Apostoła w Kunkowej,</w:t>
            </w:r>
          </w:p>
          <w:p w14:paraId="1C9693EE" w14:textId="51B94F6A" w:rsidR="009E072C" w:rsidRPr="00A45ED9" w:rsidRDefault="009E072C" w:rsidP="009E072C">
            <w:pPr>
              <w:pStyle w:val="Standard"/>
              <w:numPr>
                <w:ilvl w:val="0"/>
                <w:numId w:val="13"/>
              </w:numPr>
              <w:snapToGrid w:val="0"/>
              <w:spacing w:before="60" w:after="60"/>
              <w:jc w:val="both"/>
              <w:rPr>
                <w:sz w:val="22"/>
                <w:szCs w:val="22"/>
                <w:lang w:val="pl-PL"/>
              </w:rPr>
            </w:pPr>
            <w:r w:rsidRPr="00A45ED9">
              <w:rPr>
                <w:rFonts w:eastAsiaTheme="minorHAnsi"/>
                <w:sz w:val="22"/>
                <w:szCs w:val="22"/>
                <w:lang w:val="pl-PL" w:eastAsia="en-US"/>
                <w14:ligatures w14:val="standardContextual"/>
              </w:rPr>
              <w:t>Cerkiew pw. św. Łukasza w Leszczynach,</w:t>
            </w:r>
          </w:p>
          <w:p w14:paraId="1931A4C4" w14:textId="4B4F9DA6" w:rsidR="009E072C" w:rsidRPr="00A45ED9" w:rsidRDefault="009E072C" w:rsidP="009E072C">
            <w:pPr>
              <w:pStyle w:val="Standard"/>
              <w:numPr>
                <w:ilvl w:val="0"/>
                <w:numId w:val="13"/>
              </w:numPr>
              <w:snapToGrid w:val="0"/>
              <w:spacing w:before="60" w:after="60"/>
              <w:jc w:val="both"/>
              <w:rPr>
                <w:sz w:val="22"/>
                <w:szCs w:val="22"/>
                <w:lang w:val="pl-PL"/>
              </w:rPr>
            </w:pPr>
            <w:r w:rsidRPr="00A45ED9">
              <w:rPr>
                <w:rFonts w:eastAsiaTheme="minorHAnsi"/>
                <w:sz w:val="22"/>
                <w:szCs w:val="22"/>
                <w:lang w:val="pl-PL" w:eastAsia="en-US"/>
                <w14:ligatures w14:val="standardContextual"/>
              </w:rPr>
              <w:t>Cerkiew pw. Narodzenia NMP w Łosiu,</w:t>
            </w:r>
          </w:p>
          <w:p w14:paraId="1E7735EC" w14:textId="259A601B" w:rsidR="009E072C" w:rsidRPr="00A45ED9" w:rsidRDefault="009E072C" w:rsidP="009E072C">
            <w:pPr>
              <w:pStyle w:val="Standard"/>
              <w:numPr>
                <w:ilvl w:val="0"/>
                <w:numId w:val="13"/>
              </w:numPr>
              <w:snapToGrid w:val="0"/>
              <w:spacing w:before="60" w:after="60"/>
              <w:jc w:val="both"/>
              <w:rPr>
                <w:sz w:val="22"/>
                <w:szCs w:val="22"/>
                <w:lang w:val="pl-PL"/>
              </w:rPr>
            </w:pPr>
            <w:r w:rsidRPr="00A45ED9">
              <w:rPr>
                <w:rFonts w:eastAsiaTheme="minorHAnsi"/>
                <w:sz w:val="22"/>
                <w:szCs w:val="22"/>
                <w:lang w:val="pl-PL" w:eastAsia="en-US"/>
                <w14:ligatures w14:val="standardContextual"/>
              </w:rPr>
              <w:t>Kościół pw. św. Michała Archanioła w Ropie,</w:t>
            </w:r>
          </w:p>
          <w:p w14:paraId="3BDE9286" w14:textId="2E65B803" w:rsidR="009E072C" w:rsidRPr="00A45ED9" w:rsidRDefault="009E072C" w:rsidP="009E072C">
            <w:pPr>
              <w:pStyle w:val="Standard"/>
              <w:numPr>
                <w:ilvl w:val="0"/>
                <w:numId w:val="13"/>
              </w:numPr>
              <w:snapToGrid w:val="0"/>
              <w:spacing w:before="60" w:after="60"/>
              <w:jc w:val="both"/>
              <w:rPr>
                <w:sz w:val="22"/>
                <w:szCs w:val="22"/>
                <w:lang w:val="pl-PL"/>
              </w:rPr>
            </w:pPr>
            <w:r w:rsidRPr="00A45ED9">
              <w:rPr>
                <w:sz w:val="22"/>
                <w:szCs w:val="22"/>
                <w:lang w:val="pl-PL"/>
              </w:rPr>
              <w:t>Kasztel w Szymbarku,</w:t>
            </w:r>
          </w:p>
          <w:p w14:paraId="2A2AE099" w14:textId="2F69A658" w:rsidR="009E072C" w:rsidRPr="00A45ED9" w:rsidRDefault="009E072C" w:rsidP="009E072C">
            <w:pPr>
              <w:pStyle w:val="Standard"/>
              <w:numPr>
                <w:ilvl w:val="0"/>
                <w:numId w:val="13"/>
              </w:numPr>
              <w:snapToGrid w:val="0"/>
              <w:spacing w:before="60" w:after="60"/>
              <w:jc w:val="both"/>
              <w:rPr>
                <w:sz w:val="22"/>
                <w:szCs w:val="22"/>
                <w:lang w:val="pl-PL"/>
              </w:rPr>
            </w:pPr>
            <w:r w:rsidRPr="00A45ED9">
              <w:rPr>
                <w:sz w:val="22"/>
                <w:szCs w:val="22"/>
                <w:lang w:val="pl-PL"/>
              </w:rPr>
              <w:t>Cerkiew pw. św. Dymitra w Śnietnicy.</w:t>
            </w:r>
          </w:p>
        </w:tc>
      </w:tr>
      <w:tr w:rsidR="009E072C" w:rsidRPr="00A45ED9" w14:paraId="3957CB62" w14:textId="77777777" w:rsidTr="00A23D39">
        <w:trPr>
          <w:trHeight w:val="281"/>
        </w:trPr>
        <w:tc>
          <w:tcPr>
            <w:tcW w:w="704" w:type="dxa"/>
            <w:vMerge/>
          </w:tcPr>
          <w:p w14:paraId="26FE4AF2"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048DF6EA"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5546300B"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Struktura wiekowa</w:t>
            </w:r>
          </w:p>
        </w:tc>
        <w:tc>
          <w:tcPr>
            <w:tcW w:w="9610" w:type="dxa"/>
            <w:shd w:val="clear" w:color="auto" w:fill="auto"/>
            <w:vAlign w:val="center"/>
          </w:tcPr>
          <w:p w14:paraId="476ABA03" w14:textId="0EEFC89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wskaźnika na poziomie FV. Liczebność młodych większa niż 70% dorosłych samic (przy założeniu, że ok 20% dorosłych osobników w schronieniu stanowią samce).</w:t>
            </w:r>
          </w:p>
          <w:p w14:paraId="646EEA3E" w14:textId="252BC2E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Liczebność młodych większa niż 70% dorosłych samic (przy założeniu, że ok 20% dorosłych osobników w schronieniu stanowią samce).</w:t>
            </w:r>
          </w:p>
          <w:p w14:paraId="0E1D3A12" w14:textId="370496BD"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Apostoła w Kunkowej: Utrzymanie oceny wskaźnika na poziomie FV. Liczebność młodych większa niż 70% dorosłych samic (przy założeniu, że ok 20% dorosłych osobników w schronieniu stanowią samce).</w:t>
            </w:r>
          </w:p>
          <w:p w14:paraId="12498D73" w14:textId="16229498"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Liczebność młodych większa niż 70% dorosłych samic (przy założeniu, że ok 20% dorosłych osobników w schronieniu stanowią samce).</w:t>
            </w:r>
          </w:p>
          <w:p w14:paraId="2AC41E24" w14:textId="13A4756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lastRenderedPageBreak/>
              <w:t>Stanowisko w cerkwi pw. Narodzenia NMP w Łosiu: Utrzymanie oceny wskaźnika na poziomie FV. Liczebność młodych większa niż 70% dorosłych samic (przy założeniu, że ok 20% dorosłych osobników w schronieniu stanowią samce).</w:t>
            </w:r>
          </w:p>
          <w:p w14:paraId="40C508BF" w14:textId="376C3EA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kościele pw. św. Michała Archanioła w Ropie: Utrzymanie oceny wskaźnika na poziomie FV. Liczebność młodych większa niż 70% dorosłych samic (przy założeniu, że ok 20% dorosłych osobników w schronieniu stanowią samce).</w:t>
            </w:r>
          </w:p>
          <w:p w14:paraId="61ED4DAB" w14:textId="70EC96D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kasztelu w Szymbarku: Utrzymanie oceny wskaźnika na poziomie FV. Liczebność młodych większa niż 70% dorosłych samic (przy założeniu, że ok 20% dorosłych osobników w schronieniu stanowią samce).</w:t>
            </w:r>
          </w:p>
          <w:p w14:paraId="4E94B104" w14:textId="3ADE65AB"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wskaźnika na poziomie FV. Liczebność młodych większa niż 70% dorosłych samic (przy założeniu, że ok 20% dorosłych osobników w schronieniu stanowią samce).</w:t>
            </w:r>
          </w:p>
        </w:tc>
      </w:tr>
      <w:tr w:rsidR="009E072C" w:rsidRPr="00A45ED9" w14:paraId="5D310CE8" w14:textId="77777777" w:rsidTr="00A23D39">
        <w:trPr>
          <w:trHeight w:val="281"/>
        </w:trPr>
        <w:tc>
          <w:tcPr>
            <w:tcW w:w="704" w:type="dxa"/>
            <w:vMerge/>
          </w:tcPr>
          <w:p w14:paraId="78223BC6"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545C1E94"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6D0DF326"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Powierzchnia schronienia dogodna dla nietoperzy</w:t>
            </w:r>
          </w:p>
        </w:tc>
        <w:tc>
          <w:tcPr>
            <w:tcW w:w="9610" w:type="dxa"/>
            <w:shd w:val="clear" w:color="auto" w:fill="auto"/>
            <w:vAlign w:val="center"/>
          </w:tcPr>
          <w:p w14:paraId="640DBB41" w14:textId="244C3520"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wskaźnika na poziomie U1. Powierzchnia schronienia dostępna dla nietoperzy uległa zmniejszeniu, jednak nie dotyczy to fragmentów o kluczowym znaczeniu dla podkowców małych (przelot nietoperzy do przedsionka cerkwi nie jest możliwy ze względów na zabezpieczenie siatką).</w:t>
            </w:r>
          </w:p>
          <w:p w14:paraId="7DD58C25" w14:textId="48AE68E0"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Powierzchnia schronienia dostępna dla nietoperzy nie uległa zmniejszeniu od ostatniej kontroli – cała kubatura wieży i poddasza jest dostępna dla nietoperzy.</w:t>
            </w:r>
          </w:p>
          <w:p w14:paraId="046E57FD" w14:textId="2E7C5248"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Apostoła w Kunkowej: Utrzymanie oceny wskaźnika na poziomie FV. Powierzchnia schronienia dostępna dla nietoperzy nie uległa zmniejszeniu od ostatniej kontroli – cała kubatura wieży i poddasza jest dostępna dla nietoperzy.</w:t>
            </w:r>
          </w:p>
          <w:p w14:paraId="183231CC" w14:textId="4167733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Powierzchnia schronienia dostępna dla nietoperzy nie uległa zmniejszeniu od ostatniej kontroli – cała kubatura wieży i poddasza jest dostępna dla nietoperzy.</w:t>
            </w:r>
          </w:p>
          <w:p w14:paraId="58AD0B04" w14:textId="4FFFDC0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wskaźnika na poziomie FV. Powierzchnia schronienia dostępna dla nietoperzy nie uległa zmniejszeniu od ostatniej kontroli – cała kubatura wieży, poddasza i dwóch bocznych pomieszczeń jest dostępna dla nietoperzy.</w:t>
            </w:r>
          </w:p>
          <w:p w14:paraId="018C833B" w14:textId="5F377726"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kościele pw. św. Michała Archanioła w Ropie: Utrzymanie oceny wskaźnika na poziomie FV. Powierzchnia schronienia dostępna dla nietoperzy nie uległa zmniejszeniu od ostatniej kontroli – cała kubatura wież, poddasza oraz piwniczki jest dostępna dla nietoperzy.</w:t>
            </w:r>
          </w:p>
          <w:p w14:paraId="06931BB2" w14:textId="58EA21E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lastRenderedPageBreak/>
              <w:t>Stanowisko w kasztelu w Szymbarku: Utrzymanie oceny wskaźnika na poziomie FV. Powierzchnia schronienia dostępna dla nietoperzy nie uległa zmniejszeniu od ostatniej kontroli – cała kubatura poddasza jest dostępna dla nietoperzy.</w:t>
            </w:r>
          </w:p>
          <w:p w14:paraId="400A10BE" w14:textId="636A1493"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wskaźnika na poziomie FV. Powierzchnia schronienia dostępna dla nietoperzy nie uległa zmniejszeniu od ostatniej kontroli – cała kubatura poddasza i wieży jest dostępna dla nietoperzy.</w:t>
            </w:r>
          </w:p>
        </w:tc>
      </w:tr>
      <w:tr w:rsidR="009E072C" w:rsidRPr="00A45ED9" w14:paraId="200338A9" w14:textId="77777777" w:rsidTr="00A23D39">
        <w:trPr>
          <w:trHeight w:val="281"/>
        </w:trPr>
        <w:tc>
          <w:tcPr>
            <w:tcW w:w="704" w:type="dxa"/>
            <w:vMerge/>
          </w:tcPr>
          <w:p w14:paraId="3DC90FDA"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6571E36D"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5D2EC681"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Zabezpieczenie przed niepokojeniem nietoperzy</w:t>
            </w:r>
          </w:p>
        </w:tc>
        <w:tc>
          <w:tcPr>
            <w:tcW w:w="9610" w:type="dxa"/>
            <w:shd w:val="clear" w:color="auto" w:fill="auto"/>
            <w:vAlign w:val="center"/>
          </w:tcPr>
          <w:p w14:paraId="7B8665EC" w14:textId="540D032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wskaźnika na poziomie FV. Obiekt jest zabezpieczony i nietoperze nie są niepokojone przez ludzi w okresie przebywania w schronieniu (wejście na poddasze wymaga użycia drabiny).</w:t>
            </w:r>
          </w:p>
          <w:p w14:paraId="6E011933" w14:textId="38BC14F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Obiekt jest zabezpieczony i nietoperze nie są niepokojone przez ludzi w okresie przebywania w schronieniu (klapa zabezpieczająca wejście).</w:t>
            </w:r>
          </w:p>
          <w:p w14:paraId="3B30AD24" w14:textId="500C73BD"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Apostoła w Kunkowej: Utrzymanie oceny wskaźnika na poziomie FV. Obiekt jest zabezpieczony i nietoperze nie są niepokojone przez ludzi w okresie przebywania w schronieniu.</w:t>
            </w:r>
          </w:p>
          <w:p w14:paraId="556F2268" w14:textId="7C92EDB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Obiekt jest zabezpieczony i nietoperze nie są niepokojone przez ludzi w okresie przebywania w schronieniu.</w:t>
            </w:r>
          </w:p>
          <w:p w14:paraId="2387D1F0" w14:textId="2A021F2B"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wskaźnika na poziomie FV. Obiekt jest zabezpieczony i nietoperze nie są niepokojone przez ludzi w okresie przebywania w schronieniu.</w:t>
            </w:r>
          </w:p>
          <w:p w14:paraId="2C8DBC14" w14:textId="4A709B1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kościele pw. św. Michała Archanioła w Ropie: Utrzymanie oceny wskaźnika na poziomie FV. Obiekt jest zabezpieczony i nietoperze nie są niepokojone przez ludzi w okresie przebywania w schronieniu (obiekt nie jest użytkowany, wejście na poddasze wymaga użycia drabiny).</w:t>
            </w:r>
          </w:p>
          <w:p w14:paraId="54752794" w14:textId="495E2F4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kasztelu w Szymbarku: Utrzymanie oceny wskaźnika na poziomie FV. Obiekt jest zabezpieczony i nietoperze nie są niepokojone przez ludzi w okresie przebywania w schronieniu.</w:t>
            </w:r>
          </w:p>
          <w:p w14:paraId="4D06FC20" w14:textId="1F076A7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wskaźnika na poziomie FV. Obiekt jest zabezpieczony i nietoperze nie są niepokojone przez ludzi w okresie przebywania w schronieniu (drzwi zamknięte na klucz).</w:t>
            </w:r>
          </w:p>
        </w:tc>
      </w:tr>
      <w:tr w:rsidR="009E072C" w:rsidRPr="00A45ED9" w14:paraId="117385EA" w14:textId="77777777" w:rsidTr="00A23D39">
        <w:trPr>
          <w:trHeight w:val="281"/>
        </w:trPr>
        <w:tc>
          <w:tcPr>
            <w:tcW w:w="704" w:type="dxa"/>
            <w:vMerge/>
          </w:tcPr>
          <w:p w14:paraId="36A1677D"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690BF3CF"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0A953E65"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Dostępność wlotów dla nietoperzy</w:t>
            </w:r>
          </w:p>
        </w:tc>
        <w:tc>
          <w:tcPr>
            <w:tcW w:w="9610" w:type="dxa"/>
            <w:shd w:val="clear" w:color="auto" w:fill="auto"/>
            <w:vAlign w:val="center"/>
          </w:tcPr>
          <w:p w14:paraId="68BFA179" w14:textId="18FBC39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wskaźnika na poziomie FV. Wloty są stale dostępne, nie występują czynniki utrudniające korzystanie z nich przez nietoperze.</w:t>
            </w:r>
          </w:p>
          <w:p w14:paraId="1AA29F16" w14:textId="7F249667"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Wloty są stale dostępne, nie występują czynniki utrudniające korzystanie z nich przez nietoperze.</w:t>
            </w:r>
          </w:p>
          <w:p w14:paraId="6BBDD9B1" w14:textId="6CC40602" w:rsidR="009E072C" w:rsidRPr="00A45ED9" w:rsidRDefault="009E072C" w:rsidP="009E072C">
            <w:pPr>
              <w:pStyle w:val="Standard"/>
              <w:snapToGrid w:val="0"/>
              <w:spacing w:before="60" w:after="60"/>
              <w:jc w:val="both"/>
              <w:rPr>
                <w:sz w:val="22"/>
                <w:szCs w:val="22"/>
                <w:lang w:val="pl-PL"/>
              </w:rPr>
            </w:pPr>
            <w:r w:rsidRPr="00A45ED9">
              <w:rPr>
                <w:sz w:val="22"/>
                <w:szCs w:val="22"/>
                <w:lang w:val="pl-PL"/>
              </w:rPr>
              <w:lastRenderedPageBreak/>
              <w:t>Stanowisko w cerkwi pw. św. Łukasza Apostoła w Kunkowej: Utrzymanie oceny wskaźnika na poziomie FV. Wloty są stale dostępne, nie występują czynniki utrudniające korzystanie z nich przez nietoperze.</w:t>
            </w:r>
          </w:p>
          <w:p w14:paraId="6D555F2C" w14:textId="7D3155D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Wloty są stale dostępne, nie występują czynniki utrudniające korzystanie z nich przez nietoperze.</w:t>
            </w:r>
          </w:p>
          <w:p w14:paraId="7F310F32" w14:textId="47A26426"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wskaźnika na poziomie FV. Wloty są stale dostępne, nie występują czynniki utrudniające korzystanie z nich przez nietoperze.</w:t>
            </w:r>
          </w:p>
          <w:p w14:paraId="1820E6E1" w14:textId="2AEB38A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kościele pw. św. Michała Archanioła w Ropie: Co najmniej utrzymanie oceny wskaźnika na poziomie U1. Wloty na wieżę i poddasze są stale dostępne i drożne, wlot do piwniczki jest czasowo niedostępny, jednak nie stwierdza się spadku liczebności nietoperzy.</w:t>
            </w:r>
          </w:p>
          <w:p w14:paraId="41460700" w14:textId="607EF171"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kasztelu w Szymbarku: Utrzymanie oceny wskaźnika na poziomie FV. Wloty są stale dostępne, nie występują czynniki utrudniające korzystanie z nich przez nietoperze.</w:t>
            </w:r>
          </w:p>
          <w:p w14:paraId="36E1D9F6" w14:textId="19E383A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wskaźnika na poziomie FV. Wloty są stale dostępne, nie występują czynniki utrudniające korzystanie z nich przez nietoperze.</w:t>
            </w:r>
          </w:p>
        </w:tc>
      </w:tr>
      <w:tr w:rsidR="009E072C" w:rsidRPr="00A45ED9" w14:paraId="415BBF7F" w14:textId="77777777" w:rsidTr="00A23D39">
        <w:trPr>
          <w:trHeight w:val="281"/>
        </w:trPr>
        <w:tc>
          <w:tcPr>
            <w:tcW w:w="704" w:type="dxa"/>
            <w:vMerge/>
          </w:tcPr>
          <w:p w14:paraId="17E529CB"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4D8104AC"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699D0F9A"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Ekspozycja wlotów</w:t>
            </w:r>
          </w:p>
        </w:tc>
        <w:tc>
          <w:tcPr>
            <w:tcW w:w="9610" w:type="dxa"/>
            <w:shd w:val="clear" w:color="auto" w:fill="auto"/>
            <w:vAlign w:val="center"/>
          </w:tcPr>
          <w:p w14:paraId="1CADDE53" w14:textId="74BD6642"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wskaźnika na poziomie FV. Wloty są w miejscach osłoniętych, zacienionych, umożliwiających wczesny wlot i bezpośredni bezpieczny przelot pod osłonę gałęzi drzew lub krzewów.</w:t>
            </w:r>
          </w:p>
          <w:p w14:paraId="5536CAFA" w14:textId="66D9CB66"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Wloty są w miejscach osłoniętych, zacienionych, umożliwiających wylot i bezpośredni bezpieczny przelot pod osłonę gałęzi drzew. Iluminacja tylko jedną lampą skierowaną na wieżę budynku od strony drogi (wloty po przeciwnej stronie wieży).</w:t>
            </w:r>
          </w:p>
          <w:p w14:paraId="3215B4D5" w14:textId="164CCD10"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 xml:space="preserve">Stanowisko w cerkwi pw. św. Łukasza Apostoła w Kunkowej: Utrzymanie oceny wskaźnika na poziomie FV. Wloty są w miejscach osłoniętych, zacienionych, umożliwiających wylot i bezpośredni bezpieczny przelot pod osłonę gałęzi drzew. Obiekt nie posiada iluminacji zewnętrznej. </w:t>
            </w:r>
          </w:p>
          <w:p w14:paraId="05C72B52" w14:textId="2392E4B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Wloty są w miejscach osłoniętych, zacienionych, umożliwiających wylot i bezpośredni bezpieczny przelot pod osłonę gałęzi drzew. Obiekt nie posiada iluminacji zewnętrznej.</w:t>
            </w:r>
          </w:p>
          <w:p w14:paraId="44D59765" w14:textId="2200093B"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wskaźnika na poziomie FV. Wloty są w miejscach osłoniętych, zacienionych, umożliwiających wylot i bezpośredni bezpieczny przelot pod osłonę gałęzi drzew. Obiekt nie posiada iluminacji zewnętrznej.</w:t>
            </w:r>
          </w:p>
          <w:p w14:paraId="511DD6C8" w14:textId="07B20AB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 xml:space="preserve">Stanowisko w kościele pw. św. Michała Archanioła w Ropie: Co najmniej utrzymanie wskaźnika na poziomie U1. Wloty są umiejscowione w miejscu mniej bezpiecznym niż przy poziomie FV (okolice </w:t>
            </w:r>
            <w:r w:rsidRPr="00A45ED9">
              <w:rPr>
                <w:sz w:val="22"/>
                <w:szCs w:val="22"/>
                <w:lang w:val="pl-PL"/>
              </w:rPr>
              <w:lastRenderedPageBreak/>
              <w:t>wlotów częściowo oświetlone lampami ulicznymi), jednak na podstawie badań z min. 3 lat bez negatywnego wpływu na liczebność kolonii.</w:t>
            </w:r>
          </w:p>
          <w:p w14:paraId="00C58F60" w14:textId="30EFCE16"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 xml:space="preserve">Stanowisko w kasztelu w Szymbarku: Utrzymanie oceny wskaźnika na poziomie FV. Wloty są w miejscach osłoniętych, zacienionych, umożliwiających wylot i bezpośredni bezpieczny przelot pod osłonę gałęzi drzew. Obiekt po modernizacji iluminacji, oświetlona jest tylko ściana frontowa kasztelu, natomiast istotne dla nietoperzy sektory ścian i dachu oraz otoczenie obiektu są zacienione. </w:t>
            </w:r>
          </w:p>
          <w:p w14:paraId="0DEC67EE" w14:textId="1576D9A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wskaźnika na poziomie FV. Wloty są w miejscach osłoniętych, zacienionych, umożliwiających wylot i bezpośredni bezpieczny przelot pod osłonę gałęzi drzew. Obiekt nie posiada iluminacji zewnętrznej.</w:t>
            </w:r>
          </w:p>
        </w:tc>
      </w:tr>
      <w:tr w:rsidR="009E072C" w:rsidRPr="00A45ED9" w14:paraId="20582D30" w14:textId="77777777" w:rsidTr="00A23D39">
        <w:trPr>
          <w:trHeight w:val="281"/>
        </w:trPr>
        <w:tc>
          <w:tcPr>
            <w:tcW w:w="704" w:type="dxa"/>
            <w:vMerge/>
          </w:tcPr>
          <w:p w14:paraId="77CE4127"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3EA66317"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10342ED1"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Łączność schronienia z żerowiskami</w:t>
            </w:r>
          </w:p>
        </w:tc>
        <w:tc>
          <w:tcPr>
            <w:tcW w:w="9610" w:type="dxa"/>
            <w:shd w:val="clear" w:color="auto" w:fill="auto"/>
            <w:vAlign w:val="center"/>
          </w:tcPr>
          <w:p w14:paraId="1A494EB6" w14:textId="1B72AA86"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wskaźnika na poziomie FV. Schronienie znajduje się w granicach terenów żerowiskowych lub w ich kierunku prowadzą liniowe elementy środowiska (aleje, krzewy, żywopłoty itp.) zapewniające ciągły, bezpieczny przelot w ich osłonie.</w:t>
            </w:r>
          </w:p>
          <w:p w14:paraId="095D6387" w14:textId="19B8842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Obiekt położony w niedalekiej odległości od kompleksu leśnego, stanowiącego potencjalne żerowisko, z którym jest połączony ciągami zadrzewień, a w pobliżu obiektu przepływa strumień.</w:t>
            </w:r>
          </w:p>
          <w:p w14:paraId="5EBFE97D" w14:textId="36060077"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Apostoła w Kunkowej: Utrzymanie oceny wskaźnika na poziomie FV. Obiekt położony w niedalekiej odległości od kompleksu leśnego, stanowiącego potencjalne żerowisko, z którym jest połączony ciągami zadrzewień, a w pobliżu obiektu przepływa strumień.</w:t>
            </w:r>
          </w:p>
          <w:p w14:paraId="036D4A23" w14:textId="2DFEB821"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Obiekt położony w niedalekiej odległości od kompleksów leśnych, stanowiących potencjalne żerowiska, z którymi jest połączony ciągami zadrzewień, a w pobliżu obiektu przepływa strumień.</w:t>
            </w:r>
          </w:p>
          <w:p w14:paraId="12C1DF82" w14:textId="043D855D"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wskaźnika na poziomie FV. Schronienie znajduje się w granicach terenów żerowiskowych lub w ich kierunku prowadzą liniowe elementy środowiska (aleje, krzewy, żywopłoty itp.) zapewniające ciągły, bezpieczny przelot w ich osłonie, w pobliżu obiektu przepływa strumień.</w:t>
            </w:r>
          </w:p>
          <w:p w14:paraId="32A839F2" w14:textId="691F5709"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 xml:space="preserve">Stanowisko w kościele pw. św. Michała Archanioła w Ropie: Co najmniej utrzymanie oceny wskaźnika na poziomie U1. Obiekt położony w niedalekiej odległości od żerowiska, jednak migracja jest utrudniona, ponieważ niektóre odcinki są pozbawione osłony, wskutek wycinki zadrzewień. </w:t>
            </w:r>
          </w:p>
          <w:p w14:paraId="7AC3C9D5" w14:textId="65CF9BC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kasztelu w Szymbarku: Utrzymanie oceny wskaźnika na poziomie FV. Schronienie znajduje się w granicach terenów żerowiskowych lub w ich kierunku prowadzą liniowe elementy środowiska (aleje, krzewy, żywopłoty itp.) zapewniające ciągły, bezpieczny przelot w ich osłonie.</w:t>
            </w:r>
          </w:p>
          <w:p w14:paraId="5218E6B9" w14:textId="6509D7A1" w:rsidR="009E072C" w:rsidRPr="00A45ED9" w:rsidRDefault="009E072C" w:rsidP="009E072C">
            <w:pPr>
              <w:pStyle w:val="Standard"/>
              <w:snapToGrid w:val="0"/>
              <w:spacing w:before="60" w:after="60"/>
              <w:jc w:val="both"/>
              <w:rPr>
                <w:sz w:val="22"/>
                <w:szCs w:val="22"/>
                <w:lang w:val="pl-PL"/>
              </w:rPr>
            </w:pPr>
            <w:r w:rsidRPr="00A45ED9">
              <w:rPr>
                <w:sz w:val="22"/>
                <w:szCs w:val="22"/>
                <w:lang w:val="pl-PL"/>
              </w:rPr>
              <w:lastRenderedPageBreak/>
              <w:t>Stanowisko w cerkwi pw. św. Dymitra w Śnietnicy: Utrzymanie oceny wskaźnika na poziomie FV. Schronienie znajduje się w granicach terenów żerowiskowych lub w ich kierunku prowadzą liniowe elementy środowiska (aleje, krzewy, żywopłoty itp.) zapewniające ciągły, bezpieczny przelot w ich osłonie.</w:t>
            </w:r>
          </w:p>
        </w:tc>
      </w:tr>
      <w:tr w:rsidR="009E072C" w:rsidRPr="00A45ED9" w14:paraId="78C63719" w14:textId="77777777" w:rsidTr="00A23D39">
        <w:trPr>
          <w:trHeight w:val="281"/>
        </w:trPr>
        <w:tc>
          <w:tcPr>
            <w:tcW w:w="704" w:type="dxa"/>
            <w:vMerge/>
          </w:tcPr>
          <w:p w14:paraId="71CA4614"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77EF5D94"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34E601C2"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Niezmienność warunków mikroklimatycznych</w:t>
            </w:r>
          </w:p>
        </w:tc>
        <w:tc>
          <w:tcPr>
            <w:tcW w:w="9610" w:type="dxa"/>
            <w:shd w:val="clear" w:color="auto" w:fill="auto"/>
            <w:vAlign w:val="center"/>
          </w:tcPr>
          <w:p w14:paraId="219AF9BE" w14:textId="25A22709"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Co najmniej utrzymanie oceny wskaźnika na poziomie U1. Nie odnotowano zmian w obrębie poddasza, ale nie jest możliwy przelot nietoperzy do przedsionka cerkwi (który zapewniał optymalne warunki w okresach przejściowych) ze względów na zabezpieczenie siatką, jednak liczebność nadal jest oceniana jako FV.</w:t>
            </w:r>
          </w:p>
          <w:p w14:paraId="1D640B24" w14:textId="2E2391EE"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Nie obserwuje się zmian w otoczeniu lub strukturze schronienia mających wpływ na jego warunki mikroklimatyczne; bądź zmiany można bezsprzecznie opisać jako pozytywne.</w:t>
            </w:r>
          </w:p>
          <w:p w14:paraId="220C1F46" w14:textId="4D917142"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Apostoła w Kunkowej: Utrzymanie oceny wskaźnika na poziomie FV. Nie obserwuje się zmian w otoczeniu lub strukturze schronienia mających wpływ na jego warunki mikroklimatyczne; bądź zmiany można bezsprzecznie opisać jako pozytywne.</w:t>
            </w:r>
          </w:p>
          <w:p w14:paraId="461886F0" w14:textId="5FB2C38C"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Nie obserwuje się zmian w otoczeniu lub strukturze schronienia mających wpływ na jego warunki mikroklimatyczne; bądź zmiany można bezsprzecznie opisać jako pozytywne.</w:t>
            </w:r>
          </w:p>
          <w:p w14:paraId="35FD7C1B" w14:textId="6804B22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wskaźnika na poziomie FV. Nie obserwuje się zmian w otoczeniu lub strukturze schronienia mających wpływ na jego warunki mikroklimatyczne; bądź zmiany można bezsprzecznie opisać jako pozytywne.</w:t>
            </w:r>
          </w:p>
          <w:p w14:paraId="588EE642" w14:textId="08945F8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kościele pw. św. Michała Archanioła w Ropie: Utrzymanie oceny wskaźnika na poziomie FV. Nie obserwuje się zmian w otoczeniu lub strukturze schronienia mających wpływ na jego warunki mikroklimatyczne; bądź zmiany można bezsprzecznie opisać jako pozytywne.</w:t>
            </w:r>
          </w:p>
          <w:p w14:paraId="7D2452A1" w14:textId="79F1210B"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kasztelu w Szymbarku: Utrzymanie oceny wskaźnika na poziomie FV. Nie obserwuje się zmian w otoczeniu lub strukturze schronienia mających wpływ na jego warunki mikroklimatyczne; bądź zmiany można bezsprzecznie opisać jako pozytywne.</w:t>
            </w:r>
          </w:p>
          <w:p w14:paraId="2105DB99" w14:textId="52ECA857"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wskaźnika na poziomie FV. Nie obserwuje się zmian w otoczeniu lub strukturze schronienia mających wpływ na jego warunki mikroklimatyczne; bądź zmiany można bezsprzecznie opisać jako pozytywne.</w:t>
            </w:r>
          </w:p>
        </w:tc>
      </w:tr>
      <w:tr w:rsidR="009E072C" w:rsidRPr="00A45ED9" w14:paraId="1EA671C2" w14:textId="77777777" w:rsidTr="00A23D39">
        <w:trPr>
          <w:trHeight w:val="281"/>
        </w:trPr>
        <w:tc>
          <w:tcPr>
            <w:tcW w:w="704" w:type="dxa"/>
            <w:vMerge/>
          </w:tcPr>
          <w:p w14:paraId="673CB4F6"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1EF73D60"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0DFA56F5"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Zmiany w strukturze żerowisk w otoczeniu schronień</w:t>
            </w:r>
          </w:p>
        </w:tc>
        <w:tc>
          <w:tcPr>
            <w:tcW w:w="9610" w:type="dxa"/>
            <w:shd w:val="clear" w:color="auto" w:fill="auto"/>
            <w:vAlign w:val="center"/>
          </w:tcPr>
          <w:p w14:paraId="18371330" w14:textId="130BC132"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wskaźnika na poziomie FV. Nie obserwuje się zauważalnych, istotnych zmian ograniczających możliwość żerowania.</w:t>
            </w:r>
          </w:p>
          <w:p w14:paraId="13E7E458" w14:textId="115BCBA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wskaźnika na poziomie FV. Nie obserwuje się zauważalnych, istotnych zmian ograniczających możliwość żerowania.</w:t>
            </w:r>
          </w:p>
          <w:p w14:paraId="422FB785" w14:textId="18F94FEB" w:rsidR="009E072C" w:rsidRPr="00A45ED9" w:rsidRDefault="009E072C" w:rsidP="009E072C">
            <w:pPr>
              <w:pStyle w:val="Standard"/>
              <w:snapToGrid w:val="0"/>
              <w:spacing w:before="60" w:after="60"/>
              <w:jc w:val="both"/>
              <w:rPr>
                <w:sz w:val="22"/>
                <w:szCs w:val="22"/>
                <w:lang w:val="pl-PL"/>
              </w:rPr>
            </w:pPr>
            <w:r w:rsidRPr="00A45ED9">
              <w:rPr>
                <w:sz w:val="22"/>
                <w:szCs w:val="22"/>
                <w:lang w:val="pl-PL"/>
              </w:rPr>
              <w:lastRenderedPageBreak/>
              <w:t>Stanowisko w cerkwi pw. św. Łukasza Apostoła w Kunkowej: Utrzymanie oceny wskaźnika na poziomie FV. Nie obserwuje się zauważalnych, istotnych zmian ograniczających możliwość żerowania.</w:t>
            </w:r>
          </w:p>
          <w:p w14:paraId="3BA041F5" w14:textId="33B12786"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wskaźnika na poziomie FV. Nie obserwuje się zauważalnych, istotnych zmian ograniczających możliwość żerowania.</w:t>
            </w:r>
          </w:p>
          <w:p w14:paraId="0E0F2947" w14:textId="50486C4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wskaźnika na poziomie FV. Nie obserwuje się zauważalnych, istotnych zmian ograniczających możliwość żerowania.</w:t>
            </w:r>
          </w:p>
          <w:p w14:paraId="76AF3107" w14:textId="74723EB2"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kościele pw. św. Michała Archanioła w Ropie: Utrzymanie oceny wskaźnika na poziomie FV. Nie obserwuje się zauważalnych, istotnych zmian ograniczających możliwość żerowania.</w:t>
            </w:r>
          </w:p>
          <w:p w14:paraId="39F8C823" w14:textId="647E360C"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kasztelu w Szymbarku: Utrzymanie oceny wskaźnika na poziomie FV. Nie obserwuje się zauważalnych, istotnych zmian ograniczających możliwość żerowania.</w:t>
            </w:r>
          </w:p>
          <w:p w14:paraId="7EB27103" w14:textId="0F0BD46A"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wskaźnika na poziomie FV. Nie obserwuje się zauważalnych, istotnych zmian ograniczających możliwość żerowania.</w:t>
            </w:r>
          </w:p>
        </w:tc>
      </w:tr>
      <w:tr w:rsidR="009E072C" w:rsidRPr="00A45ED9" w14:paraId="2A53A62E" w14:textId="77777777" w:rsidTr="004F6F1B">
        <w:trPr>
          <w:trHeight w:val="708"/>
        </w:trPr>
        <w:tc>
          <w:tcPr>
            <w:tcW w:w="704" w:type="dxa"/>
            <w:vMerge/>
          </w:tcPr>
          <w:p w14:paraId="7266E814" w14:textId="77777777" w:rsidR="009E072C" w:rsidRPr="00A45ED9" w:rsidRDefault="009E072C" w:rsidP="009E072C">
            <w:pPr>
              <w:pStyle w:val="Akapitzlist"/>
              <w:autoSpaceDE w:val="0"/>
              <w:autoSpaceDN w:val="0"/>
              <w:adjustRightInd w:val="0"/>
              <w:spacing w:before="60" w:after="60"/>
              <w:ind w:left="0"/>
              <w:rPr>
                <w:bCs/>
                <w:sz w:val="22"/>
                <w:szCs w:val="22"/>
              </w:rPr>
            </w:pPr>
          </w:p>
        </w:tc>
        <w:tc>
          <w:tcPr>
            <w:tcW w:w="1985" w:type="dxa"/>
            <w:vMerge/>
          </w:tcPr>
          <w:p w14:paraId="70E247D7" w14:textId="77777777" w:rsidR="009E072C" w:rsidRPr="00A45ED9" w:rsidRDefault="009E072C" w:rsidP="009E072C">
            <w:pPr>
              <w:pStyle w:val="Akapitzlist"/>
              <w:autoSpaceDE w:val="0"/>
              <w:autoSpaceDN w:val="0"/>
              <w:adjustRightInd w:val="0"/>
              <w:spacing w:before="60" w:after="60"/>
              <w:ind w:left="0"/>
              <w:rPr>
                <w:b/>
                <w:bCs/>
                <w:sz w:val="22"/>
                <w:szCs w:val="22"/>
              </w:rPr>
            </w:pPr>
          </w:p>
        </w:tc>
        <w:tc>
          <w:tcPr>
            <w:tcW w:w="2268" w:type="dxa"/>
            <w:vAlign w:val="center"/>
          </w:tcPr>
          <w:p w14:paraId="33EAF79F" w14:textId="77777777" w:rsidR="009E072C" w:rsidRPr="00A45ED9" w:rsidRDefault="009E072C" w:rsidP="009E072C">
            <w:pPr>
              <w:pStyle w:val="Standard"/>
              <w:spacing w:before="60" w:after="60"/>
              <w:jc w:val="center"/>
              <w:rPr>
                <w:sz w:val="22"/>
                <w:szCs w:val="22"/>
                <w:lang w:val="pl-PL"/>
              </w:rPr>
            </w:pPr>
            <w:r w:rsidRPr="00A45ED9">
              <w:rPr>
                <w:sz w:val="22"/>
                <w:szCs w:val="22"/>
                <w:lang w:val="pl-PL"/>
              </w:rPr>
              <w:t>Perspektywy zachowania</w:t>
            </w:r>
          </w:p>
        </w:tc>
        <w:tc>
          <w:tcPr>
            <w:tcW w:w="9610" w:type="dxa"/>
            <w:shd w:val="clear" w:color="auto" w:fill="auto"/>
            <w:vAlign w:val="center"/>
          </w:tcPr>
          <w:p w14:paraId="4585324B" w14:textId="56BDC930"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śś Kosmy i Damiana w Blechnarce: Utrzymanie oceny parametru na poziomie FV. Przy zachowaniu obecnego stanu użytkowania obiektu, jego najbliższego otoczenia oraz okolicznych obszarów leśnych przewiduje się  utrzymanie obecnego stanu populacji. Perspektywy zachowania gatunku na stanowisku są dobre.</w:t>
            </w:r>
          </w:p>
          <w:p w14:paraId="21E73B18" w14:textId="76663141"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Opieki Bogurodzicy w Hańczowej: Utrzymanie oceny parametru na poziomie FV. Przy zachowaniu obecnego stanu użytkowania obiektu, jego najbliższego otoczenia oraz okolicznych obszarów leśnych przewiduje się  utrzymanie obecnego stanu populacji. Perspektywy zachowania gatunku na stanowisku są dobre.</w:t>
            </w:r>
          </w:p>
          <w:p w14:paraId="3ED2C503" w14:textId="442FBCAE"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Apostoła w Kunkowej: Utrzymanie oceny parametru na poziomie FV. Przy zachowaniu obecnego stanu użytkowania obiektu, jego najbliższego otoczenia oraz okolicznych obszarów leśnych przewiduje się  utrzymanie obecnego stanu populacji. Perspektywy zachowania gatunku na stanowisku są dobre.</w:t>
            </w:r>
          </w:p>
          <w:p w14:paraId="36DCCDE5" w14:textId="79AB858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Łukasza w Leszczynach: Utrzymanie oceny parametru na poziomie FV. Przy zachowaniu obecnego stanu użytkowania obiektu, jego najbliższego otoczenia oraz okolicznych obszarów leśnych przewiduje się  utrzymanie obecnego stanu populacji. Perspektywy zachowania gatunku na stanowisku są dobre.</w:t>
            </w:r>
          </w:p>
          <w:p w14:paraId="4FD3A0CF" w14:textId="612593FF"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Narodzenia NMP w Łosiu: Utrzymanie oceny parametru na poziomie FV. Przy zachowaniu obecnego stanu użytkowania obiektu, jego najbliższego otoczenia oraz okolicznych obszarów leśnych przewiduje się  utrzymanie obecnego stanu populacji. Perspektywy zachowania gatunku na stanowisku są dobre.</w:t>
            </w:r>
          </w:p>
          <w:p w14:paraId="04CCFE25" w14:textId="3CC7C42D" w:rsidR="009E072C" w:rsidRPr="00A45ED9" w:rsidRDefault="009E072C" w:rsidP="009E072C">
            <w:pPr>
              <w:pStyle w:val="Standard"/>
              <w:snapToGrid w:val="0"/>
              <w:spacing w:before="60" w:after="60"/>
              <w:jc w:val="both"/>
              <w:rPr>
                <w:sz w:val="22"/>
                <w:szCs w:val="22"/>
                <w:lang w:val="pl-PL"/>
              </w:rPr>
            </w:pPr>
            <w:r w:rsidRPr="00A45ED9">
              <w:rPr>
                <w:sz w:val="22"/>
                <w:szCs w:val="22"/>
                <w:lang w:val="pl-PL"/>
              </w:rPr>
              <w:lastRenderedPageBreak/>
              <w:t>Stanowisko w kościele pw. św. Michała Archanioła w Ropie: Utrzymanie oceny parametru na poziomie FV. Przy zachowaniu obecnego stanu użytkowania obiektu, jego najbliższego otoczenia oraz okolicznych obszarów leśnych przewiduje się  utrzymanie obecnego stanu populacji. Perspektywy zachowania gatunku na stanowisku są dobre.</w:t>
            </w:r>
          </w:p>
          <w:p w14:paraId="473E75DB" w14:textId="4F2F3588"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kasztelu w Szymbarku: Utrzymanie oceny parametru na poziomie FV. Przy zachowaniu obecnego stanu użytkowania obiektu, jego najbliższego otoczenia oraz okolicznych obszarów leśnych przewiduje się  utrzymanie obecnego stanu populacji. Perspektywy zachowania gatunku na stanowisku są dobre.</w:t>
            </w:r>
          </w:p>
          <w:p w14:paraId="00C540CD" w14:textId="4651426E"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Stanowisko w cerkwi pw. św. Dymitra w Śnietnicy: Utrzymanie oceny parametru na poziomie FV. Przy zachowaniu obecnego stanu użytkowania obiektu, jego najbliższego otoczenia oraz okolicznych obszarów leśnych przewiduje się  utrzymanie obecnego stanu populacji. Perspektywy zachowania gatunku na stanowisku są dobre.</w:t>
            </w:r>
          </w:p>
        </w:tc>
      </w:tr>
      <w:tr w:rsidR="009E072C" w:rsidRPr="00A45ED9" w14:paraId="44BB4498" w14:textId="77777777" w:rsidTr="00A23D39">
        <w:trPr>
          <w:trHeight w:val="281"/>
        </w:trPr>
        <w:tc>
          <w:tcPr>
            <w:tcW w:w="704" w:type="dxa"/>
            <w:vMerge w:val="restart"/>
          </w:tcPr>
          <w:p w14:paraId="74179737" w14:textId="4F136C5B" w:rsidR="009E072C" w:rsidRPr="00A45ED9" w:rsidRDefault="009E072C" w:rsidP="009E072C">
            <w:pPr>
              <w:pStyle w:val="Akapitzlist"/>
              <w:autoSpaceDE w:val="0"/>
              <w:autoSpaceDN w:val="0"/>
              <w:adjustRightInd w:val="0"/>
              <w:spacing w:before="60" w:after="60"/>
              <w:ind w:left="0"/>
              <w:rPr>
                <w:iCs/>
                <w:sz w:val="22"/>
                <w:szCs w:val="22"/>
              </w:rPr>
            </w:pPr>
            <w:r w:rsidRPr="00A45ED9">
              <w:rPr>
                <w:iCs/>
                <w:sz w:val="22"/>
                <w:szCs w:val="22"/>
              </w:rPr>
              <w:lastRenderedPageBreak/>
              <w:t>4.</w:t>
            </w:r>
          </w:p>
        </w:tc>
        <w:tc>
          <w:tcPr>
            <w:tcW w:w="1985" w:type="dxa"/>
            <w:vMerge w:val="restart"/>
          </w:tcPr>
          <w:p w14:paraId="42D97EF9" w14:textId="77777777" w:rsidR="009E072C" w:rsidRPr="00A45ED9" w:rsidRDefault="009E072C" w:rsidP="009E072C">
            <w:pPr>
              <w:pStyle w:val="Akapitzlist"/>
              <w:autoSpaceDE w:val="0"/>
              <w:autoSpaceDN w:val="0"/>
              <w:adjustRightInd w:val="0"/>
              <w:spacing w:before="60" w:after="60"/>
              <w:ind w:left="0"/>
              <w:rPr>
                <w:i/>
                <w:iCs/>
                <w:sz w:val="22"/>
                <w:szCs w:val="22"/>
              </w:rPr>
            </w:pPr>
            <w:r w:rsidRPr="00A45ED9">
              <w:rPr>
                <w:iCs/>
                <w:sz w:val="22"/>
                <w:szCs w:val="22"/>
              </w:rPr>
              <w:t xml:space="preserve">1324 nocek duży </w:t>
            </w:r>
            <w:r w:rsidRPr="00A45ED9">
              <w:rPr>
                <w:i/>
                <w:iCs/>
                <w:sz w:val="22"/>
                <w:szCs w:val="22"/>
              </w:rPr>
              <w:t xml:space="preserve">Myotis myotis </w:t>
            </w:r>
          </w:p>
          <w:p w14:paraId="4811052D" w14:textId="570B306D" w:rsidR="009E072C" w:rsidRPr="00A45ED9" w:rsidRDefault="009E072C" w:rsidP="009E072C">
            <w:pPr>
              <w:pStyle w:val="Akapitzlist"/>
              <w:autoSpaceDE w:val="0"/>
              <w:autoSpaceDN w:val="0"/>
              <w:adjustRightInd w:val="0"/>
              <w:spacing w:before="60" w:after="60"/>
              <w:ind w:left="0"/>
              <w:rPr>
                <w:bCs/>
                <w:iCs/>
                <w:sz w:val="22"/>
                <w:szCs w:val="22"/>
              </w:rPr>
            </w:pPr>
          </w:p>
        </w:tc>
        <w:tc>
          <w:tcPr>
            <w:tcW w:w="2268" w:type="dxa"/>
            <w:vAlign w:val="center"/>
          </w:tcPr>
          <w:p w14:paraId="4B207BEB" w14:textId="77777777" w:rsidR="009E072C" w:rsidRPr="00A45ED9" w:rsidRDefault="009E072C" w:rsidP="009E072C">
            <w:pPr>
              <w:pStyle w:val="Standard"/>
              <w:snapToGrid w:val="0"/>
              <w:jc w:val="center"/>
              <w:rPr>
                <w:sz w:val="22"/>
                <w:szCs w:val="22"/>
                <w:lang w:val="pl-PL"/>
              </w:rPr>
            </w:pPr>
            <w:r w:rsidRPr="00A45ED9">
              <w:rPr>
                <w:sz w:val="22"/>
                <w:szCs w:val="22"/>
                <w:lang w:val="pl-PL"/>
              </w:rPr>
              <w:t>Liczebność</w:t>
            </w:r>
          </w:p>
          <w:p w14:paraId="3C7994F8" w14:textId="77777777" w:rsidR="009E072C" w:rsidRPr="00A45ED9" w:rsidRDefault="009E072C" w:rsidP="009E072C">
            <w:pPr>
              <w:pStyle w:val="Standard"/>
              <w:spacing w:before="60" w:after="60"/>
              <w:jc w:val="center"/>
              <w:rPr>
                <w:sz w:val="22"/>
                <w:szCs w:val="22"/>
                <w:lang w:val="pl-PL"/>
              </w:rPr>
            </w:pPr>
          </w:p>
        </w:tc>
        <w:tc>
          <w:tcPr>
            <w:tcW w:w="9610" w:type="dxa"/>
            <w:shd w:val="clear" w:color="auto" w:fill="auto"/>
            <w:vAlign w:val="center"/>
          </w:tcPr>
          <w:p w14:paraId="383ED351" w14:textId="77777777"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Utrzymanie kolonii rozrodczej na stanowisku oraz utrzymanie oceny wskaźnika na poziomie FV. Liczba osobników dorosłych większa niż 80 % liczby z ubiegłego roku oraz istotny statystycznie średni spadek liczebności z wielolecia nie jest większy niż 5% rocznie.</w:t>
            </w:r>
          </w:p>
          <w:p w14:paraId="5D3DA84F" w14:textId="77777777" w:rsidR="009E072C" w:rsidRPr="00A45ED9" w:rsidRDefault="009E072C" w:rsidP="009E072C">
            <w:pPr>
              <w:pStyle w:val="Standard"/>
              <w:snapToGrid w:val="0"/>
              <w:spacing w:before="60" w:after="60"/>
              <w:jc w:val="both"/>
              <w:rPr>
                <w:sz w:val="22"/>
                <w:szCs w:val="22"/>
                <w:lang w:val="pl-PL"/>
              </w:rPr>
            </w:pPr>
          </w:p>
          <w:p w14:paraId="2DF90180" w14:textId="216ECF65"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 xml:space="preserve">Nocek duży </w:t>
            </w:r>
            <w:r w:rsidRPr="00A45ED9">
              <w:rPr>
                <w:i/>
                <w:iCs/>
                <w:sz w:val="22"/>
                <w:szCs w:val="22"/>
                <w:lang w:val="pl-PL"/>
              </w:rPr>
              <w:t>Myotis myotis</w:t>
            </w:r>
            <w:r w:rsidRPr="00A45ED9">
              <w:rPr>
                <w:sz w:val="22"/>
                <w:szCs w:val="22"/>
                <w:lang w:val="pl-PL"/>
              </w:rPr>
              <w:t xml:space="preserve"> występuje w kościele pw. Wniebowzięcia Najświętszej Maryi Panny w Małastowie, który jest stanowiskiem kolonii rozrodczej tego gatunku. </w:t>
            </w:r>
          </w:p>
        </w:tc>
      </w:tr>
      <w:tr w:rsidR="009E072C" w:rsidRPr="00A45ED9" w14:paraId="043D9A3F" w14:textId="77777777" w:rsidTr="00A23D39">
        <w:trPr>
          <w:trHeight w:val="281"/>
        </w:trPr>
        <w:tc>
          <w:tcPr>
            <w:tcW w:w="704" w:type="dxa"/>
            <w:vMerge/>
          </w:tcPr>
          <w:p w14:paraId="5F4364CB"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377E96F7"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0E7245B2" w14:textId="3317105D" w:rsidR="009E072C" w:rsidRPr="00A45ED9" w:rsidRDefault="009E072C" w:rsidP="009E072C">
            <w:pPr>
              <w:pStyle w:val="Standard"/>
              <w:spacing w:before="60" w:after="60"/>
              <w:jc w:val="center"/>
              <w:rPr>
                <w:sz w:val="22"/>
                <w:szCs w:val="22"/>
                <w:lang w:val="pl-PL"/>
              </w:rPr>
            </w:pPr>
            <w:r w:rsidRPr="00A45ED9">
              <w:rPr>
                <w:sz w:val="22"/>
                <w:szCs w:val="22"/>
                <w:lang w:val="pl-PL"/>
              </w:rPr>
              <w:t>Struktura wiekowa</w:t>
            </w:r>
          </w:p>
        </w:tc>
        <w:tc>
          <w:tcPr>
            <w:tcW w:w="9610" w:type="dxa"/>
            <w:shd w:val="clear" w:color="auto" w:fill="auto"/>
            <w:vAlign w:val="center"/>
          </w:tcPr>
          <w:p w14:paraId="7ED6746E" w14:textId="16DB7BE1"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 xml:space="preserve">Co najmniej utrzymanie oceny wskaźnika na poziomie U1. Liczebność młodych pokrytych futrem, ale przed uzyskaniem zdolności lotu pomiędzy 30-70% dorosłych samic w dniu kontroli. </w:t>
            </w:r>
          </w:p>
        </w:tc>
      </w:tr>
      <w:tr w:rsidR="009E072C" w:rsidRPr="00A45ED9" w14:paraId="48AAEA09" w14:textId="77777777" w:rsidTr="00A23D39">
        <w:trPr>
          <w:trHeight w:val="281"/>
        </w:trPr>
        <w:tc>
          <w:tcPr>
            <w:tcW w:w="704" w:type="dxa"/>
            <w:vMerge/>
          </w:tcPr>
          <w:p w14:paraId="4A532725"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7311A27C"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06936C68" w14:textId="7D2C3423" w:rsidR="009E072C" w:rsidRPr="00A45ED9" w:rsidRDefault="009E072C" w:rsidP="009E072C">
            <w:pPr>
              <w:pStyle w:val="Standard"/>
              <w:spacing w:before="60" w:after="60"/>
              <w:jc w:val="center"/>
              <w:rPr>
                <w:sz w:val="22"/>
                <w:szCs w:val="22"/>
                <w:lang w:val="pl-PL"/>
              </w:rPr>
            </w:pPr>
            <w:r w:rsidRPr="00A45ED9">
              <w:rPr>
                <w:sz w:val="22"/>
                <w:szCs w:val="22"/>
                <w:lang w:val="pl-PL"/>
              </w:rPr>
              <w:t>Powierzchnia schronienia dogodna dla nietoperzy</w:t>
            </w:r>
          </w:p>
        </w:tc>
        <w:tc>
          <w:tcPr>
            <w:tcW w:w="9610" w:type="dxa"/>
            <w:shd w:val="clear" w:color="auto" w:fill="auto"/>
            <w:vAlign w:val="center"/>
          </w:tcPr>
          <w:p w14:paraId="3B084E26" w14:textId="23D914E8"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Utrzymanie oceny wskaźnika na poziomie FV. Powierzchnia schronienia dostępna dla nietoperzy nie ulega zmniejszeniu w ciągu ostatnich 5 lat, a jeśli uległa zmniejszeniu wcześniej, liczebność jest FV.</w:t>
            </w:r>
          </w:p>
        </w:tc>
      </w:tr>
      <w:tr w:rsidR="009E072C" w:rsidRPr="00A45ED9" w14:paraId="2BA632A9" w14:textId="77777777" w:rsidTr="00A23D39">
        <w:trPr>
          <w:trHeight w:val="281"/>
        </w:trPr>
        <w:tc>
          <w:tcPr>
            <w:tcW w:w="704" w:type="dxa"/>
            <w:vMerge/>
          </w:tcPr>
          <w:p w14:paraId="5FE13A21"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5E7FDC2D"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6A2EA288" w14:textId="5A03DB3A" w:rsidR="009E072C" w:rsidRPr="00A45ED9" w:rsidRDefault="009E072C" w:rsidP="009E072C">
            <w:pPr>
              <w:pStyle w:val="Standard"/>
              <w:spacing w:before="60" w:after="60"/>
              <w:jc w:val="center"/>
              <w:rPr>
                <w:sz w:val="22"/>
                <w:szCs w:val="22"/>
                <w:lang w:val="pl-PL"/>
              </w:rPr>
            </w:pPr>
            <w:r w:rsidRPr="00A45ED9">
              <w:rPr>
                <w:sz w:val="22"/>
                <w:szCs w:val="22"/>
                <w:lang w:val="pl-PL"/>
              </w:rPr>
              <w:t>Zabezpieczenie przed niepokojeniem nietoperzy</w:t>
            </w:r>
          </w:p>
        </w:tc>
        <w:tc>
          <w:tcPr>
            <w:tcW w:w="9610" w:type="dxa"/>
            <w:shd w:val="clear" w:color="auto" w:fill="auto"/>
            <w:vAlign w:val="center"/>
          </w:tcPr>
          <w:p w14:paraId="11274C48" w14:textId="60FE1CD4"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Utrzymanie oceny wskaźnika na poziomie FV . Obiekt jest zabezpieczony i nietoperze nie są niepokojone przez ludzi w okresie przebywania w schronieniu.</w:t>
            </w:r>
          </w:p>
        </w:tc>
      </w:tr>
      <w:tr w:rsidR="009E072C" w:rsidRPr="00A45ED9" w14:paraId="621EBC99" w14:textId="77777777" w:rsidTr="00A23D39">
        <w:trPr>
          <w:trHeight w:val="281"/>
        </w:trPr>
        <w:tc>
          <w:tcPr>
            <w:tcW w:w="704" w:type="dxa"/>
            <w:vMerge/>
          </w:tcPr>
          <w:p w14:paraId="21F24255"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65E76E8C"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7A88EF7C" w14:textId="0FA4EC47" w:rsidR="009E072C" w:rsidRPr="00A45ED9" w:rsidRDefault="009E072C" w:rsidP="009E072C">
            <w:pPr>
              <w:pStyle w:val="Standard"/>
              <w:spacing w:before="60" w:after="60"/>
              <w:jc w:val="center"/>
              <w:rPr>
                <w:sz w:val="22"/>
                <w:szCs w:val="22"/>
                <w:lang w:val="pl-PL"/>
              </w:rPr>
            </w:pPr>
            <w:r w:rsidRPr="00A45ED9">
              <w:rPr>
                <w:sz w:val="22"/>
                <w:szCs w:val="22"/>
                <w:lang w:val="pl-PL"/>
              </w:rPr>
              <w:t>Dostępność wlotów dla nietoperzy</w:t>
            </w:r>
          </w:p>
        </w:tc>
        <w:tc>
          <w:tcPr>
            <w:tcW w:w="9610" w:type="dxa"/>
            <w:shd w:val="clear" w:color="auto" w:fill="auto"/>
            <w:vAlign w:val="center"/>
          </w:tcPr>
          <w:p w14:paraId="447BF2CF" w14:textId="45090B8D"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Utrzymanie oceny wskaźnika na poziomie FV. Wloty są stale dostępne w wystarczającej liczbie, drożne i nie występują czynniki utrudniające korzystanie z nich przez nietoperze.</w:t>
            </w:r>
          </w:p>
        </w:tc>
      </w:tr>
      <w:tr w:rsidR="009E072C" w:rsidRPr="00A45ED9" w14:paraId="5EEA3095" w14:textId="77777777" w:rsidTr="003848CB">
        <w:trPr>
          <w:trHeight w:val="518"/>
        </w:trPr>
        <w:tc>
          <w:tcPr>
            <w:tcW w:w="704" w:type="dxa"/>
            <w:vMerge/>
          </w:tcPr>
          <w:p w14:paraId="50362BC6"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493A1DE0"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5598F723" w14:textId="070CFD10" w:rsidR="009E072C" w:rsidRPr="00A45ED9" w:rsidRDefault="009E072C" w:rsidP="009E072C">
            <w:pPr>
              <w:pStyle w:val="Standard"/>
              <w:spacing w:before="60" w:after="60"/>
              <w:jc w:val="center"/>
              <w:rPr>
                <w:sz w:val="22"/>
                <w:szCs w:val="22"/>
                <w:lang w:val="pl-PL"/>
              </w:rPr>
            </w:pPr>
            <w:r w:rsidRPr="00A45ED9">
              <w:rPr>
                <w:sz w:val="22"/>
                <w:szCs w:val="22"/>
                <w:lang w:val="pl-PL"/>
              </w:rPr>
              <w:t>Perspektywy zachowania</w:t>
            </w:r>
          </w:p>
        </w:tc>
        <w:tc>
          <w:tcPr>
            <w:tcW w:w="9610" w:type="dxa"/>
            <w:shd w:val="clear" w:color="auto" w:fill="auto"/>
            <w:vAlign w:val="center"/>
          </w:tcPr>
          <w:p w14:paraId="0BFC08CC" w14:textId="18550450" w:rsidR="009E072C" w:rsidRPr="00A45ED9" w:rsidRDefault="009E072C" w:rsidP="009E072C">
            <w:pPr>
              <w:pStyle w:val="Standard"/>
              <w:snapToGrid w:val="0"/>
              <w:spacing w:before="60" w:after="60"/>
              <w:jc w:val="both"/>
              <w:rPr>
                <w:sz w:val="22"/>
                <w:szCs w:val="22"/>
                <w:lang w:val="pl-PL"/>
              </w:rPr>
            </w:pPr>
            <w:r w:rsidRPr="00A45ED9">
              <w:rPr>
                <w:sz w:val="22"/>
                <w:szCs w:val="22"/>
                <w:lang w:val="pl-PL"/>
              </w:rPr>
              <w:t>Utrzymanie oceny parametru na poziomie FV. Przy zachowaniu obecnego stanu użytkowania obiektu, jego najbliższego otoczenia oraz okolicznych obszarów leśnych przewiduje się  utrzymanie obecnego stanu populacji. Perspektywy zachowania gatunku na stanowisku są dobre.</w:t>
            </w:r>
          </w:p>
        </w:tc>
      </w:tr>
      <w:tr w:rsidR="009E072C" w:rsidRPr="00A45ED9" w14:paraId="215542A1" w14:textId="77777777" w:rsidTr="00623695">
        <w:trPr>
          <w:trHeight w:val="70"/>
        </w:trPr>
        <w:tc>
          <w:tcPr>
            <w:tcW w:w="704" w:type="dxa"/>
            <w:vMerge w:val="restart"/>
          </w:tcPr>
          <w:p w14:paraId="04BFC097" w14:textId="627D095F" w:rsidR="009E072C" w:rsidRPr="00A45ED9" w:rsidRDefault="009E072C" w:rsidP="009E072C">
            <w:pPr>
              <w:pStyle w:val="Akapitzlist"/>
              <w:autoSpaceDE w:val="0"/>
              <w:autoSpaceDN w:val="0"/>
              <w:adjustRightInd w:val="0"/>
              <w:spacing w:before="60" w:after="60"/>
              <w:ind w:left="0"/>
              <w:rPr>
                <w:iCs/>
                <w:sz w:val="22"/>
                <w:szCs w:val="22"/>
              </w:rPr>
            </w:pPr>
            <w:r w:rsidRPr="00A45ED9">
              <w:rPr>
                <w:iCs/>
                <w:sz w:val="22"/>
                <w:szCs w:val="22"/>
              </w:rPr>
              <w:lastRenderedPageBreak/>
              <w:t>5.</w:t>
            </w:r>
          </w:p>
          <w:p w14:paraId="4B4C0126" w14:textId="77777777" w:rsidR="009E072C" w:rsidRPr="00A45ED9" w:rsidRDefault="009E072C" w:rsidP="009E072C">
            <w:pPr>
              <w:pStyle w:val="Akapitzlist"/>
              <w:autoSpaceDE w:val="0"/>
              <w:autoSpaceDN w:val="0"/>
              <w:adjustRightInd w:val="0"/>
              <w:spacing w:before="60" w:after="60"/>
              <w:ind w:left="0"/>
              <w:rPr>
                <w:iCs/>
                <w:sz w:val="22"/>
                <w:szCs w:val="22"/>
              </w:rPr>
            </w:pPr>
          </w:p>
          <w:p w14:paraId="3DD4F3A9" w14:textId="77777777" w:rsidR="009E072C" w:rsidRPr="00A45ED9" w:rsidRDefault="009E072C" w:rsidP="009E072C">
            <w:pPr>
              <w:pStyle w:val="Akapitzlist"/>
              <w:autoSpaceDE w:val="0"/>
              <w:autoSpaceDN w:val="0"/>
              <w:adjustRightInd w:val="0"/>
              <w:spacing w:before="60" w:after="60"/>
              <w:ind w:left="0"/>
              <w:rPr>
                <w:iCs/>
                <w:sz w:val="22"/>
                <w:szCs w:val="22"/>
              </w:rPr>
            </w:pPr>
          </w:p>
          <w:p w14:paraId="2D94609B" w14:textId="77777777" w:rsidR="009E072C" w:rsidRPr="00A45ED9" w:rsidRDefault="009E072C" w:rsidP="009E072C">
            <w:pPr>
              <w:pStyle w:val="Akapitzlist"/>
              <w:autoSpaceDE w:val="0"/>
              <w:autoSpaceDN w:val="0"/>
              <w:adjustRightInd w:val="0"/>
              <w:spacing w:before="60" w:after="60"/>
              <w:ind w:left="0"/>
              <w:rPr>
                <w:iCs/>
                <w:sz w:val="22"/>
                <w:szCs w:val="22"/>
              </w:rPr>
            </w:pPr>
          </w:p>
          <w:p w14:paraId="304AD55A" w14:textId="77777777" w:rsidR="009E072C" w:rsidRPr="00A45ED9" w:rsidRDefault="009E072C" w:rsidP="009E072C">
            <w:pPr>
              <w:pStyle w:val="Akapitzlist"/>
              <w:autoSpaceDE w:val="0"/>
              <w:autoSpaceDN w:val="0"/>
              <w:adjustRightInd w:val="0"/>
              <w:spacing w:before="60" w:after="60"/>
              <w:ind w:left="0"/>
              <w:rPr>
                <w:iCs/>
                <w:sz w:val="22"/>
                <w:szCs w:val="22"/>
              </w:rPr>
            </w:pPr>
          </w:p>
          <w:p w14:paraId="41E7BCA1" w14:textId="77777777" w:rsidR="009E072C" w:rsidRPr="00A45ED9" w:rsidRDefault="009E072C" w:rsidP="009E072C">
            <w:pPr>
              <w:pStyle w:val="Akapitzlist"/>
              <w:autoSpaceDE w:val="0"/>
              <w:autoSpaceDN w:val="0"/>
              <w:adjustRightInd w:val="0"/>
              <w:spacing w:before="60" w:after="60"/>
              <w:ind w:left="0"/>
              <w:rPr>
                <w:iCs/>
                <w:sz w:val="22"/>
                <w:szCs w:val="22"/>
              </w:rPr>
            </w:pPr>
          </w:p>
          <w:p w14:paraId="723C4BA5" w14:textId="77777777" w:rsidR="009E072C" w:rsidRPr="00A45ED9" w:rsidRDefault="009E072C" w:rsidP="009E072C">
            <w:pPr>
              <w:pStyle w:val="Akapitzlist"/>
              <w:autoSpaceDE w:val="0"/>
              <w:autoSpaceDN w:val="0"/>
              <w:adjustRightInd w:val="0"/>
              <w:spacing w:before="60" w:after="60"/>
              <w:ind w:left="0"/>
              <w:rPr>
                <w:iCs/>
                <w:sz w:val="22"/>
                <w:szCs w:val="22"/>
              </w:rPr>
            </w:pPr>
          </w:p>
          <w:p w14:paraId="0E2EED02" w14:textId="77777777" w:rsidR="009E072C" w:rsidRPr="00A45ED9" w:rsidRDefault="009E072C" w:rsidP="009E072C">
            <w:pPr>
              <w:pStyle w:val="Akapitzlist"/>
              <w:autoSpaceDE w:val="0"/>
              <w:autoSpaceDN w:val="0"/>
              <w:adjustRightInd w:val="0"/>
              <w:spacing w:before="60" w:after="60"/>
              <w:ind w:left="0"/>
              <w:rPr>
                <w:iCs/>
                <w:sz w:val="22"/>
                <w:szCs w:val="22"/>
              </w:rPr>
            </w:pPr>
          </w:p>
          <w:p w14:paraId="39472724" w14:textId="77777777" w:rsidR="009E072C" w:rsidRPr="00A45ED9" w:rsidRDefault="009E072C" w:rsidP="009E072C">
            <w:pPr>
              <w:pStyle w:val="Akapitzlist"/>
              <w:autoSpaceDE w:val="0"/>
              <w:autoSpaceDN w:val="0"/>
              <w:adjustRightInd w:val="0"/>
              <w:spacing w:before="60" w:after="60"/>
              <w:ind w:left="0"/>
              <w:rPr>
                <w:iCs/>
                <w:sz w:val="22"/>
                <w:szCs w:val="22"/>
              </w:rPr>
            </w:pPr>
          </w:p>
          <w:p w14:paraId="79B55981" w14:textId="77777777" w:rsidR="009E072C" w:rsidRPr="00A45ED9" w:rsidRDefault="009E072C" w:rsidP="009E072C">
            <w:pPr>
              <w:pStyle w:val="Akapitzlist"/>
              <w:autoSpaceDE w:val="0"/>
              <w:autoSpaceDN w:val="0"/>
              <w:adjustRightInd w:val="0"/>
              <w:spacing w:before="60" w:after="60"/>
              <w:ind w:left="0"/>
              <w:rPr>
                <w:iCs/>
                <w:sz w:val="22"/>
                <w:szCs w:val="22"/>
              </w:rPr>
            </w:pPr>
          </w:p>
          <w:p w14:paraId="3D37AA5E" w14:textId="77777777" w:rsidR="009E072C" w:rsidRPr="00A45ED9" w:rsidRDefault="009E072C" w:rsidP="009E072C">
            <w:pPr>
              <w:pStyle w:val="Akapitzlist"/>
              <w:autoSpaceDE w:val="0"/>
              <w:autoSpaceDN w:val="0"/>
              <w:adjustRightInd w:val="0"/>
              <w:spacing w:before="60" w:after="60"/>
              <w:ind w:left="0"/>
              <w:rPr>
                <w:iCs/>
                <w:sz w:val="22"/>
                <w:szCs w:val="22"/>
              </w:rPr>
            </w:pPr>
          </w:p>
          <w:p w14:paraId="21C07EF2"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val="restart"/>
          </w:tcPr>
          <w:p w14:paraId="1C3E475E" w14:textId="7F4F45C6" w:rsidR="009E072C" w:rsidRPr="00A45ED9" w:rsidRDefault="009E072C" w:rsidP="009E072C">
            <w:pPr>
              <w:pStyle w:val="Akapitzlist"/>
              <w:autoSpaceDE w:val="0"/>
              <w:autoSpaceDN w:val="0"/>
              <w:adjustRightInd w:val="0"/>
              <w:spacing w:before="60" w:after="60"/>
              <w:ind w:left="0"/>
              <w:rPr>
                <w:b/>
                <w:bCs/>
                <w:i/>
                <w:iCs/>
                <w:sz w:val="22"/>
                <w:szCs w:val="22"/>
              </w:rPr>
            </w:pPr>
            <w:r w:rsidRPr="00A45ED9">
              <w:rPr>
                <w:b/>
                <w:bCs/>
                <w:color w:val="000000"/>
                <w:sz w:val="22"/>
                <w:szCs w:val="22"/>
              </w:rPr>
              <w:t xml:space="preserve">1087 Nadobnica alpejska </w:t>
            </w:r>
            <w:r w:rsidRPr="00A45ED9">
              <w:rPr>
                <w:b/>
                <w:bCs/>
                <w:i/>
                <w:iCs/>
                <w:color w:val="000000"/>
                <w:sz w:val="22"/>
                <w:szCs w:val="22"/>
              </w:rPr>
              <w:t>Rosalia alpina</w:t>
            </w:r>
          </w:p>
          <w:p w14:paraId="1C44A51C" w14:textId="77777777" w:rsidR="009E072C" w:rsidRPr="00A45ED9" w:rsidRDefault="009E072C" w:rsidP="009E072C">
            <w:pPr>
              <w:pStyle w:val="Akapitzlist"/>
              <w:autoSpaceDE w:val="0"/>
              <w:autoSpaceDN w:val="0"/>
              <w:adjustRightInd w:val="0"/>
              <w:spacing w:before="60" w:after="60"/>
              <w:ind w:left="0"/>
              <w:rPr>
                <w:i/>
                <w:iCs/>
                <w:sz w:val="22"/>
                <w:szCs w:val="22"/>
              </w:rPr>
            </w:pPr>
          </w:p>
          <w:p w14:paraId="107EF359" w14:textId="77777777" w:rsidR="009E072C" w:rsidRPr="00A45ED9" w:rsidRDefault="009E072C" w:rsidP="009E072C">
            <w:pPr>
              <w:pStyle w:val="Akapitzlist"/>
              <w:autoSpaceDE w:val="0"/>
              <w:autoSpaceDN w:val="0"/>
              <w:adjustRightInd w:val="0"/>
              <w:spacing w:before="60" w:after="60"/>
              <w:ind w:left="0"/>
              <w:rPr>
                <w:i/>
                <w:iCs/>
                <w:sz w:val="22"/>
                <w:szCs w:val="22"/>
              </w:rPr>
            </w:pPr>
          </w:p>
          <w:p w14:paraId="714A5E71" w14:textId="77777777" w:rsidR="009E072C" w:rsidRPr="00A45ED9" w:rsidRDefault="009E072C" w:rsidP="009E072C">
            <w:pPr>
              <w:pStyle w:val="Akapitzlist"/>
              <w:autoSpaceDE w:val="0"/>
              <w:autoSpaceDN w:val="0"/>
              <w:adjustRightInd w:val="0"/>
              <w:spacing w:before="60" w:after="60"/>
              <w:ind w:left="0"/>
              <w:rPr>
                <w:i/>
                <w:iCs/>
                <w:sz w:val="22"/>
                <w:szCs w:val="22"/>
              </w:rPr>
            </w:pPr>
          </w:p>
          <w:p w14:paraId="4D160F55" w14:textId="77777777" w:rsidR="009E072C" w:rsidRPr="00A45ED9" w:rsidRDefault="009E072C" w:rsidP="009E072C">
            <w:pPr>
              <w:pStyle w:val="Akapitzlist"/>
              <w:autoSpaceDE w:val="0"/>
              <w:autoSpaceDN w:val="0"/>
              <w:adjustRightInd w:val="0"/>
              <w:spacing w:before="60" w:after="60"/>
              <w:ind w:left="0"/>
              <w:rPr>
                <w:i/>
                <w:iCs/>
                <w:sz w:val="22"/>
                <w:szCs w:val="22"/>
              </w:rPr>
            </w:pPr>
          </w:p>
          <w:p w14:paraId="4084806A"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2268" w:type="dxa"/>
          </w:tcPr>
          <w:p w14:paraId="3363DF3F" w14:textId="3630E527" w:rsidR="009E072C" w:rsidRPr="00A45ED9" w:rsidRDefault="009E072C" w:rsidP="009E072C">
            <w:pPr>
              <w:pStyle w:val="Standard"/>
              <w:spacing w:before="60" w:after="60"/>
              <w:jc w:val="center"/>
              <w:rPr>
                <w:sz w:val="22"/>
                <w:szCs w:val="22"/>
                <w:lang w:val="pl-PL"/>
              </w:rPr>
            </w:pPr>
            <w:r w:rsidRPr="00A45ED9">
              <w:rPr>
                <w:bCs/>
                <w:iCs/>
                <w:sz w:val="22"/>
                <w:szCs w:val="22"/>
                <w:lang w:val="pl-PL"/>
              </w:rPr>
              <w:t>Stan populacji – odległość od najbliższych stanowisk</w:t>
            </w:r>
          </w:p>
        </w:tc>
        <w:tc>
          <w:tcPr>
            <w:tcW w:w="9610" w:type="dxa"/>
            <w:shd w:val="clear" w:color="auto" w:fill="auto"/>
          </w:tcPr>
          <w:p w14:paraId="3C659D6D" w14:textId="1AC47683" w:rsidR="009E072C" w:rsidRPr="00A45ED9" w:rsidRDefault="009E072C" w:rsidP="009E072C">
            <w:pPr>
              <w:rPr>
                <w:sz w:val="22"/>
                <w:szCs w:val="22"/>
              </w:rPr>
            </w:pPr>
            <w:r w:rsidRPr="00A45ED9">
              <w:rPr>
                <w:bCs/>
                <w:iCs/>
                <w:sz w:val="22"/>
                <w:szCs w:val="22"/>
              </w:rPr>
              <w:t>Nie określa się, brak danych referencyjnych.</w:t>
            </w:r>
          </w:p>
        </w:tc>
      </w:tr>
      <w:tr w:rsidR="009E072C" w:rsidRPr="00A45ED9" w14:paraId="526AA46D" w14:textId="77777777" w:rsidTr="00623695">
        <w:trPr>
          <w:trHeight w:val="281"/>
        </w:trPr>
        <w:tc>
          <w:tcPr>
            <w:tcW w:w="704" w:type="dxa"/>
            <w:vMerge/>
          </w:tcPr>
          <w:p w14:paraId="5EE9E0C5"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4D60CDF1"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tcPr>
          <w:p w14:paraId="15C9715E" w14:textId="35209346" w:rsidR="009E072C" w:rsidRPr="00A45ED9" w:rsidRDefault="009E072C" w:rsidP="009E072C">
            <w:pPr>
              <w:pStyle w:val="Standard"/>
              <w:spacing w:before="60" w:after="60"/>
              <w:jc w:val="center"/>
              <w:rPr>
                <w:sz w:val="22"/>
                <w:szCs w:val="22"/>
                <w:lang w:val="pl-PL"/>
              </w:rPr>
            </w:pPr>
            <w:r w:rsidRPr="00A45ED9">
              <w:rPr>
                <w:bCs/>
                <w:iCs/>
                <w:sz w:val="22"/>
                <w:szCs w:val="22"/>
                <w:lang w:val="pl-PL"/>
              </w:rPr>
              <w:t>Stan siedliska - Odległość od składu drewna</w:t>
            </w:r>
          </w:p>
        </w:tc>
        <w:tc>
          <w:tcPr>
            <w:tcW w:w="9610" w:type="dxa"/>
            <w:shd w:val="clear" w:color="auto" w:fill="auto"/>
          </w:tcPr>
          <w:p w14:paraId="4918AB26" w14:textId="46B6CAEF" w:rsidR="009E072C" w:rsidRPr="00A45ED9" w:rsidRDefault="009E072C" w:rsidP="009E072C">
            <w:pPr>
              <w:rPr>
                <w:bCs/>
                <w:iCs/>
                <w:sz w:val="22"/>
                <w:szCs w:val="22"/>
              </w:rPr>
            </w:pPr>
            <w:r w:rsidRPr="00A45ED9">
              <w:rPr>
                <w:bCs/>
                <w:iCs/>
                <w:sz w:val="22"/>
                <w:szCs w:val="22"/>
              </w:rPr>
              <w:t>Co najmniej poprawa oceny wskaźnika z poziomu U2 do poziomu U1. Odległość od granicy stanowisk nadobnicy do najbliższego składu drewna, na którym w okresie czerwiec - wrzesień składowane jest drewno drzew liściastych, nie mniejsza niż 500 m.</w:t>
            </w:r>
          </w:p>
        </w:tc>
      </w:tr>
      <w:tr w:rsidR="009E072C" w:rsidRPr="00A45ED9" w14:paraId="2F1953C9" w14:textId="77777777" w:rsidTr="00623695">
        <w:trPr>
          <w:trHeight w:val="281"/>
        </w:trPr>
        <w:tc>
          <w:tcPr>
            <w:tcW w:w="704" w:type="dxa"/>
            <w:vMerge/>
          </w:tcPr>
          <w:p w14:paraId="6032B858"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14D70481"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tcPr>
          <w:p w14:paraId="17D477FF" w14:textId="5873DBCD" w:rsidR="009E072C" w:rsidRPr="00A45ED9" w:rsidRDefault="009E072C" w:rsidP="009E072C">
            <w:pPr>
              <w:pStyle w:val="Standard"/>
              <w:spacing w:before="60" w:after="60"/>
              <w:jc w:val="center"/>
              <w:rPr>
                <w:sz w:val="22"/>
                <w:szCs w:val="22"/>
                <w:lang w:val="pl-PL"/>
              </w:rPr>
            </w:pPr>
            <w:r w:rsidRPr="00A45ED9">
              <w:rPr>
                <w:bCs/>
                <w:iCs/>
                <w:sz w:val="22"/>
                <w:szCs w:val="22"/>
                <w:lang w:val="pl-PL"/>
              </w:rPr>
              <w:t>Stan siedliska - Martwe drewno leżące</w:t>
            </w:r>
          </w:p>
        </w:tc>
        <w:tc>
          <w:tcPr>
            <w:tcW w:w="9610" w:type="dxa"/>
            <w:shd w:val="clear" w:color="auto" w:fill="auto"/>
          </w:tcPr>
          <w:p w14:paraId="2B59CCFA" w14:textId="3D122D32" w:rsidR="009E072C" w:rsidRPr="00A45ED9" w:rsidRDefault="009E072C" w:rsidP="009E072C">
            <w:pPr>
              <w:rPr>
                <w:sz w:val="22"/>
                <w:szCs w:val="22"/>
              </w:rPr>
            </w:pPr>
            <w:r w:rsidRPr="00A45ED9">
              <w:rPr>
                <w:bCs/>
                <w:iCs/>
                <w:sz w:val="22"/>
                <w:szCs w:val="22"/>
              </w:rPr>
              <w:t>Utrzymanie oceny wskaźnika na poziomie U1. Sumaryczne pole przekroju wszystkich drzew martwych leżących w przedziale 1 – 4,5 m</w:t>
            </w:r>
            <w:r w:rsidRPr="00A45ED9">
              <w:rPr>
                <w:bCs/>
                <w:iCs/>
                <w:sz w:val="22"/>
                <w:szCs w:val="22"/>
                <w:vertAlign w:val="superscript"/>
              </w:rPr>
              <w:t>2</w:t>
            </w:r>
            <w:r w:rsidRPr="00A45ED9">
              <w:rPr>
                <w:bCs/>
                <w:iCs/>
                <w:sz w:val="22"/>
                <w:szCs w:val="22"/>
              </w:rPr>
              <w:t>.</w:t>
            </w:r>
          </w:p>
        </w:tc>
      </w:tr>
      <w:tr w:rsidR="009E072C" w:rsidRPr="00A45ED9" w14:paraId="41C3FA50" w14:textId="77777777" w:rsidTr="00623695">
        <w:trPr>
          <w:trHeight w:val="281"/>
        </w:trPr>
        <w:tc>
          <w:tcPr>
            <w:tcW w:w="704" w:type="dxa"/>
            <w:vMerge/>
          </w:tcPr>
          <w:p w14:paraId="79B00C00"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71C94EDD"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tcPr>
          <w:p w14:paraId="52E35FA8" w14:textId="51503678" w:rsidR="009E072C" w:rsidRPr="00A45ED9" w:rsidRDefault="009E072C" w:rsidP="009E072C">
            <w:pPr>
              <w:pStyle w:val="Standard"/>
              <w:spacing w:before="60" w:after="60"/>
              <w:jc w:val="center"/>
              <w:rPr>
                <w:sz w:val="22"/>
                <w:szCs w:val="22"/>
                <w:lang w:val="pl-PL"/>
              </w:rPr>
            </w:pPr>
            <w:r w:rsidRPr="00A45ED9">
              <w:rPr>
                <w:bCs/>
                <w:iCs/>
                <w:sz w:val="22"/>
                <w:szCs w:val="22"/>
                <w:lang w:val="pl-PL"/>
              </w:rPr>
              <w:t>Stan siedliska - Martwe drewno stojące</w:t>
            </w:r>
          </w:p>
        </w:tc>
        <w:tc>
          <w:tcPr>
            <w:tcW w:w="9610" w:type="dxa"/>
            <w:shd w:val="clear" w:color="auto" w:fill="auto"/>
          </w:tcPr>
          <w:p w14:paraId="7507A7F9" w14:textId="2289A8E1" w:rsidR="009E072C" w:rsidRPr="00A45ED9" w:rsidRDefault="009E072C" w:rsidP="009E072C">
            <w:pPr>
              <w:rPr>
                <w:sz w:val="22"/>
                <w:szCs w:val="22"/>
              </w:rPr>
            </w:pPr>
            <w:r w:rsidRPr="00A45ED9">
              <w:rPr>
                <w:bCs/>
                <w:iCs/>
                <w:sz w:val="22"/>
                <w:szCs w:val="22"/>
              </w:rPr>
              <w:t>Utrzymanie oceny wskaźnika na poziomie U1. Sumaryczne pole przekroju pierśnicowego wszystkich drzew martwych stojących w przedziale 0,5 - 3 m</w:t>
            </w:r>
            <w:r w:rsidRPr="00A45ED9">
              <w:rPr>
                <w:bCs/>
                <w:iCs/>
                <w:sz w:val="22"/>
                <w:szCs w:val="22"/>
                <w:vertAlign w:val="superscript"/>
              </w:rPr>
              <w:t>2</w:t>
            </w:r>
            <w:r w:rsidRPr="00A45ED9">
              <w:rPr>
                <w:bCs/>
                <w:iCs/>
                <w:sz w:val="22"/>
                <w:szCs w:val="22"/>
              </w:rPr>
              <w:t>.</w:t>
            </w:r>
          </w:p>
        </w:tc>
      </w:tr>
      <w:tr w:rsidR="009E072C" w:rsidRPr="00A45ED9" w14:paraId="338E5658" w14:textId="77777777" w:rsidTr="00623695">
        <w:trPr>
          <w:trHeight w:val="416"/>
        </w:trPr>
        <w:tc>
          <w:tcPr>
            <w:tcW w:w="704" w:type="dxa"/>
            <w:vMerge/>
          </w:tcPr>
          <w:p w14:paraId="16669679"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78A75767"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tcPr>
          <w:p w14:paraId="46D0F424" w14:textId="623D4134" w:rsidR="009E072C" w:rsidRPr="00A45ED9" w:rsidRDefault="009E072C" w:rsidP="009E072C">
            <w:pPr>
              <w:pStyle w:val="Bezodstpw"/>
              <w:jc w:val="center"/>
              <w:rPr>
                <w:sz w:val="22"/>
                <w:szCs w:val="22"/>
              </w:rPr>
            </w:pPr>
            <w:r w:rsidRPr="00A45ED9">
              <w:rPr>
                <w:bCs/>
                <w:iCs/>
                <w:sz w:val="22"/>
                <w:szCs w:val="22"/>
              </w:rPr>
              <w:t>Stan siedliska - Naświetlenie dna lasu</w:t>
            </w:r>
          </w:p>
        </w:tc>
        <w:tc>
          <w:tcPr>
            <w:tcW w:w="9610" w:type="dxa"/>
            <w:shd w:val="clear" w:color="auto" w:fill="auto"/>
          </w:tcPr>
          <w:p w14:paraId="368BFDA4" w14:textId="61ECE3F0" w:rsidR="009E072C" w:rsidRPr="00A45ED9" w:rsidRDefault="009E072C" w:rsidP="009E072C">
            <w:pPr>
              <w:rPr>
                <w:sz w:val="22"/>
                <w:szCs w:val="22"/>
              </w:rPr>
            </w:pPr>
            <w:r w:rsidRPr="00A45ED9">
              <w:rPr>
                <w:bCs/>
                <w:iCs/>
                <w:sz w:val="22"/>
                <w:szCs w:val="22"/>
              </w:rPr>
              <w:t>Utrzymanie oceny wskaźnika na poziomie U1. Zakres liczbowy 2- 3.</w:t>
            </w:r>
          </w:p>
        </w:tc>
      </w:tr>
      <w:tr w:rsidR="009E072C" w:rsidRPr="00A45ED9" w14:paraId="7C008BB7" w14:textId="77777777" w:rsidTr="00623695">
        <w:trPr>
          <w:trHeight w:val="578"/>
        </w:trPr>
        <w:tc>
          <w:tcPr>
            <w:tcW w:w="704" w:type="dxa"/>
            <w:vMerge/>
          </w:tcPr>
          <w:p w14:paraId="769338AB"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08F1FC00"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tcPr>
          <w:p w14:paraId="465D337D" w14:textId="5CEA2B09" w:rsidR="009E072C" w:rsidRPr="00A45ED9" w:rsidRDefault="009E072C" w:rsidP="009E072C">
            <w:pPr>
              <w:pStyle w:val="Standard"/>
              <w:spacing w:before="60" w:after="60"/>
              <w:jc w:val="center"/>
              <w:rPr>
                <w:sz w:val="22"/>
                <w:szCs w:val="22"/>
                <w:lang w:val="pl-PL"/>
              </w:rPr>
            </w:pPr>
            <w:r w:rsidRPr="00A45ED9">
              <w:rPr>
                <w:bCs/>
                <w:iCs/>
                <w:sz w:val="22"/>
                <w:szCs w:val="22"/>
                <w:lang w:val="pl-PL"/>
              </w:rPr>
              <w:t>Stan siedliska - skład gatunkowy drzewostanu</w:t>
            </w:r>
          </w:p>
        </w:tc>
        <w:tc>
          <w:tcPr>
            <w:tcW w:w="9610" w:type="dxa"/>
            <w:shd w:val="clear" w:color="auto" w:fill="auto"/>
          </w:tcPr>
          <w:p w14:paraId="5D074C22" w14:textId="1B924A82" w:rsidR="009E072C" w:rsidRPr="00A45ED9" w:rsidRDefault="009E072C" w:rsidP="009E072C">
            <w:pPr>
              <w:rPr>
                <w:sz w:val="22"/>
                <w:szCs w:val="22"/>
              </w:rPr>
            </w:pPr>
            <w:r w:rsidRPr="00A45ED9">
              <w:rPr>
                <w:bCs/>
                <w:iCs/>
                <w:sz w:val="22"/>
                <w:szCs w:val="22"/>
              </w:rPr>
              <w:t>Utrzymanie oceny wskaźnika na poziomie U1. Średni udział miąższościowy buka, wiązu i jawora w zakresie 4-8%.</w:t>
            </w:r>
          </w:p>
        </w:tc>
      </w:tr>
      <w:tr w:rsidR="009E072C" w:rsidRPr="00A45ED9" w14:paraId="6124F57D" w14:textId="77777777" w:rsidTr="00623695">
        <w:trPr>
          <w:trHeight w:val="578"/>
        </w:trPr>
        <w:tc>
          <w:tcPr>
            <w:tcW w:w="704" w:type="dxa"/>
            <w:vMerge/>
          </w:tcPr>
          <w:p w14:paraId="09E42568"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107BC87F"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tcPr>
          <w:p w14:paraId="77C76F13" w14:textId="759FCB41" w:rsidR="009E072C" w:rsidRPr="00A45ED9" w:rsidRDefault="009E072C" w:rsidP="009E072C">
            <w:pPr>
              <w:pStyle w:val="Standard"/>
              <w:spacing w:before="60" w:after="60"/>
              <w:jc w:val="center"/>
              <w:rPr>
                <w:sz w:val="22"/>
                <w:szCs w:val="22"/>
                <w:lang w:val="pl-PL"/>
              </w:rPr>
            </w:pPr>
            <w:r w:rsidRPr="00A45ED9">
              <w:rPr>
                <w:bCs/>
                <w:iCs/>
                <w:sz w:val="22"/>
                <w:szCs w:val="22"/>
                <w:lang w:val="pl-PL"/>
              </w:rPr>
              <w:t>Stan siedliska - Pierśnica</w:t>
            </w:r>
          </w:p>
        </w:tc>
        <w:tc>
          <w:tcPr>
            <w:tcW w:w="9610" w:type="dxa"/>
            <w:shd w:val="clear" w:color="auto" w:fill="auto"/>
          </w:tcPr>
          <w:p w14:paraId="38FD1BEC" w14:textId="611AEB41" w:rsidR="009E072C" w:rsidRPr="00A45ED9" w:rsidRDefault="009E072C" w:rsidP="009E072C">
            <w:pPr>
              <w:rPr>
                <w:sz w:val="22"/>
                <w:szCs w:val="22"/>
              </w:rPr>
            </w:pPr>
            <w:r w:rsidRPr="00A45ED9">
              <w:rPr>
                <w:bCs/>
                <w:iCs/>
                <w:sz w:val="22"/>
                <w:szCs w:val="22"/>
              </w:rPr>
              <w:t>Utrzymanie oceny wskaźnika na poziomie U1. Sumaryczne pole przekroju pierśnicowego ze wszystkich powierzchni próbnych w zakresie 4 – 10 m</w:t>
            </w:r>
            <w:r w:rsidRPr="00A45ED9">
              <w:rPr>
                <w:bCs/>
                <w:iCs/>
                <w:sz w:val="22"/>
                <w:szCs w:val="22"/>
                <w:vertAlign w:val="superscript"/>
              </w:rPr>
              <w:t>2</w:t>
            </w:r>
          </w:p>
        </w:tc>
      </w:tr>
      <w:tr w:rsidR="009E072C" w:rsidRPr="00A45ED9" w14:paraId="4D4D7F6B" w14:textId="77777777" w:rsidTr="003848CB">
        <w:trPr>
          <w:trHeight w:val="631"/>
        </w:trPr>
        <w:tc>
          <w:tcPr>
            <w:tcW w:w="704" w:type="dxa"/>
            <w:vMerge/>
          </w:tcPr>
          <w:p w14:paraId="61EAA48F"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tcPr>
          <w:p w14:paraId="01B7EE3A"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tcPr>
          <w:p w14:paraId="083AC63F" w14:textId="19E67A48" w:rsidR="009E072C" w:rsidRPr="00A45ED9" w:rsidRDefault="009E072C" w:rsidP="009E072C">
            <w:pPr>
              <w:pStyle w:val="Standard"/>
              <w:spacing w:before="60" w:after="60"/>
              <w:jc w:val="center"/>
              <w:rPr>
                <w:sz w:val="22"/>
                <w:szCs w:val="22"/>
                <w:lang w:val="pl-PL"/>
              </w:rPr>
            </w:pPr>
            <w:r w:rsidRPr="00A45ED9">
              <w:rPr>
                <w:bCs/>
                <w:iCs/>
                <w:sz w:val="22"/>
                <w:szCs w:val="22"/>
                <w:lang w:val="pl-PL"/>
              </w:rPr>
              <w:t>Perspektywy ochrony</w:t>
            </w:r>
          </w:p>
        </w:tc>
        <w:tc>
          <w:tcPr>
            <w:tcW w:w="9610" w:type="dxa"/>
            <w:shd w:val="clear" w:color="auto" w:fill="auto"/>
          </w:tcPr>
          <w:p w14:paraId="51D40195" w14:textId="31301C9D" w:rsidR="009E072C" w:rsidRPr="00A45ED9" w:rsidRDefault="009E072C" w:rsidP="009E072C">
            <w:pPr>
              <w:rPr>
                <w:sz w:val="22"/>
                <w:szCs w:val="22"/>
              </w:rPr>
            </w:pPr>
            <w:r w:rsidRPr="00A45ED9">
              <w:rPr>
                <w:bCs/>
                <w:iCs/>
                <w:sz w:val="22"/>
                <w:szCs w:val="22"/>
              </w:rPr>
              <w:t>Poprawa oceny wskaźnika z poziomu U2 do poziomu U1. Utrzymywanie się stanu niezadawalającego w dłuższej perspektywie czasowej.</w:t>
            </w:r>
          </w:p>
        </w:tc>
      </w:tr>
      <w:tr w:rsidR="007E79A0" w:rsidRPr="00A45ED9" w14:paraId="0E50E909" w14:textId="77777777" w:rsidTr="00B16E37">
        <w:trPr>
          <w:trHeight w:val="578"/>
        </w:trPr>
        <w:tc>
          <w:tcPr>
            <w:tcW w:w="704" w:type="dxa"/>
            <w:vMerge w:val="restart"/>
          </w:tcPr>
          <w:p w14:paraId="18ECBE98" w14:textId="585ECB51" w:rsidR="007E79A0" w:rsidRPr="00A45ED9" w:rsidRDefault="007E79A0" w:rsidP="009E072C">
            <w:pPr>
              <w:pStyle w:val="Akapitzlist"/>
              <w:autoSpaceDE w:val="0"/>
              <w:autoSpaceDN w:val="0"/>
              <w:adjustRightInd w:val="0"/>
              <w:spacing w:before="60" w:after="60"/>
              <w:ind w:left="0"/>
              <w:rPr>
                <w:iCs/>
                <w:sz w:val="22"/>
                <w:szCs w:val="22"/>
              </w:rPr>
            </w:pPr>
            <w:r w:rsidRPr="00A45ED9">
              <w:rPr>
                <w:iCs/>
                <w:sz w:val="22"/>
                <w:szCs w:val="22"/>
              </w:rPr>
              <w:t>6.</w:t>
            </w:r>
          </w:p>
        </w:tc>
        <w:tc>
          <w:tcPr>
            <w:tcW w:w="1985" w:type="dxa"/>
            <w:vMerge w:val="restart"/>
            <w:vAlign w:val="center"/>
          </w:tcPr>
          <w:p w14:paraId="4D588A49" w14:textId="035D74BB" w:rsidR="007E79A0" w:rsidRPr="00A45ED9" w:rsidRDefault="007E79A0" w:rsidP="009E072C">
            <w:pPr>
              <w:pStyle w:val="Akapitzlist"/>
              <w:autoSpaceDE w:val="0"/>
              <w:autoSpaceDN w:val="0"/>
              <w:adjustRightInd w:val="0"/>
              <w:spacing w:before="60" w:after="60"/>
              <w:ind w:left="0"/>
              <w:rPr>
                <w:b/>
                <w:bCs/>
                <w:iCs/>
                <w:sz w:val="22"/>
                <w:szCs w:val="22"/>
              </w:rPr>
            </w:pPr>
            <w:r w:rsidRPr="00A45ED9">
              <w:rPr>
                <w:b/>
                <w:bCs/>
                <w:sz w:val="22"/>
                <w:szCs w:val="22"/>
              </w:rPr>
              <w:t xml:space="preserve">1193 Kumak górski </w:t>
            </w:r>
            <w:r w:rsidRPr="00A45ED9">
              <w:rPr>
                <w:b/>
                <w:bCs/>
                <w:i/>
                <w:iCs/>
                <w:sz w:val="22"/>
                <w:szCs w:val="22"/>
              </w:rPr>
              <w:t>Bombina variegata</w:t>
            </w:r>
          </w:p>
        </w:tc>
        <w:tc>
          <w:tcPr>
            <w:tcW w:w="2268" w:type="dxa"/>
            <w:vAlign w:val="center"/>
          </w:tcPr>
          <w:p w14:paraId="58BDEDC8" w14:textId="3353EABF" w:rsidR="007E79A0" w:rsidRPr="00A45ED9" w:rsidRDefault="007E79A0" w:rsidP="009E072C">
            <w:pPr>
              <w:pStyle w:val="Standard"/>
              <w:spacing w:before="60" w:after="60"/>
              <w:jc w:val="center"/>
              <w:rPr>
                <w:sz w:val="22"/>
                <w:szCs w:val="22"/>
                <w:lang w:val="pl-PL"/>
              </w:rPr>
            </w:pPr>
            <w:r w:rsidRPr="00A45ED9">
              <w:rPr>
                <w:bCs/>
                <w:sz w:val="22"/>
                <w:szCs w:val="22"/>
                <w:lang w:val="pl-PL"/>
              </w:rPr>
              <w:t>Liczba zbiorników, w których stwierdzono rozród gatunku</w:t>
            </w:r>
          </w:p>
        </w:tc>
        <w:tc>
          <w:tcPr>
            <w:tcW w:w="9610" w:type="dxa"/>
            <w:vMerge w:val="restart"/>
            <w:shd w:val="clear" w:color="auto" w:fill="auto"/>
            <w:vAlign w:val="center"/>
          </w:tcPr>
          <w:p w14:paraId="0957F4A4" w14:textId="0F4870FB" w:rsidR="007E79A0" w:rsidRPr="00A45ED9" w:rsidRDefault="007E79A0" w:rsidP="009E072C">
            <w:pPr>
              <w:rPr>
                <w:sz w:val="22"/>
                <w:szCs w:val="22"/>
              </w:rPr>
            </w:pPr>
            <w:r w:rsidRPr="00A45ED9">
              <w:rPr>
                <w:sz w:val="22"/>
                <w:szCs w:val="22"/>
              </w:rPr>
              <w:t>Nie określa się – brak danych populacyjnych. Weryfikacja występowania gatunku w obszarze.</w:t>
            </w:r>
          </w:p>
        </w:tc>
      </w:tr>
      <w:tr w:rsidR="007E79A0" w:rsidRPr="00A45ED9" w14:paraId="27F12938" w14:textId="77777777" w:rsidTr="00B16E37">
        <w:trPr>
          <w:trHeight w:val="578"/>
        </w:trPr>
        <w:tc>
          <w:tcPr>
            <w:tcW w:w="704" w:type="dxa"/>
            <w:vMerge/>
          </w:tcPr>
          <w:p w14:paraId="0E3B4D22" w14:textId="77777777" w:rsidR="007E79A0" w:rsidRPr="00A45ED9" w:rsidRDefault="007E79A0" w:rsidP="009E072C">
            <w:pPr>
              <w:pStyle w:val="Akapitzlist"/>
              <w:autoSpaceDE w:val="0"/>
              <w:autoSpaceDN w:val="0"/>
              <w:adjustRightInd w:val="0"/>
              <w:spacing w:before="60" w:after="60"/>
              <w:ind w:left="0"/>
              <w:rPr>
                <w:iCs/>
                <w:sz w:val="22"/>
                <w:szCs w:val="22"/>
              </w:rPr>
            </w:pPr>
          </w:p>
        </w:tc>
        <w:tc>
          <w:tcPr>
            <w:tcW w:w="1985" w:type="dxa"/>
            <w:vMerge/>
            <w:vAlign w:val="center"/>
          </w:tcPr>
          <w:p w14:paraId="140AC6DA" w14:textId="77777777" w:rsidR="007E79A0" w:rsidRPr="00A45ED9" w:rsidRDefault="007E79A0" w:rsidP="009E072C">
            <w:pPr>
              <w:pStyle w:val="Akapitzlist"/>
              <w:autoSpaceDE w:val="0"/>
              <w:autoSpaceDN w:val="0"/>
              <w:adjustRightInd w:val="0"/>
              <w:spacing w:before="60" w:after="60"/>
              <w:ind w:left="0"/>
              <w:rPr>
                <w:b/>
                <w:bCs/>
                <w:iCs/>
                <w:sz w:val="22"/>
                <w:szCs w:val="22"/>
              </w:rPr>
            </w:pPr>
          </w:p>
        </w:tc>
        <w:tc>
          <w:tcPr>
            <w:tcW w:w="2268" w:type="dxa"/>
            <w:vAlign w:val="center"/>
          </w:tcPr>
          <w:p w14:paraId="7C7B6731" w14:textId="10655ABF" w:rsidR="007E79A0" w:rsidRPr="00A45ED9" w:rsidRDefault="007E79A0" w:rsidP="009E072C">
            <w:pPr>
              <w:pStyle w:val="Standard"/>
              <w:spacing w:before="60" w:after="60"/>
              <w:jc w:val="center"/>
              <w:rPr>
                <w:sz w:val="22"/>
                <w:szCs w:val="22"/>
                <w:lang w:val="pl-PL"/>
              </w:rPr>
            </w:pPr>
            <w:r w:rsidRPr="00A45ED9">
              <w:rPr>
                <w:bCs/>
                <w:sz w:val="22"/>
                <w:szCs w:val="22"/>
                <w:lang w:val="pl-PL"/>
              </w:rPr>
              <w:t>Liczba zbiorników, w których stwierdzono obecność gatunku</w:t>
            </w:r>
          </w:p>
        </w:tc>
        <w:tc>
          <w:tcPr>
            <w:tcW w:w="9610" w:type="dxa"/>
            <w:vMerge/>
            <w:shd w:val="clear" w:color="auto" w:fill="auto"/>
            <w:vAlign w:val="center"/>
          </w:tcPr>
          <w:p w14:paraId="2532C660" w14:textId="55F467A5" w:rsidR="007E79A0" w:rsidRPr="00A45ED9" w:rsidRDefault="007E79A0" w:rsidP="009E072C">
            <w:pPr>
              <w:rPr>
                <w:sz w:val="22"/>
                <w:szCs w:val="22"/>
              </w:rPr>
            </w:pPr>
          </w:p>
        </w:tc>
      </w:tr>
      <w:tr w:rsidR="007E79A0" w:rsidRPr="00A45ED9" w14:paraId="353FB1B1" w14:textId="77777777" w:rsidTr="00B16E37">
        <w:trPr>
          <w:trHeight w:val="578"/>
        </w:trPr>
        <w:tc>
          <w:tcPr>
            <w:tcW w:w="704" w:type="dxa"/>
            <w:vMerge/>
          </w:tcPr>
          <w:p w14:paraId="03D7C854" w14:textId="77777777" w:rsidR="007E79A0" w:rsidRPr="00A45ED9" w:rsidRDefault="007E79A0" w:rsidP="009E072C">
            <w:pPr>
              <w:pStyle w:val="Akapitzlist"/>
              <w:autoSpaceDE w:val="0"/>
              <w:autoSpaceDN w:val="0"/>
              <w:adjustRightInd w:val="0"/>
              <w:spacing w:before="60" w:after="60"/>
              <w:ind w:left="0"/>
              <w:rPr>
                <w:iCs/>
                <w:sz w:val="22"/>
                <w:szCs w:val="22"/>
              </w:rPr>
            </w:pPr>
          </w:p>
        </w:tc>
        <w:tc>
          <w:tcPr>
            <w:tcW w:w="1985" w:type="dxa"/>
            <w:vMerge/>
            <w:vAlign w:val="center"/>
          </w:tcPr>
          <w:p w14:paraId="082CEAA7" w14:textId="77777777" w:rsidR="007E79A0" w:rsidRPr="00A45ED9" w:rsidRDefault="007E79A0" w:rsidP="009E072C">
            <w:pPr>
              <w:pStyle w:val="Akapitzlist"/>
              <w:autoSpaceDE w:val="0"/>
              <w:autoSpaceDN w:val="0"/>
              <w:adjustRightInd w:val="0"/>
              <w:spacing w:before="60" w:after="60"/>
              <w:ind w:left="0"/>
              <w:rPr>
                <w:b/>
                <w:bCs/>
                <w:iCs/>
                <w:sz w:val="22"/>
                <w:szCs w:val="22"/>
              </w:rPr>
            </w:pPr>
          </w:p>
        </w:tc>
        <w:tc>
          <w:tcPr>
            <w:tcW w:w="2268" w:type="dxa"/>
            <w:vAlign w:val="center"/>
          </w:tcPr>
          <w:p w14:paraId="3E32BB9F" w14:textId="777066C5" w:rsidR="007E79A0" w:rsidRPr="00A45ED9" w:rsidRDefault="007E79A0" w:rsidP="009E072C">
            <w:pPr>
              <w:pStyle w:val="Standard"/>
              <w:spacing w:before="60" w:after="60"/>
              <w:jc w:val="center"/>
              <w:rPr>
                <w:sz w:val="22"/>
                <w:szCs w:val="22"/>
                <w:lang w:val="pl-PL"/>
              </w:rPr>
            </w:pPr>
            <w:r w:rsidRPr="00A45ED9">
              <w:rPr>
                <w:bCs/>
                <w:sz w:val="22"/>
                <w:szCs w:val="22"/>
                <w:lang w:val="pl-PL"/>
              </w:rPr>
              <w:t>Liczba wszystkich zbiorników</w:t>
            </w:r>
          </w:p>
        </w:tc>
        <w:tc>
          <w:tcPr>
            <w:tcW w:w="9610" w:type="dxa"/>
            <w:vMerge/>
            <w:shd w:val="clear" w:color="auto" w:fill="auto"/>
            <w:vAlign w:val="center"/>
          </w:tcPr>
          <w:p w14:paraId="3B548A05" w14:textId="1C38F7E4" w:rsidR="007E79A0" w:rsidRPr="00A45ED9" w:rsidRDefault="007E79A0" w:rsidP="009E072C">
            <w:pPr>
              <w:pStyle w:val="Standard"/>
              <w:snapToGrid w:val="0"/>
              <w:rPr>
                <w:sz w:val="22"/>
                <w:szCs w:val="22"/>
                <w:lang w:val="pl-PL"/>
              </w:rPr>
            </w:pPr>
          </w:p>
        </w:tc>
      </w:tr>
      <w:tr w:rsidR="007E79A0" w:rsidRPr="00A45ED9" w14:paraId="02ACE296" w14:textId="77777777" w:rsidTr="00B16E37">
        <w:trPr>
          <w:trHeight w:val="578"/>
        </w:trPr>
        <w:tc>
          <w:tcPr>
            <w:tcW w:w="704" w:type="dxa"/>
            <w:vMerge/>
          </w:tcPr>
          <w:p w14:paraId="38506927" w14:textId="77777777" w:rsidR="007E79A0" w:rsidRPr="00A45ED9" w:rsidRDefault="007E79A0" w:rsidP="009E072C">
            <w:pPr>
              <w:pStyle w:val="Akapitzlist"/>
              <w:autoSpaceDE w:val="0"/>
              <w:autoSpaceDN w:val="0"/>
              <w:adjustRightInd w:val="0"/>
              <w:spacing w:before="60" w:after="60"/>
              <w:ind w:left="0"/>
              <w:rPr>
                <w:iCs/>
                <w:sz w:val="22"/>
                <w:szCs w:val="22"/>
              </w:rPr>
            </w:pPr>
          </w:p>
        </w:tc>
        <w:tc>
          <w:tcPr>
            <w:tcW w:w="1985" w:type="dxa"/>
            <w:vMerge/>
            <w:vAlign w:val="center"/>
          </w:tcPr>
          <w:p w14:paraId="7FDEDE6C" w14:textId="77777777" w:rsidR="007E79A0" w:rsidRPr="00A45ED9" w:rsidRDefault="007E79A0" w:rsidP="009E072C">
            <w:pPr>
              <w:pStyle w:val="Akapitzlist"/>
              <w:autoSpaceDE w:val="0"/>
              <w:autoSpaceDN w:val="0"/>
              <w:adjustRightInd w:val="0"/>
              <w:spacing w:before="60" w:after="60"/>
              <w:ind w:left="0"/>
              <w:rPr>
                <w:b/>
                <w:bCs/>
                <w:iCs/>
                <w:sz w:val="22"/>
                <w:szCs w:val="22"/>
              </w:rPr>
            </w:pPr>
          </w:p>
        </w:tc>
        <w:tc>
          <w:tcPr>
            <w:tcW w:w="2268" w:type="dxa"/>
            <w:vAlign w:val="center"/>
          </w:tcPr>
          <w:p w14:paraId="2407CC99" w14:textId="6AB4C524" w:rsidR="007E79A0" w:rsidRPr="00A45ED9" w:rsidRDefault="007E79A0" w:rsidP="009E072C">
            <w:pPr>
              <w:pStyle w:val="Standard"/>
              <w:spacing w:before="60" w:after="60"/>
              <w:jc w:val="center"/>
              <w:rPr>
                <w:sz w:val="22"/>
                <w:szCs w:val="22"/>
                <w:lang w:val="pl-PL"/>
              </w:rPr>
            </w:pPr>
            <w:r w:rsidRPr="00A45ED9">
              <w:rPr>
                <w:bCs/>
                <w:sz w:val="22"/>
                <w:szCs w:val="22"/>
                <w:lang w:val="pl-PL"/>
              </w:rPr>
              <w:t>Liczba zbiorników stałych</w:t>
            </w:r>
          </w:p>
        </w:tc>
        <w:tc>
          <w:tcPr>
            <w:tcW w:w="9610" w:type="dxa"/>
            <w:vMerge/>
            <w:shd w:val="clear" w:color="auto" w:fill="auto"/>
            <w:vAlign w:val="center"/>
          </w:tcPr>
          <w:p w14:paraId="5A40CAB2" w14:textId="508A9C3A" w:rsidR="007E79A0" w:rsidRPr="00A45ED9" w:rsidRDefault="007E79A0" w:rsidP="009E072C">
            <w:pPr>
              <w:pStyle w:val="Standard"/>
              <w:snapToGrid w:val="0"/>
              <w:rPr>
                <w:sz w:val="22"/>
                <w:szCs w:val="22"/>
                <w:lang w:val="pl-PL"/>
              </w:rPr>
            </w:pPr>
          </w:p>
        </w:tc>
      </w:tr>
      <w:tr w:rsidR="007E79A0" w:rsidRPr="00A45ED9" w14:paraId="01BE4742" w14:textId="77777777" w:rsidTr="00A23D39">
        <w:trPr>
          <w:trHeight w:val="578"/>
        </w:trPr>
        <w:tc>
          <w:tcPr>
            <w:tcW w:w="704" w:type="dxa"/>
            <w:vMerge/>
          </w:tcPr>
          <w:p w14:paraId="3D7D58C1" w14:textId="77777777" w:rsidR="007E79A0" w:rsidRPr="00A45ED9" w:rsidRDefault="007E79A0" w:rsidP="009E072C">
            <w:pPr>
              <w:pStyle w:val="Akapitzlist"/>
              <w:autoSpaceDE w:val="0"/>
              <w:autoSpaceDN w:val="0"/>
              <w:adjustRightInd w:val="0"/>
              <w:spacing w:before="60" w:after="60"/>
              <w:ind w:left="0"/>
              <w:rPr>
                <w:iCs/>
                <w:sz w:val="22"/>
                <w:szCs w:val="22"/>
              </w:rPr>
            </w:pPr>
          </w:p>
        </w:tc>
        <w:tc>
          <w:tcPr>
            <w:tcW w:w="1985" w:type="dxa"/>
            <w:vMerge/>
          </w:tcPr>
          <w:p w14:paraId="0CC2A9CD" w14:textId="77777777" w:rsidR="007E79A0" w:rsidRPr="00A45ED9" w:rsidRDefault="007E79A0" w:rsidP="009E072C">
            <w:pPr>
              <w:pStyle w:val="Akapitzlist"/>
              <w:autoSpaceDE w:val="0"/>
              <w:autoSpaceDN w:val="0"/>
              <w:adjustRightInd w:val="0"/>
              <w:spacing w:before="60" w:after="60"/>
              <w:ind w:left="0"/>
              <w:rPr>
                <w:b/>
                <w:bCs/>
                <w:iCs/>
                <w:sz w:val="22"/>
                <w:szCs w:val="22"/>
              </w:rPr>
            </w:pPr>
          </w:p>
        </w:tc>
        <w:tc>
          <w:tcPr>
            <w:tcW w:w="2268" w:type="dxa"/>
            <w:vAlign w:val="center"/>
          </w:tcPr>
          <w:p w14:paraId="22F8E51B" w14:textId="0E3904DE" w:rsidR="007E79A0" w:rsidRPr="00A45ED9" w:rsidRDefault="007E79A0" w:rsidP="009E072C">
            <w:pPr>
              <w:pStyle w:val="Standard"/>
              <w:spacing w:before="60" w:after="60"/>
              <w:jc w:val="center"/>
              <w:rPr>
                <w:sz w:val="22"/>
                <w:szCs w:val="22"/>
                <w:lang w:val="pl-PL"/>
              </w:rPr>
            </w:pPr>
            <w:r w:rsidRPr="00A45ED9">
              <w:rPr>
                <w:sz w:val="22"/>
                <w:szCs w:val="22"/>
                <w:lang w:val="pl-PL"/>
              </w:rPr>
              <w:t>Perspektywy ochrony</w:t>
            </w:r>
          </w:p>
        </w:tc>
        <w:tc>
          <w:tcPr>
            <w:tcW w:w="9610" w:type="dxa"/>
            <w:vMerge/>
            <w:shd w:val="clear" w:color="auto" w:fill="auto"/>
            <w:vAlign w:val="center"/>
          </w:tcPr>
          <w:p w14:paraId="417A0929" w14:textId="709831F6" w:rsidR="007E79A0" w:rsidRPr="00A45ED9" w:rsidRDefault="007E79A0" w:rsidP="009E072C">
            <w:pPr>
              <w:rPr>
                <w:sz w:val="22"/>
                <w:szCs w:val="22"/>
              </w:rPr>
            </w:pPr>
          </w:p>
        </w:tc>
      </w:tr>
      <w:tr w:rsidR="009E072C" w:rsidRPr="00A45ED9" w14:paraId="718468FA" w14:textId="77777777" w:rsidTr="00074277">
        <w:trPr>
          <w:trHeight w:val="578"/>
        </w:trPr>
        <w:tc>
          <w:tcPr>
            <w:tcW w:w="704" w:type="dxa"/>
            <w:vMerge w:val="restart"/>
          </w:tcPr>
          <w:p w14:paraId="7BC06EE3" w14:textId="7E6C72B2" w:rsidR="009E072C" w:rsidRPr="00A45ED9" w:rsidRDefault="009E072C" w:rsidP="009E072C">
            <w:pPr>
              <w:pStyle w:val="Akapitzlist"/>
              <w:autoSpaceDE w:val="0"/>
              <w:autoSpaceDN w:val="0"/>
              <w:adjustRightInd w:val="0"/>
              <w:spacing w:before="60" w:after="60"/>
              <w:ind w:left="0"/>
              <w:rPr>
                <w:iCs/>
                <w:sz w:val="22"/>
                <w:szCs w:val="22"/>
              </w:rPr>
            </w:pPr>
            <w:r w:rsidRPr="00A45ED9">
              <w:rPr>
                <w:iCs/>
                <w:sz w:val="22"/>
                <w:szCs w:val="22"/>
              </w:rPr>
              <w:t>7.</w:t>
            </w:r>
          </w:p>
        </w:tc>
        <w:tc>
          <w:tcPr>
            <w:tcW w:w="1985" w:type="dxa"/>
            <w:vMerge w:val="restart"/>
            <w:vAlign w:val="center"/>
          </w:tcPr>
          <w:p w14:paraId="206AF859" w14:textId="1AFCBE97" w:rsidR="009E072C" w:rsidRPr="00A45ED9" w:rsidRDefault="009E072C" w:rsidP="009E072C">
            <w:pPr>
              <w:pStyle w:val="Akapitzlist"/>
              <w:autoSpaceDE w:val="0"/>
              <w:autoSpaceDN w:val="0"/>
              <w:adjustRightInd w:val="0"/>
              <w:spacing w:before="60" w:after="60"/>
              <w:ind w:left="0"/>
              <w:rPr>
                <w:b/>
                <w:bCs/>
                <w:iCs/>
                <w:sz w:val="22"/>
                <w:szCs w:val="22"/>
              </w:rPr>
            </w:pPr>
            <w:r w:rsidRPr="00A45ED9">
              <w:rPr>
                <w:b/>
                <w:bCs/>
                <w:sz w:val="22"/>
                <w:szCs w:val="22"/>
              </w:rPr>
              <w:t xml:space="preserve">2001 Traszka karpacka </w:t>
            </w:r>
            <w:r w:rsidRPr="00A45ED9">
              <w:rPr>
                <w:b/>
                <w:bCs/>
                <w:i/>
                <w:iCs/>
                <w:sz w:val="22"/>
                <w:szCs w:val="22"/>
              </w:rPr>
              <w:t>Lissotriton montandoni</w:t>
            </w:r>
          </w:p>
        </w:tc>
        <w:tc>
          <w:tcPr>
            <w:tcW w:w="2268" w:type="dxa"/>
            <w:vAlign w:val="center"/>
          </w:tcPr>
          <w:p w14:paraId="42C63EE1" w14:textId="6D285E4D" w:rsidR="009E072C" w:rsidRPr="00A45ED9" w:rsidRDefault="009E072C" w:rsidP="009E072C">
            <w:pPr>
              <w:pStyle w:val="Standard"/>
              <w:spacing w:before="60" w:after="60"/>
              <w:jc w:val="center"/>
              <w:rPr>
                <w:sz w:val="22"/>
                <w:szCs w:val="22"/>
                <w:lang w:val="pl-PL"/>
              </w:rPr>
            </w:pPr>
            <w:r w:rsidRPr="00A45ED9">
              <w:rPr>
                <w:bCs/>
                <w:sz w:val="22"/>
                <w:szCs w:val="22"/>
                <w:lang w:val="pl-PL"/>
              </w:rPr>
              <w:t>Liczba zbiorników, w których stwierdzono rozród gatunku</w:t>
            </w:r>
          </w:p>
        </w:tc>
        <w:tc>
          <w:tcPr>
            <w:tcW w:w="9610" w:type="dxa"/>
            <w:vMerge w:val="restart"/>
            <w:shd w:val="clear" w:color="auto" w:fill="auto"/>
            <w:vAlign w:val="center"/>
          </w:tcPr>
          <w:p w14:paraId="4A6721B1" w14:textId="4CDCC0D0" w:rsidR="009E072C" w:rsidRPr="00A45ED9" w:rsidRDefault="009E072C" w:rsidP="009E072C">
            <w:pPr>
              <w:rPr>
                <w:sz w:val="22"/>
                <w:szCs w:val="22"/>
              </w:rPr>
            </w:pPr>
            <w:r w:rsidRPr="00A45ED9">
              <w:rPr>
                <w:sz w:val="22"/>
                <w:szCs w:val="22"/>
              </w:rPr>
              <w:t>Nie określa się – brak danych populacyjnych. Weryfikacja występowania gatunku w obszarze.</w:t>
            </w:r>
          </w:p>
        </w:tc>
      </w:tr>
      <w:tr w:rsidR="009E072C" w:rsidRPr="00A45ED9" w14:paraId="7E5D3CCC" w14:textId="77777777" w:rsidTr="00074277">
        <w:trPr>
          <w:trHeight w:val="578"/>
        </w:trPr>
        <w:tc>
          <w:tcPr>
            <w:tcW w:w="704" w:type="dxa"/>
            <w:vMerge/>
          </w:tcPr>
          <w:p w14:paraId="392B3463"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vAlign w:val="center"/>
          </w:tcPr>
          <w:p w14:paraId="49859321"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246A38AC" w14:textId="40B699B2" w:rsidR="009E072C" w:rsidRPr="00A45ED9" w:rsidRDefault="009E072C" w:rsidP="009E072C">
            <w:pPr>
              <w:pStyle w:val="Standard"/>
              <w:spacing w:before="60" w:after="60"/>
              <w:jc w:val="center"/>
              <w:rPr>
                <w:sz w:val="22"/>
                <w:szCs w:val="22"/>
                <w:lang w:val="pl-PL"/>
              </w:rPr>
            </w:pPr>
            <w:r w:rsidRPr="00A45ED9">
              <w:rPr>
                <w:bCs/>
                <w:sz w:val="22"/>
                <w:szCs w:val="22"/>
                <w:lang w:val="pl-PL"/>
              </w:rPr>
              <w:t>Liczba zbiorników, w których stwierdzono obecność gatunku</w:t>
            </w:r>
          </w:p>
        </w:tc>
        <w:tc>
          <w:tcPr>
            <w:tcW w:w="9610" w:type="dxa"/>
            <w:vMerge/>
            <w:shd w:val="clear" w:color="auto" w:fill="auto"/>
            <w:vAlign w:val="center"/>
          </w:tcPr>
          <w:p w14:paraId="1A0CF69A" w14:textId="77777777" w:rsidR="009E072C" w:rsidRPr="00A45ED9" w:rsidRDefault="009E072C" w:rsidP="009E072C">
            <w:pPr>
              <w:rPr>
                <w:sz w:val="22"/>
                <w:szCs w:val="22"/>
              </w:rPr>
            </w:pPr>
          </w:p>
        </w:tc>
      </w:tr>
      <w:tr w:rsidR="009E072C" w:rsidRPr="00A45ED9" w14:paraId="5FB51534" w14:textId="77777777" w:rsidTr="00074277">
        <w:trPr>
          <w:trHeight w:val="578"/>
        </w:trPr>
        <w:tc>
          <w:tcPr>
            <w:tcW w:w="704" w:type="dxa"/>
            <w:vMerge/>
          </w:tcPr>
          <w:p w14:paraId="59F2498E"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vAlign w:val="center"/>
          </w:tcPr>
          <w:p w14:paraId="3EFCB8B5"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0046D5B8" w14:textId="383326E5" w:rsidR="009E072C" w:rsidRPr="00A45ED9" w:rsidRDefault="009E072C" w:rsidP="009E072C">
            <w:pPr>
              <w:pStyle w:val="Standard"/>
              <w:spacing w:before="60" w:after="60"/>
              <w:jc w:val="center"/>
              <w:rPr>
                <w:sz w:val="22"/>
                <w:szCs w:val="22"/>
                <w:lang w:val="pl-PL"/>
              </w:rPr>
            </w:pPr>
            <w:r w:rsidRPr="00A45ED9">
              <w:rPr>
                <w:bCs/>
                <w:sz w:val="22"/>
                <w:szCs w:val="22"/>
                <w:lang w:val="pl-PL"/>
              </w:rPr>
              <w:t>Liczba wszystkich zbiorników</w:t>
            </w:r>
          </w:p>
        </w:tc>
        <w:tc>
          <w:tcPr>
            <w:tcW w:w="9610" w:type="dxa"/>
            <w:vMerge/>
            <w:shd w:val="clear" w:color="auto" w:fill="auto"/>
            <w:vAlign w:val="center"/>
          </w:tcPr>
          <w:p w14:paraId="38819EC7" w14:textId="77777777" w:rsidR="009E072C" w:rsidRPr="00A45ED9" w:rsidRDefault="009E072C" w:rsidP="009E072C">
            <w:pPr>
              <w:rPr>
                <w:sz w:val="22"/>
                <w:szCs w:val="22"/>
              </w:rPr>
            </w:pPr>
          </w:p>
        </w:tc>
      </w:tr>
      <w:tr w:rsidR="009E072C" w:rsidRPr="00A45ED9" w14:paraId="776CF47D" w14:textId="77777777" w:rsidTr="00074277">
        <w:trPr>
          <w:trHeight w:val="578"/>
        </w:trPr>
        <w:tc>
          <w:tcPr>
            <w:tcW w:w="704" w:type="dxa"/>
            <w:vMerge/>
          </w:tcPr>
          <w:p w14:paraId="40FB5D1C"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vAlign w:val="center"/>
          </w:tcPr>
          <w:p w14:paraId="062FC042"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70EF6995" w14:textId="1D67E1E1" w:rsidR="009E072C" w:rsidRPr="00A45ED9" w:rsidRDefault="009E072C" w:rsidP="009E072C">
            <w:pPr>
              <w:pStyle w:val="Standard"/>
              <w:spacing w:before="60" w:after="60"/>
              <w:jc w:val="center"/>
              <w:rPr>
                <w:sz w:val="22"/>
                <w:szCs w:val="22"/>
                <w:lang w:val="pl-PL"/>
              </w:rPr>
            </w:pPr>
            <w:r w:rsidRPr="00A45ED9">
              <w:rPr>
                <w:bCs/>
                <w:sz w:val="22"/>
                <w:szCs w:val="22"/>
                <w:lang w:val="pl-PL"/>
              </w:rPr>
              <w:t>Liczba zbiorników stałych</w:t>
            </w:r>
          </w:p>
        </w:tc>
        <w:tc>
          <w:tcPr>
            <w:tcW w:w="9610" w:type="dxa"/>
            <w:vMerge/>
            <w:shd w:val="clear" w:color="auto" w:fill="auto"/>
            <w:vAlign w:val="center"/>
          </w:tcPr>
          <w:p w14:paraId="2BB26F84" w14:textId="77777777" w:rsidR="009E072C" w:rsidRPr="00A45ED9" w:rsidRDefault="009E072C" w:rsidP="009E072C">
            <w:pPr>
              <w:rPr>
                <w:sz w:val="22"/>
                <w:szCs w:val="22"/>
              </w:rPr>
            </w:pPr>
          </w:p>
        </w:tc>
      </w:tr>
      <w:tr w:rsidR="009E072C" w:rsidRPr="00A45ED9" w14:paraId="767152DC" w14:textId="77777777" w:rsidTr="00074277">
        <w:trPr>
          <w:trHeight w:val="578"/>
        </w:trPr>
        <w:tc>
          <w:tcPr>
            <w:tcW w:w="704" w:type="dxa"/>
            <w:vMerge/>
          </w:tcPr>
          <w:p w14:paraId="147EA721" w14:textId="77777777" w:rsidR="009E072C" w:rsidRPr="00A45ED9" w:rsidRDefault="009E072C" w:rsidP="009E072C">
            <w:pPr>
              <w:pStyle w:val="Akapitzlist"/>
              <w:autoSpaceDE w:val="0"/>
              <w:autoSpaceDN w:val="0"/>
              <w:adjustRightInd w:val="0"/>
              <w:spacing w:before="60" w:after="60"/>
              <w:ind w:left="0"/>
              <w:rPr>
                <w:iCs/>
                <w:sz w:val="22"/>
                <w:szCs w:val="22"/>
              </w:rPr>
            </w:pPr>
          </w:p>
        </w:tc>
        <w:tc>
          <w:tcPr>
            <w:tcW w:w="1985" w:type="dxa"/>
            <w:vMerge/>
            <w:vAlign w:val="center"/>
          </w:tcPr>
          <w:p w14:paraId="59DE496B" w14:textId="77777777" w:rsidR="009E072C" w:rsidRPr="00A45ED9" w:rsidRDefault="009E072C" w:rsidP="009E072C">
            <w:pPr>
              <w:pStyle w:val="Akapitzlist"/>
              <w:autoSpaceDE w:val="0"/>
              <w:autoSpaceDN w:val="0"/>
              <w:adjustRightInd w:val="0"/>
              <w:spacing w:before="60" w:after="60"/>
              <w:ind w:left="0"/>
              <w:rPr>
                <w:b/>
                <w:iCs/>
                <w:sz w:val="22"/>
                <w:szCs w:val="22"/>
              </w:rPr>
            </w:pPr>
          </w:p>
        </w:tc>
        <w:tc>
          <w:tcPr>
            <w:tcW w:w="2268" w:type="dxa"/>
            <w:vAlign w:val="center"/>
          </w:tcPr>
          <w:p w14:paraId="3FB3830F" w14:textId="3551418A" w:rsidR="009E072C" w:rsidRPr="00A45ED9" w:rsidRDefault="009E072C" w:rsidP="009E072C">
            <w:pPr>
              <w:pStyle w:val="Standard"/>
              <w:spacing w:before="60" w:after="60"/>
              <w:jc w:val="center"/>
              <w:rPr>
                <w:sz w:val="22"/>
                <w:szCs w:val="22"/>
                <w:lang w:val="pl-PL"/>
              </w:rPr>
            </w:pPr>
            <w:r w:rsidRPr="00A45ED9">
              <w:rPr>
                <w:bCs/>
                <w:sz w:val="22"/>
                <w:szCs w:val="22"/>
                <w:lang w:val="pl-PL"/>
              </w:rPr>
              <w:t>Perspektywa zachowania na obszarze</w:t>
            </w:r>
          </w:p>
        </w:tc>
        <w:tc>
          <w:tcPr>
            <w:tcW w:w="9610" w:type="dxa"/>
            <w:vMerge/>
            <w:shd w:val="clear" w:color="auto" w:fill="auto"/>
            <w:vAlign w:val="center"/>
          </w:tcPr>
          <w:p w14:paraId="64B7B395" w14:textId="77777777" w:rsidR="009E072C" w:rsidRPr="00A45ED9" w:rsidRDefault="009E072C" w:rsidP="009E072C">
            <w:pPr>
              <w:rPr>
                <w:sz w:val="22"/>
                <w:szCs w:val="22"/>
              </w:rPr>
            </w:pPr>
          </w:p>
        </w:tc>
      </w:tr>
    </w:tbl>
    <w:p w14:paraId="581AD243" w14:textId="77777777" w:rsidR="00AA0B6C" w:rsidRDefault="00AA0B6C" w:rsidP="009771F8">
      <w:pPr>
        <w:autoSpaceDN w:val="0"/>
        <w:spacing w:before="120"/>
        <w:jc w:val="both"/>
        <w:textAlignment w:val="baseline"/>
        <w:rPr>
          <w:sz w:val="22"/>
          <w:szCs w:val="22"/>
        </w:rPr>
      </w:pPr>
    </w:p>
    <w:p w14:paraId="4F0A7989" w14:textId="6905BA02" w:rsidR="00A45ED9" w:rsidRPr="00A45ED9" w:rsidRDefault="00A45ED9" w:rsidP="00A45ED9">
      <w:pPr>
        <w:tabs>
          <w:tab w:val="left" w:pos="1740"/>
        </w:tabs>
        <w:rPr>
          <w:b/>
          <w:bCs/>
          <w:sz w:val="22"/>
          <w:szCs w:val="22"/>
        </w:rPr>
      </w:pPr>
      <w:r w:rsidRPr="00A45ED9">
        <w:rPr>
          <w:b/>
          <w:bCs/>
          <w:sz w:val="22"/>
          <w:szCs w:val="22"/>
        </w:rPr>
        <w:t>Wyjaśnienia</w:t>
      </w:r>
    </w:p>
    <w:p w14:paraId="00276E75" w14:textId="717CED0E" w:rsidR="00A45ED9" w:rsidRDefault="00A45ED9" w:rsidP="00A45ED9">
      <w:pPr>
        <w:tabs>
          <w:tab w:val="left" w:pos="1740"/>
        </w:tabs>
        <w:rPr>
          <w:sz w:val="22"/>
          <w:szCs w:val="22"/>
        </w:rPr>
      </w:pPr>
      <w:r w:rsidRPr="00A45ED9">
        <w:rPr>
          <w:sz w:val="22"/>
          <w:szCs w:val="22"/>
        </w:rPr>
        <w:t>FV (stan właściwy), U1 (niezadowalający), U2 (zły) – symbole oceny parametrów stanu ochrony siedliska przyrodniczego lub gatunku –</w:t>
      </w:r>
      <w:r>
        <w:rPr>
          <w:sz w:val="22"/>
          <w:szCs w:val="22"/>
        </w:rPr>
        <w:t xml:space="preserve"> </w:t>
      </w:r>
      <w:r w:rsidRPr="00A45ED9">
        <w:rPr>
          <w:sz w:val="22"/>
          <w:szCs w:val="22"/>
        </w:rPr>
        <w:t>zgodnie z rozporządzeniem Ministra Środowiska z dnia 17 lutego 2010 r. w sprawie sporządzania projektu planu zadań ochronnych dla obszaru</w:t>
      </w:r>
      <w:r>
        <w:rPr>
          <w:sz w:val="22"/>
          <w:szCs w:val="22"/>
        </w:rPr>
        <w:t xml:space="preserve"> </w:t>
      </w:r>
      <w:r w:rsidRPr="00A45ED9">
        <w:rPr>
          <w:sz w:val="22"/>
          <w:szCs w:val="22"/>
        </w:rPr>
        <w:t>Natura 2000 (Dz. U. z 2010 r. Nr 34, poz. 186, z 2012 r. poz. 506 i z 2017 r. poz. 2310).</w:t>
      </w:r>
    </w:p>
    <w:p w14:paraId="30173162" w14:textId="77777777" w:rsidR="00130FE7" w:rsidRDefault="00130FE7" w:rsidP="00130FE7">
      <w:pPr>
        <w:tabs>
          <w:tab w:val="left" w:pos="1740"/>
        </w:tabs>
        <w:rPr>
          <w:sz w:val="22"/>
          <w:szCs w:val="22"/>
        </w:rPr>
      </w:pPr>
    </w:p>
    <w:p w14:paraId="10832E49" w14:textId="32916D77" w:rsidR="00A45ED9" w:rsidRPr="00A45ED9" w:rsidRDefault="00130FE7" w:rsidP="00130FE7">
      <w:pPr>
        <w:tabs>
          <w:tab w:val="left" w:pos="1740"/>
        </w:tabs>
        <w:rPr>
          <w:sz w:val="22"/>
          <w:szCs w:val="22"/>
        </w:rPr>
        <w:sectPr w:rsidR="00A45ED9" w:rsidRPr="00A45ED9" w:rsidSect="00C90398">
          <w:pgSz w:w="16838" w:h="11906" w:orient="landscape"/>
          <w:pgMar w:top="1417" w:right="1417" w:bottom="1417" w:left="1417" w:header="708" w:footer="708" w:gutter="0"/>
          <w:cols w:space="708"/>
          <w:docGrid w:linePitch="360"/>
        </w:sectPr>
      </w:pPr>
      <w:r>
        <w:rPr>
          <w:sz w:val="22"/>
          <w:szCs w:val="22"/>
        </w:rPr>
        <w:t xml:space="preserve">Symbolem * oznaczono </w:t>
      </w:r>
      <w:r w:rsidRPr="00130FE7">
        <w:rPr>
          <w:sz w:val="22"/>
          <w:szCs w:val="22"/>
        </w:rPr>
        <w:t>siedlisk</w:t>
      </w:r>
      <w:r>
        <w:rPr>
          <w:sz w:val="22"/>
          <w:szCs w:val="22"/>
        </w:rPr>
        <w:t>a</w:t>
      </w:r>
      <w:r w:rsidRPr="00130FE7">
        <w:rPr>
          <w:sz w:val="22"/>
          <w:szCs w:val="22"/>
        </w:rPr>
        <w:t xml:space="preserve"> przyrodniczych o znaczeniu priorytetowym </w:t>
      </w:r>
      <w:r w:rsidRPr="00130FE7">
        <w:rPr>
          <w:sz w:val="22"/>
          <w:szCs w:val="22"/>
        </w:rPr>
        <w:t>zagrożonych</w:t>
      </w:r>
      <w:r w:rsidRPr="00130FE7">
        <w:rPr>
          <w:sz w:val="22"/>
          <w:szCs w:val="22"/>
        </w:rPr>
        <w:t xml:space="preserve"> zanikiem, które występują na terytorium</w:t>
      </w:r>
      <w:r w:rsidR="00FF236F">
        <w:rPr>
          <w:sz w:val="22"/>
          <w:szCs w:val="22"/>
        </w:rPr>
        <w:t xml:space="preserve"> </w:t>
      </w:r>
      <w:r w:rsidRPr="00130FE7">
        <w:rPr>
          <w:sz w:val="22"/>
          <w:szCs w:val="22"/>
        </w:rPr>
        <w:t>i w odniesieniu do ochrony których Wspólnota ponosi szczególną</w:t>
      </w:r>
      <w:r w:rsidR="00FF236F">
        <w:rPr>
          <w:sz w:val="22"/>
          <w:szCs w:val="22"/>
        </w:rPr>
        <w:t xml:space="preserve"> </w:t>
      </w:r>
      <w:r w:rsidRPr="00130FE7">
        <w:rPr>
          <w:sz w:val="22"/>
          <w:szCs w:val="22"/>
        </w:rPr>
        <w:t>odpowiedzialność z powodu wielkości ich naturalnego zasięgu mieszczącego się w</w:t>
      </w:r>
      <w:r w:rsidR="00FF236F">
        <w:rPr>
          <w:sz w:val="22"/>
          <w:szCs w:val="22"/>
        </w:rPr>
        <w:t xml:space="preserve"> </w:t>
      </w:r>
      <w:r w:rsidRPr="00130FE7">
        <w:rPr>
          <w:sz w:val="22"/>
          <w:szCs w:val="22"/>
        </w:rPr>
        <w:t>obrębie terytorium</w:t>
      </w:r>
      <w:r w:rsidR="00FF236F">
        <w:rPr>
          <w:sz w:val="22"/>
          <w:szCs w:val="22"/>
        </w:rPr>
        <w:t>.</w:t>
      </w:r>
    </w:p>
    <w:p w14:paraId="098D7226" w14:textId="77777777" w:rsidR="00AA0B6C" w:rsidRPr="00A45ED9" w:rsidRDefault="00AA0B6C" w:rsidP="00AA0B6C">
      <w:pPr>
        <w:jc w:val="center"/>
        <w:rPr>
          <w:b/>
          <w:bCs/>
          <w:sz w:val="22"/>
          <w:szCs w:val="22"/>
        </w:rPr>
      </w:pPr>
      <w:r w:rsidRPr="00A45ED9">
        <w:rPr>
          <w:b/>
          <w:bCs/>
          <w:sz w:val="22"/>
          <w:szCs w:val="22"/>
        </w:rPr>
        <w:lastRenderedPageBreak/>
        <w:t>Uzasadnienie</w:t>
      </w:r>
    </w:p>
    <w:p w14:paraId="1260DEA5" w14:textId="77777777" w:rsidR="00AA0B6C" w:rsidRPr="00A45ED9" w:rsidRDefault="00AA0B6C" w:rsidP="00AA0B6C">
      <w:pPr>
        <w:jc w:val="center"/>
        <w:rPr>
          <w:b/>
          <w:bCs/>
          <w:sz w:val="22"/>
          <w:szCs w:val="22"/>
        </w:rPr>
      </w:pPr>
      <w:r w:rsidRPr="00A45ED9">
        <w:rPr>
          <w:b/>
          <w:bCs/>
          <w:sz w:val="22"/>
          <w:szCs w:val="22"/>
        </w:rPr>
        <w:t>do tymczasowych celów ochrony dla specjalnego obszaru ochrony siedlisk Ostoje Nietoperzy Powiatu Gorlickiego PLH120094</w:t>
      </w:r>
    </w:p>
    <w:p w14:paraId="294A1451" w14:textId="77777777" w:rsidR="00AA0B6C" w:rsidRPr="00A45ED9" w:rsidRDefault="00AA0B6C" w:rsidP="00AA0B6C">
      <w:pPr>
        <w:jc w:val="both"/>
        <w:rPr>
          <w:sz w:val="22"/>
          <w:szCs w:val="22"/>
        </w:rPr>
      </w:pPr>
    </w:p>
    <w:p w14:paraId="19FA3FFE" w14:textId="77777777" w:rsidR="00AA0B6C" w:rsidRPr="00A45ED9" w:rsidRDefault="00AA0B6C" w:rsidP="00AA0B6C">
      <w:pPr>
        <w:autoSpaceDE w:val="0"/>
        <w:autoSpaceDN w:val="0"/>
        <w:adjustRightInd w:val="0"/>
        <w:ind w:firstLine="708"/>
        <w:jc w:val="both"/>
        <w:rPr>
          <w:sz w:val="22"/>
          <w:szCs w:val="22"/>
        </w:rPr>
      </w:pPr>
      <w:r w:rsidRPr="00A45ED9">
        <w:rPr>
          <w:sz w:val="22"/>
          <w:szCs w:val="22"/>
        </w:rPr>
        <w:t xml:space="preserve">Obszar Natura 2000 Ostoje Nietoperzy Powiatu Gorlickiego PLH120094 został wyznaczony na podstawie decyzji Komisji Europejskiej z dnia 10 stycznia 2011 r. </w:t>
      </w:r>
      <w:r w:rsidRPr="00A45ED9">
        <w:rPr>
          <w:i/>
          <w:iCs/>
          <w:sz w:val="22"/>
          <w:szCs w:val="22"/>
        </w:rPr>
        <w:t>w sprawie przyjęcia na mocy</w:t>
      </w:r>
      <w:r w:rsidRPr="00A45ED9">
        <w:rPr>
          <w:sz w:val="22"/>
          <w:szCs w:val="22"/>
        </w:rPr>
        <w:t xml:space="preserve"> </w:t>
      </w:r>
      <w:r w:rsidRPr="00A45ED9">
        <w:rPr>
          <w:i/>
          <w:iCs/>
          <w:sz w:val="22"/>
          <w:szCs w:val="22"/>
        </w:rPr>
        <w:t>dyrektywy Rady 92/43/EWG czwartego zaktualizowanego wykazu terenów mających znaczenie dla</w:t>
      </w:r>
      <w:r w:rsidRPr="00A45ED9">
        <w:rPr>
          <w:sz w:val="22"/>
          <w:szCs w:val="22"/>
        </w:rPr>
        <w:t xml:space="preserve"> </w:t>
      </w:r>
      <w:r w:rsidRPr="00A45ED9">
        <w:rPr>
          <w:i/>
          <w:iCs/>
          <w:sz w:val="22"/>
          <w:szCs w:val="22"/>
        </w:rPr>
        <w:t xml:space="preserve">Wspólnoty składających się na alpejski region biogeograficzny </w:t>
      </w:r>
      <w:r w:rsidRPr="00A45ED9">
        <w:rPr>
          <w:sz w:val="22"/>
          <w:szCs w:val="22"/>
        </w:rPr>
        <w:t>(Dz. U. UE L 33/1 z 8.2.2011). Obszar posiada Rozporządzenie Ministra Klimatu i Środowiska z dnia 2 listopada 2022 r. w sprawie specjalnego obszaru ochrony siedlisk Ostoje Nietoperzy Powiatu Gorlickiego PLH120094 z dnia 2 listopada 2022 r. (Dz.U z 2022 poz.2716).</w:t>
      </w:r>
    </w:p>
    <w:p w14:paraId="3075C193" w14:textId="77777777" w:rsidR="00AA0B6C" w:rsidRPr="00A45ED9" w:rsidRDefault="00AA0B6C" w:rsidP="00AA0B6C">
      <w:pPr>
        <w:autoSpaceDE w:val="0"/>
        <w:autoSpaceDN w:val="0"/>
        <w:adjustRightInd w:val="0"/>
        <w:ind w:firstLine="708"/>
        <w:jc w:val="both"/>
        <w:rPr>
          <w:sz w:val="22"/>
          <w:szCs w:val="22"/>
        </w:rPr>
      </w:pPr>
      <w:r w:rsidRPr="00A45ED9">
        <w:rPr>
          <w:sz w:val="22"/>
          <w:szCs w:val="22"/>
        </w:rPr>
        <w:t>Opracowanie tymczasowych celów ochrony dla przedmiotów ochrony obszaru Natura 2000 Ostoje Nietoperzy Powiatu Gorlickiego PLH120094 wynika z konieczności zapewnienia warunków utrzymania i odtworzenia ich właściwego stanu ochrony. Cele te, po ich przyjęciu, należy brać pod uwagę przez podmioty sprawujące nadzór nad obszarem Natura 2000 oraz w trakcie prowadzenia ocen wpływu przedsięwzięć na obszar Natura 2000. Bez uwzględnienia tymczasowych celów ochrony nie jest możliwe przeprowadzenie poprawnej oceny oddziaływania na środowisko w przedmiotowym zakresie. W obszarze Natura 2000 osiągnięcie właściwego stanu siedlisk przyrodniczych i gatunków, będących w nim przedmiotami ochrony, jest celem strategicznym ochrony obszaru.</w:t>
      </w:r>
    </w:p>
    <w:p w14:paraId="308FF720" w14:textId="77777777" w:rsidR="00AA0B6C" w:rsidRPr="00A45ED9" w:rsidRDefault="00AA0B6C" w:rsidP="00AA0B6C">
      <w:pPr>
        <w:ind w:firstLine="360"/>
        <w:jc w:val="both"/>
        <w:rPr>
          <w:sz w:val="22"/>
          <w:szCs w:val="22"/>
        </w:rPr>
      </w:pPr>
      <w:r w:rsidRPr="00A45ED9">
        <w:rPr>
          <w:sz w:val="22"/>
          <w:szCs w:val="22"/>
        </w:rPr>
        <w:t>Tymczasowe cele ochrony zostały ustalone dla przedmiotów ochrony wskazanych w ww. rozporządzeniu Ministra Klimatu i Środowiska, tj.:</w:t>
      </w:r>
    </w:p>
    <w:p w14:paraId="1E084E7C" w14:textId="77777777" w:rsidR="00AA0B6C" w:rsidRPr="00A45ED9" w:rsidRDefault="00AA0B6C" w:rsidP="00AA0B6C">
      <w:pPr>
        <w:pStyle w:val="Akapitzlist"/>
        <w:numPr>
          <w:ilvl w:val="0"/>
          <w:numId w:val="14"/>
        </w:numPr>
        <w:spacing w:after="160"/>
        <w:jc w:val="both"/>
        <w:rPr>
          <w:sz w:val="22"/>
          <w:szCs w:val="22"/>
        </w:rPr>
      </w:pPr>
      <w:r w:rsidRPr="00A45ED9">
        <w:rPr>
          <w:sz w:val="22"/>
          <w:szCs w:val="22"/>
        </w:rPr>
        <w:t>9130 Żyzne buczyny (Dentario glandulosae–Fagenion, Galio odorati–Fagenion)</w:t>
      </w:r>
    </w:p>
    <w:p w14:paraId="3FB7A5F1" w14:textId="77777777" w:rsidR="00AA0B6C" w:rsidRPr="00A45ED9" w:rsidRDefault="00AA0B6C" w:rsidP="00AA0B6C">
      <w:pPr>
        <w:pStyle w:val="Akapitzlist"/>
        <w:numPr>
          <w:ilvl w:val="0"/>
          <w:numId w:val="14"/>
        </w:numPr>
        <w:spacing w:after="160"/>
        <w:jc w:val="both"/>
        <w:rPr>
          <w:sz w:val="22"/>
          <w:szCs w:val="22"/>
        </w:rPr>
      </w:pPr>
      <w:r w:rsidRPr="00A45ED9">
        <w:rPr>
          <w:sz w:val="22"/>
          <w:szCs w:val="22"/>
        </w:rPr>
        <w:t>*9180 Jaworzyny i lasy klonowo-lipowe na stokach i zboczach Tilio platyphyllis-Acerion pseudoplatani</w:t>
      </w:r>
    </w:p>
    <w:p w14:paraId="0365DF8D" w14:textId="77777777" w:rsidR="00AA0B6C" w:rsidRPr="00A45ED9" w:rsidRDefault="00AA0B6C" w:rsidP="00AA0B6C">
      <w:pPr>
        <w:pStyle w:val="Akapitzlist"/>
        <w:numPr>
          <w:ilvl w:val="0"/>
          <w:numId w:val="14"/>
        </w:numPr>
        <w:spacing w:after="160"/>
        <w:jc w:val="both"/>
        <w:rPr>
          <w:sz w:val="22"/>
          <w:szCs w:val="22"/>
        </w:rPr>
      </w:pPr>
      <w:r w:rsidRPr="00A45ED9">
        <w:rPr>
          <w:sz w:val="22"/>
          <w:szCs w:val="22"/>
        </w:rPr>
        <w:t xml:space="preserve">1303 Podkowiec mały </w:t>
      </w:r>
      <w:r w:rsidRPr="00A45ED9">
        <w:rPr>
          <w:i/>
          <w:iCs/>
          <w:sz w:val="22"/>
          <w:szCs w:val="22"/>
        </w:rPr>
        <w:t>Rhinolophus hipposideros</w:t>
      </w:r>
    </w:p>
    <w:p w14:paraId="763DE542" w14:textId="77777777" w:rsidR="00AA0B6C" w:rsidRPr="00A45ED9" w:rsidRDefault="00AA0B6C" w:rsidP="00AA0B6C">
      <w:pPr>
        <w:pStyle w:val="Akapitzlist"/>
        <w:numPr>
          <w:ilvl w:val="0"/>
          <w:numId w:val="14"/>
        </w:numPr>
        <w:spacing w:after="160"/>
        <w:jc w:val="both"/>
        <w:rPr>
          <w:sz w:val="22"/>
          <w:szCs w:val="22"/>
        </w:rPr>
      </w:pPr>
      <w:r w:rsidRPr="00A45ED9">
        <w:rPr>
          <w:sz w:val="22"/>
          <w:szCs w:val="22"/>
        </w:rPr>
        <w:t xml:space="preserve">1324 Nocek duży </w:t>
      </w:r>
      <w:r w:rsidRPr="00A45ED9">
        <w:rPr>
          <w:i/>
          <w:iCs/>
          <w:sz w:val="22"/>
          <w:szCs w:val="22"/>
        </w:rPr>
        <w:t>Myotis myotis</w:t>
      </w:r>
      <w:r w:rsidRPr="00A45ED9">
        <w:rPr>
          <w:sz w:val="22"/>
          <w:szCs w:val="22"/>
        </w:rPr>
        <w:t xml:space="preserve"> </w:t>
      </w:r>
    </w:p>
    <w:p w14:paraId="3F91084B" w14:textId="77777777" w:rsidR="00AA0B6C" w:rsidRPr="00A45ED9" w:rsidRDefault="00AA0B6C" w:rsidP="00AA0B6C">
      <w:pPr>
        <w:pStyle w:val="Akapitzlist"/>
        <w:numPr>
          <w:ilvl w:val="0"/>
          <w:numId w:val="14"/>
        </w:numPr>
        <w:spacing w:after="160"/>
        <w:jc w:val="both"/>
        <w:rPr>
          <w:sz w:val="22"/>
          <w:szCs w:val="22"/>
        </w:rPr>
      </w:pPr>
      <w:r w:rsidRPr="00A45ED9">
        <w:rPr>
          <w:sz w:val="22"/>
          <w:szCs w:val="22"/>
        </w:rPr>
        <w:t xml:space="preserve">1087 Nadobnica alpejska </w:t>
      </w:r>
      <w:r w:rsidRPr="00A45ED9">
        <w:rPr>
          <w:i/>
          <w:iCs/>
          <w:sz w:val="22"/>
          <w:szCs w:val="22"/>
        </w:rPr>
        <w:t>Rosalia alpina</w:t>
      </w:r>
    </w:p>
    <w:p w14:paraId="39F7EDB4" w14:textId="77777777" w:rsidR="00AA0B6C" w:rsidRPr="00A45ED9" w:rsidRDefault="00AA0B6C" w:rsidP="00AA0B6C">
      <w:pPr>
        <w:pStyle w:val="Akapitzlist"/>
        <w:numPr>
          <w:ilvl w:val="0"/>
          <w:numId w:val="14"/>
        </w:numPr>
        <w:spacing w:after="160"/>
        <w:jc w:val="both"/>
        <w:rPr>
          <w:sz w:val="22"/>
          <w:szCs w:val="22"/>
        </w:rPr>
      </w:pPr>
      <w:r w:rsidRPr="00A45ED9">
        <w:rPr>
          <w:sz w:val="22"/>
          <w:szCs w:val="22"/>
        </w:rPr>
        <w:t xml:space="preserve">1193 Kumak górski </w:t>
      </w:r>
      <w:r w:rsidRPr="00A45ED9">
        <w:rPr>
          <w:i/>
          <w:iCs/>
          <w:sz w:val="22"/>
          <w:szCs w:val="22"/>
        </w:rPr>
        <w:t>Bombina variegata</w:t>
      </w:r>
    </w:p>
    <w:p w14:paraId="7766DEAA" w14:textId="77777777" w:rsidR="00AA0B6C" w:rsidRPr="00A45ED9" w:rsidRDefault="00AA0B6C" w:rsidP="00AA0B6C">
      <w:pPr>
        <w:pStyle w:val="Akapitzlist"/>
        <w:numPr>
          <w:ilvl w:val="0"/>
          <w:numId w:val="14"/>
        </w:numPr>
        <w:spacing w:after="160"/>
        <w:jc w:val="both"/>
        <w:rPr>
          <w:sz w:val="22"/>
          <w:szCs w:val="22"/>
        </w:rPr>
      </w:pPr>
      <w:r w:rsidRPr="00A45ED9">
        <w:rPr>
          <w:sz w:val="22"/>
          <w:szCs w:val="22"/>
        </w:rPr>
        <w:t xml:space="preserve">2001 Traszka karpacka </w:t>
      </w:r>
      <w:r w:rsidRPr="00A45ED9">
        <w:rPr>
          <w:i/>
          <w:iCs/>
          <w:sz w:val="22"/>
          <w:szCs w:val="22"/>
        </w:rPr>
        <w:t>Lissotriton montandoni</w:t>
      </w:r>
    </w:p>
    <w:p w14:paraId="40791C84" w14:textId="77777777" w:rsidR="00AA0B6C" w:rsidRPr="00A45ED9" w:rsidRDefault="00AA0B6C" w:rsidP="00AA0B6C">
      <w:pPr>
        <w:jc w:val="both"/>
        <w:rPr>
          <w:sz w:val="22"/>
          <w:szCs w:val="22"/>
        </w:rPr>
      </w:pPr>
      <w:r w:rsidRPr="00A45ED9">
        <w:rPr>
          <w:sz w:val="22"/>
          <w:szCs w:val="22"/>
        </w:rPr>
        <w:t>Tymczasowe cele ochrony dla przedmiotów ochrony obszaru Natura 2000 Ostoje Nietoperzy Powiatu Gorlickiego PLH120094 rozpisano do poszczególnych parametrów i wskaźników stanu ochrony uwzględnionych w metodykach monitoringowych GIOŚ PMŚ.</w:t>
      </w:r>
    </w:p>
    <w:p w14:paraId="0147B811" w14:textId="7A764BBC" w:rsidR="00AA0B6C" w:rsidRPr="00A45ED9" w:rsidRDefault="00AA0B6C" w:rsidP="00AA0B6C">
      <w:pPr>
        <w:jc w:val="both"/>
        <w:rPr>
          <w:sz w:val="22"/>
          <w:szCs w:val="22"/>
        </w:rPr>
      </w:pPr>
      <w:r w:rsidRPr="00A45ED9">
        <w:rPr>
          <w:sz w:val="22"/>
          <w:szCs w:val="22"/>
        </w:rPr>
        <w:t xml:space="preserve">Dla przedmiotów ochrony: 1193 Kumak górski </w:t>
      </w:r>
      <w:r w:rsidRPr="00A45ED9">
        <w:rPr>
          <w:i/>
          <w:iCs/>
          <w:sz w:val="22"/>
          <w:szCs w:val="22"/>
        </w:rPr>
        <w:t xml:space="preserve">Bombina variegata </w:t>
      </w:r>
      <w:r w:rsidRPr="00A45ED9">
        <w:rPr>
          <w:sz w:val="22"/>
          <w:szCs w:val="22"/>
        </w:rPr>
        <w:t>i</w:t>
      </w:r>
      <w:r w:rsidRPr="00A45ED9">
        <w:rPr>
          <w:i/>
          <w:iCs/>
          <w:sz w:val="22"/>
          <w:szCs w:val="22"/>
        </w:rPr>
        <w:t xml:space="preserve"> </w:t>
      </w:r>
      <w:r w:rsidRPr="00A45ED9">
        <w:rPr>
          <w:sz w:val="22"/>
          <w:szCs w:val="22"/>
        </w:rPr>
        <w:t xml:space="preserve">2001 Traszka karpacka </w:t>
      </w:r>
      <w:r w:rsidRPr="00A45ED9">
        <w:rPr>
          <w:i/>
          <w:iCs/>
          <w:sz w:val="22"/>
          <w:szCs w:val="22"/>
        </w:rPr>
        <w:t>Lissotriton montandoni</w:t>
      </w:r>
      <w:r w:rsidRPr="00A45ED9">
        <w:rPr>
          <w:sz w:val="22"/>
          <w:szCs w:val="22"/>
        </w:rPr>
        <w:t xml:space="preserve"> nie określano celów ochrony ze względu na brak aktualnych danych terenowych</w:t>
      </w:r>
      <w:r w:rsidR="00B52C53" w:rsidRPr="00A45ED9">
        <w:rPr>
          <w:sz w:val="22"/>
          <w:szCs w:val="22"/>
        </w:rPr>
        <w:t>. Posiadane dane z</w:t>
      </w:r>
      <w:r w:rsidRPr="00A45ED9">
        <w:rPr>
          <w:sz w:val="22"/>
          <w:szCs w:val="22"/>
        </w:rPr>
        <w:t xml:space="preserve"> 2014 r. w przypadku tej grupy zwierząt </w:t>
      </w:r>
      <w:r w:rsidR="00B52C53" w:rsidRPr="00A45ED9">
        <w:rPr>
          <w:sz w:val="22"/>
          <w:szCs w:val="22"/>
        </w:rPr>
        <w:t>są</w:t>
      </w:r>
      <w:r w:rsidRPr="00A45ED9">
        <w:rPr>
          <w:sz w:val="22"/>
          <w:szCs w:val="22"/>
        </w:rPr>
        <w:t xml:space="preserve"> niemiarodajne. Płazy narażone są na wiele zagrożeń (m.in. susze, zanieczyszczenia wód, utwardzanie dróg, pojazdy zmotoryzowane) w związku z czym ich sytuacja w obszarze jest zmienna. Zatem aby w przyszłości prawidłowo sformułować cele ochrony niezbędna jest weryfikacja występowania gatunku w obszarze. </w:t>
      </w:r>
    </w:p>
    <w:p w14:paraId="376D1BEC" w14:textId="77777777" w:rsidR="00AA0B6C" w:rsidRPr="00A45ED9" w:rsidRDefault="00AA0B6C" w:rsidP="00AA0B6C">
      <w:pPr>
        <w:jc w:val="both"/>
        <w:rPr>
          <w:sz w:val="22"/>
          <w:szCs w:val="22"/>
        </w:rPr>
      </w:pPr>
      <w:r w:rsidRPr="00A45ED9">
        <w:rPr>
          <w:sz w:val="22"/>
          <w:szCs w:val="22"/>
        </w:rPr>
        <w:t xml:space="preserve">Wskazane cele ochrony opracowano na podstawie: </w:t>
      </w:r>
    </w:p>
    <w:p w14:paraId="6FD50BF8" w14:textId="77777777" w:rsidR="00AA0B6C" w:rsidRPr="00A45ED9" w:rsidRDefault="00AA0B6C" w:rsidP="00AA0B6C">
      <w:pPr>
        <w:pStyle w:val="Akapitzlist"/>
        <w:numPr>
          <w:ilvl w:val="0"/>
          <w:numId w:val="15"/>
        </w:numPr>
        <w:spacing w:after="160"/>
        <w:jc w:val="both"/>
        <w:rPr>
          <w:sz w:val="22"/>
          <w:szCs w:val="22"/>
        </w:rPr>
      </w:pPr>
      <w:r w:rsidRPr="00A45ED9">
        <w:rPr>
          <w:sz w:val="22"/>
          <w:szCs w:val="22"/>
        </w:rPr>
        <w:t xml:space="preserve">Kart obserwacji na stanowiskach nietoperzy w ramach oceny skuteczności prowadzonych działań ochronnych dla nietoperzy w projekcie pn. „Ochrona zagrożonych gatunków i siedlisk chronionych w ramach sieci Natura 2000 w Małopolsce” – R. Paszkiewicz 2022 r. i 2023 r., </w:t>
      </w:r>
    </w:p>
    <w:p w14:paraId="5B39093A" w14:textId="77777777" w:rsidR="00AA0B6C" w:rsidRPr="00A45ED9" w:rsidRDefault="00AA0B6C" w:rsidP="00AA0B6C">
      <w:pPr>
        <w:pStyle w:val="Akapitzlist"/>
        <w:numPr>
          <w:ilvl w:val="0"/>
          <w:numId w:val="15"/>
        </w:numPr>
        <w:spacing w:after="160"/>
        <w:jc w:val="both"/>
        <w:rPr>
          <w:sz w:val="22"/>
          <w:szCs w:val="22"/>
        </w:rPr>
      </w:pPr>
      <w:r w:rsidRPr="00A45ED9">
        <w:rPr>
          <w:sz w:val="22"/>
          <w:szCs w:val="22"/>
        </w:rPr>
        <w:t>Raportów monitoringów wykonywanych w ramach Państwowego Monitoringu Środowiskowego prowadzonego przez GIOŚ – z lat: 2016, 2021,</w:t>
      </w:r>
    </w:p>
    <w:p w14:paraId="3623D1B5" w14:textId="77777777" w:rsidR="00AA0B6C" w:rsidRPr="00A45ED9" w:rsidRDefault="00AA0B6C" w:rsidP="00AA0B6C">
      <w:pPr>
        <w:pStyle w:val="Akapitzlist"/>
        <w:numPr>
          <w:ilvl w:val="0"/>
          <w:numId w:val="15"/>
        </w:numPr>
        <w:spacing w:after="160"/>
        <w:jc w:val="both"/>
        <w:rPr>
          <w:sz w:val="22"/>
          <w:szCs w:val="22"/>
        </w:rPr>
      </w:pPr>
      <w:r w:rsidRPr="00A45ED9">
        <w:rPr>
          <w:sz w:val="22"/>
          <w:szCs w:val="22"/>
        </w:rPr>
        <w:t>Szablonu dokumentacji Planu Zadań Ochronnych dla obszaru Natura 2000 Ostoje Nietoperzy Powiatu Gorlickiego PLH120094,</w:t>
      </w:r>
    </w:p>
    <w:p w14:paraId="1730EC37" w14:textId="77777777" w:rsidR="00AA0B6C" w:rsidRPr="00A45ED9" w:rsidRDefault="00AA0B6C" w:rsidP="00AA0B6C">
      <w:pPr>
        <w:pStyle w:val="Akapitzlist"/>
        <w:numPr>
          <w:ilvl w:val="0"/>
          <w:numId w:val="15"/>
        </w:numPr>
        <w:spacing w:after="160"/>
        <w:jc w:val="both"/>
        <w:rPr>
          <w:sz w:val="22"/>
          <w:szCs w:val="22"/>
        </w:rPr>
      </w:pPr>
      <w:r w:rsidRPr="00A45ED9">
        <w:rPr>
          <w:sz w:val="22"/>
          <w:szCs w:val="22"/>
        </w:rPr>
        <w:t>Inwentaryzacji gatunku 1087 Nadobnica alpejska (</w:t>
      </w:r>
      <w:r w:rsidRPr="00A45ED9">
        <w:rPr>
          <w:i/>
          <w:iCs/>
          <w:sz w:val="22"/>
          <w:szCs w:val="22"/>
        </w:rPr>
        <w:t>Rosalia alpina</w:t>
      </w:r>
      <w:r w:rsidRPr="00A45ED9">
        <w:rPr>
          <w:sz w:val="22"/>
          <w:szCs w:val="22"/>
        </w:rPr>
        <w:t>) na obszarze Natura 2000 Ostoje Nietoperzy Powiatu Gorlickiego PLH120094 występowanie, zagrożenia i ochrona, prowadzona w ramach projektu nr POIS.02.04.00-00-0191/16 „Inwentaryzacja cennych siedlisk przyrodniczych kraju, gatunków występujących w ich obrębie oraz stworzenie Banku Danych o Zasobach Przyrodniczych” - Michał Ciach 2019-2020,</w:t>
      </w:r>
    </w:p>
    <w:p w14:paraId="4AE2BD31" w14:textId="77777777" w:rsidR="00AA0B6C" w:rsidRPr="00A45ED9" w:rsidRDefault="00AA0B6C" w:rsidP="00AA0B6C">
      <w:pPr>
        <w:pStyle w:val="Akapitzlist"/>
        <w:numPr>
          <w:ilvl w:val="0"/>
          <w:numId w:val="15"/>
        </w:numPr>
        <w:spacing w:after="160"/>
        <w:jc w:val="both"/>
        <w:rPr>
          <w:sz w:val="22"/>
          <w:szCs w:val="22"/>
        </w:rPr>
      </w:pPr>
      <w:r w:rsidRPr="00A45ED9">
        <w:rPr>
          <w:sz w:val="22"/>
          <w:szCs w:val="22"/>
        </w:rPr>
        <w:t>Przewodników metodycznych Państwowego Monitoringu Środowiska Głównego Inspektoratu Ochrony Środowiska.</w:t>
      </w:r>
    </w:p>
    <w:p w14:paraId="7780D804" w14:textId="77777777" w:rsidR="00AA0B6C" w:rsidRPr="00A45ED9" w:rsidRDefault="00AA0B6C" w:rsidP="00AA0B6C">
      <w:pPr>
        <w:jc w:val="both"/>
        <w:rPr>
          <w:sz w:val="22"/>
          <w:szCs w:val="22"/>
        </w:rPr>
      </w:pPr>
      <w:r w:rsidRPr="00A45ED9">
        <w:rPr>
          <w:sz w:val="22"/>
          <w:szCs w:val="22"/>
        </w:rPr>
        <w:lastRenderedPageBreak/>
        <w:t xml:space="preserve">Regionalny Dyrektor Ochrony Środowiska w Krakowie obwieszczeniem znak:6320.1.2014.JK w dniu 10 stycznia 2024 r. przedłożył do publicznej wiadomości projekt tymczasowych celów ochrony dla siedlisk przyrodniczych oraz gatunków i ich siedlisk będących przedmiotami ochrony w obszarze Natura 2000 Ostoje Nietoperzy Powiatu Gorlickiego PLH120094, wraz z informacją o możliwości zapoznania się z przedmiotowym projektem oraz możliwości zgłaszania uwag i propozycji względem tych celów do dnia 31 stycznia 2024 r. </w:t>
      </w:r>
    </w:p>
    <w:p w14:paraId="24EBFBC7" w14:textId="77777777" w:rsidR="00AA0B6C" w:rsidRPr="00A45ED9" w:rsidRDefault="00AA0B6C" w:rsidP="00AA0B6C">
      <w:pPr>
        <w:rPr>
          <w:sz w:val="22"/>
          <w:szCs w:val="22"/>
        </w:rPr>
      </w:pPr>
      <w:r w:rsidRPr="00A45ED9">
        <w:rPr>
          <w:sz w:val="22"/>
          <w:szCs w:val="22"/>
        </w:rPr>
        <w:t xml:space="preserve"> </w:t>
      </w:r>
    </w:p>
    <w:p w14:paraId="1F661DCB" w14:textId="2AC24B8B" w:rsidR="00C90398" w:rsidRPr="00A45ED9" w:rsidRDefault="00C90398" w:rsidP="009771F8">
      <w:pPr>
        <w:autoSpaceDN w:val="0"/>
        <w:spacing w:before="120"/>
        <w:jc w:val="both"/>
        <w:textAlignment w:val="baseline"/>
        <w:rPr>
          <w:sz w:val="22"/>
          <w:szCs w:val="22"/>
        </w:rPr>
      </w:pPr>
    </w:p>
    <w:sectPr w:rsidR="00C90398" w:rsidRPr="00A45E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F105" w14:textId="77777777" w:rsidR="008551BC" w:rsidRDefault="008551BC" w:rsidP="00A45ED9">
      <w:r>
        <w:separator/>
      </w:r>
    </w:p>
  </w:endnote>
  <w:endnote w:type="continuationSeparator" w:id="0">
    <w:p w14:paraId="6C8308D2" w14:textId="77777777" w:rsidR="008551BC" w:rsidRDefault="008551BC" w:rsidP="00A4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E84A" w14:textId="77777777" w:rsidR="008551BC" w:rsidRDefault="008551BC" w:rsidP="00A45ED9">
      <w:r>
        <w:separator/>
      </w:r>
    </w:p>
  </w:footnote>
  <w:footnote w:type="continuationSeparator" w:id="0">
    <w:p w14:paraId="38D6ABEF" w14:textId="77777777" w:rsidR="008551BC" w:rsidRDefault="008551BC" w:rsidP="00A4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AB7"/>
    <w:multiLevelType w:val="hybridMultilevel"/>
    <w:tmpl w:val="B116448A"/>
    <w:lvl w:ilvl="0" w:tplc="D62296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FA43FEB"/>
    <w:multiLevelType w:val="hybridMultilevel"/>
    <w:tmpl w:val="9620BAE8"/>
    <w:lvl w:ilvl="0" w:tplc="FA8EA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F65E97"/>
    <w:multiLevelType w:val="hybridMultilevel"/>
    <w:tmpl w:val="1DCEEA04"/>
    <w:lvl w:ilvl="0" w:tplc="BD0E3A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4904F4B"/>
    <w:multiLevelType w:val="hybridMultilevel"/>
    <w:tmpl w:val="F976B0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77CCB"/>
    <w:multiLevelType w:val="hybridMultilevel"/>
    <w:tmpl w:val="A9862B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776D67"/>
    <w:multiLevelType w:val="hybridMultilevel"/>
    <w:tmpl w:val="94560B80"/>
    <w:lvl w:ilvl="0" w:tplc="C8FE3318">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 w15:restartNumberingAfterBreak="0">
    <w:nsid w:val="28311856"/>
    <w:multiLevelType w:val="hybridMultilevel"/>
    <w:tmpl w:val="C7662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914B1E"/>
    <w:multiLevelType w:val="hybridMultilevel"/>
    <w:tmpl w:val="B2E6BEE2"/>
    <w:lvl w:ilvl="0" w:tplc="C4EC4DC8">
      <w:start w:val="1"/>
      <w:numFmt w:val="decimal"/>
      <w:lvlText w:val="%1)"/>
      <w:lvlJc w:val="left"/>
      <w:pPr>
        <w:ind w:left="-120" w:hanging="360"/>
      </w:pPr>
      <w:rPr>
        <w:rFonts w:hint="default"/>
      </w:rPr>
    </w:lvl>
    <w:lvl w:ilvl="1" w:tplc="7A406C26">
      <w:start w:val="1"/>
      <w:numFmt w:val="decimal"/>
      <w:lvlText w:val="%2)"/>
      <w:lvlJc w:val="left"/>
      <w:pPr>
        <w:ind w:left="600" w:hanging="360"/>
      </w:pPr>
      <w:rPr>
        <w:rFonts w:hint="default"/>
        <w:b/>
      </w:r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8" w15:restartNumberingAfterBreak="0">
    <w:nsid w:val="2E8C6821"/>
    <w:multiLevelType w:val="hybridMultilevel"/>
    <w:tmpl w:val="2334CED8"/>
    <w:lvl w:ilvl="0" w:tplc="E1E82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D6E4F"/>
    <w:multiLevelType w:val="hybridMultilevel"/>
    <w:tmpl w:val="ADE00F82"/>
    <w:lvl w:ilvl="0" w:tplc="3B884948">
      <w:start w:val="1"/>
      <w:numFmt w:val="decimal"/>
      <w:lvlText w:val="%1."/>
      <w:lvlJc w:val="left"/>
      <w:pPr>
        <w:ind w:left="360" w:hanging="360"/>
      </w:pPr>
      <w:rPr>
        <w:b/>
        <w:i w:val="0"/>
        <w:color w:val="auto"/>
      </w:rPr>
    </w:lvl>
    <w:lvl w:ilvl="1" w:tplc="E472A6A6">
      <w:numFmt w:val="bullet"/>
      <w:lvlText w:val="•"/>
      <w:lvlJc w:val="left"/>
      <w:pPr>
        <w:ind w:left="2484" w:hanging="700"/>
      </w:pPr>
      <w:rPr>
        <w:rFonts w:ascii="Times New Roman" w:eastAsia="Times New Roman" w:hAnsi="Times New Roman" w:cs="Times New Roman" w:hint="default"/>
      </w:r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0" w15:restartNumberingAfterBreak="0">
    <w:nsid w:val="49D252FB"/>
    <w:multiLevelType w:val="hybridMultilevel"/>
    <w:tmpl w:val="6EF8BCEC"/>
    <w:lvl w:ilvl="0" w:tplc="2382A9C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072A50"/>
    <w:multiLevelType w:val="hybridMultilevel"/>
    <w:tmpl w:val="E7600E1C"/>
    <w:lvl w:ilvl="0" w:tplc="2E3AE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3852DA"/>
    <w:multiLevelType w:val="hybridMultilevel"/>
    <w:tmpl w:val="8C6ED4D2"/>
    <w:lvl w:ilvl="0" w:tplc="BD0E3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7B6D5F"/>
    <w:multiLevelType w:val="hybridMultilevel"/>
    <w:tmpl w:val="40161D62"/>
    <w:lvl w:ilvl="0" w:tplc="0220E7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51491479">
    <w:abstractNumId w:val="0"/>
  </w:num>
  <w:num w:numId="2" w16cid:durableId="1861117534">
    <w:abstractNumId w:val="7"/>
  </w:num>
  <w:num w:numId="3" w16cid:durableId="2020304846">
    <w:abstractNumId w:val="12"/>
  </w:num>
  <w:num w:numId="4" w16cid:durableId="677121509">
    <w:abstractNumId w:val="2"/>
  </w:num>
  <w:num w:numId="5" w16cid:durableId="1145124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955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0711589">
    <w:abstractNumId w:val="13"/>
  </w:num>
  <w:num w:numId="8" w16cid:durableId="1785928198">
    <w:abstractNumId w:val="4"/>
  </w:num>
  <w:num w:numId="9" w16cid:durableId="2147316191">
    <w:abstractNumId w:val="11"/>
  </w:num>
  <w:num w:numId="10" w16cid:durableId="1324891174">
    <w:abstractNumId w:val="9"/>
  </w:num>
  <w:num w:numId="11" w16cid:durableId="1230458854">
    <w:abstractNumId w:val="6"/>
  </w:num>
  <w:num w:numId="12" w16cid:durableId="797453144">
    <w:abstractNumId w:val="1"/>
  </w:num>
  <w:num w:numId="13" w16cid:durableId="1710640973">
    <w:abstractNumId w:val="3"/>
  </w:num>
  <w:num w:numId="14" w16cid:durableId="698702778">
    <w:abstractNumId w:val="10"/>
  </w:num>
  <w:num w:numId="15" w16cid:durableId="739012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B9"/>
    <w:rsid w:val="00094762"/>
    <w:rsid w:val="000E633B"/>
    <w:rsid w:val="00130FE7"/>
    <w:rsid w:val="001330D8"/>
    <w:rsid w:val="00144959"/>
    <w:rsid w:val="00146224"/>
    <w:rsid w:val="001C2118"/>
    <w:rsid w:val="00223377"/>
    <w:rsid w:val="0026390A"/>
    <w:rsid w:val="00283907"/>
    <w:rsid w:val="00297ECB"/>
    <w:rsid w:val="002A5A6B"/>
    <w:rsid w:val="002F5AC9"/>
    <w:rsid w:val="003848CB"/>
    <w:rsid w:val="003B29DA"/>
    <w:rsid w:val="00405F74"/>
    <w:rsid w:val="00426CC3"/>
    <w:rsid w:val="00451113"/>
    <w:rsid w:val="00467FF8"/>
    <w:rsid w:val="004A2887"/>
    <w:rsid w:val="004A35F8"/>
    <w:rsid w:val="004B7582"/>
    <w:rsid w:val="004F6F1B"/>
    <w:rsid w:val="00515427"/>
    <w:rsid w:val="00555F51"/>
    <w:rsid w:val="00560154"/>
    <w:rsid w:val="005825F9"/>
    <w:rsid w:val="005C40E2"/>
    <w:rsid w:val="005E0291"/>
    <w:rsid w:val="00670A9A"/>
    <w:rsid w:val="006768FF"/>
    <w:rsid w:val="006A0B4D"/>
    <w:rsid w:val="007046FF"/>
    <w:rsid w:val="00732FD2"/>
    <w:rsid w:val="007932B3"/>
    <w:rsid w:val="0079524E"/>
    <w:rsid w:val="007E1543"/>
    <w:rsid w:val="007E79A0"/>
    <w:rsid w:val="008126CB"/>
    <w:rsid w:val="0083315D"/>
    <w:rsid w:val="008551BC"/>
    <w:rsid w:val="00882CD4"/>
    <w:rsid w:val="0089620C"/>
    <w:rsid w:val="008C5F67"/>
    <w:rsid w:val="008F3371"/>
    <w:rsid w:val="00924E4D"/>
    <w:rsid w:val="00934F0B"/>
    <w:rsid w:val="009771F8"/>
    <w:rsid w:val="0098083C"/>
    <w:rsid w:val="009E072C"/>
    <w:rsid w:val="00A23D39"/>
    <w:rsid w:val="00A325E2"/>
    <w:rsid w:val="00A40388"/>
    <w:rsid w:val="00A45ED9"/>
    <w:rsid w:val="00AA0B6C"/>
    <w:rsid w:val="00AD2E43"/>
    <w:rsid w:val="00B03E7E"/>
    <w:rsid w:val="00B06B44"/>
    <w:rsid w:val="00B52C53"/>
    <w:rsid w:val="00B75555"/>
    <w:rsid w:val="00BB2489"/>
    <w:rsid w:val="00BC72B7"/>
    <w:rsid w:val="00C07553"/>
    <w:rsid w:val="00C730B9"/>
    <w:rsid w:val="00C90398"/>
    <w:rsid w:val="00C945FA"/>
    <w:rsid w:val="00CB35B2"/>
    <w:rsid w:val="00D13986"/>
    <w:rsid w:val="00D365AA"/>
    <w:rsid w:val="00D47BB4"/>
    <w:rsid w:val="00DD4C0B"/>
    <w:rsid w:val="00DE0483"/>
    <w:rsid w:val="00E02845"/>
    <w:rsid w:val="00E029E9"/>
    <w:rsid w:val="00E72873"/>
    <w:rsid w:val="00E8034A"/>
    <w:rsid w:val="00EB438F"/>
    <w:rsid w:val="00F0581F"/>
    <w:rsid w:val="00F74028"/>
    <w:rsid w:val="00FA5CD5"/>
    <w:rsid w:val="00FE2769"/>
    <w:rsid w:val="00FF2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C8D3"/>
  <w15:chartTrackingRefBased/>
  <w15:docId w15:val="{BBDD8CCA-1978-4AD2-8ABD-EC13164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039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398"/>
    <w:pPr>
      <w:tabs>
        <w:tab w:val="center" w:pos="4536"/>
        <w:tab w:val="right" w:pos="9072"/>
      </w:tabs>
    </w:pPr>
  </w:style>
  <w:style w:type="character" w:customStyle="1" w:styleId="NagwekZnak">
    <w:name w:val="Nagłówek Znak"/>
    <w:basedOn w:val="Domylnaczcionkaakapitu"/>
    <w:link w:val="Nagwek"/>
    <w:uiPriority w:val="99"/>
    <w:rsid w:val="00C90398"/>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C90398"/>
    <w:pPr>
      <w:tabs>
        <w:tab w:val="center" w:pos="4536"/>
        <w:tab w:val="right" w:pos="9072"/>
      </w:tabs>
    </w:pPr>
  </w:style>
  <w:style w:type="character" w:customStyle="1" w:styleId="StopkaZnak">
    <w:name w:val="Stopka Znak"/>
    <w:basedOn w:val="Domylnaczcionkaakapitu"/>
    <w:link w:val="Stopka"/>
    <w:uiPriority w:val="99"/>
    <w:rsid w:val="00C90398"/>
    <w:rPr>
      <w:rFonts w:ascii="Times New Roman" w:eastAsia="Times New Roman" w:hAnsi="Times New Roman" w:cs="Times New Roman"/>
      <w:kern w:val="0"/>
      <w:sz w:val="24"/>
      <w:szCs w:val="24"/>
      <w:lang w:eastAsia="pl-PL"/>
      <w14:ligatures w14:val="none"/>
    </w:rPr>
  </w:style>
  <w:style w:type="paragraph" w:customStyle="1" w:styleId="Standard">
    <w:name w:val="Standard"/>
    <w:link w:val="StandardZnak"/>
    <w:qFormat/>
    <w:rsid w:val="00C90398"/>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14:ligatures w14:val="none"/>
    </w:rPr>
  </w:style>
  <w:style w:type="character" w:customStyle="1" w:styleId="StandardZnak">
    <w:name w:val="Standard Znak"/>
    <w:link w:val="Standard"/>
    <w:rsid w:val="00C90398"/>
    <w:rPr>
      <w:rFonts w:ascii="Times New Roman" w:eastAsia="Times New Roman" w:hAnsi="Times New Roman" w:cs="Times New Roman"/>
      <w:kern w:val="3"/>
      <w:sz w:val="24"/>
      <w:szCs w:val="24"/>
      <w:lang w:val="en-GB" w:eastAsia="pl-PL"/>
      <w14:ligatures w14:val="none"/>
    </w:rPr>
  </w:style>
  <w:style w:type="paragraph" w:styleId="Akapitzlist">
    <w:name w:val="List Paragraph"/>
    <w:basedOn w:val="Normalny"/>
    <w:uiPriority w:val="34"/>
    <w:qFormat/>
    <w:rsid w:val="00C90398"/>
    <w:pPr>
      <w:ind w:left="720"/>
      <w:contextualSpacing/>
    </w:pPr>
  </w:style>
  <w:style w:type="paragraph" w:styleId="Tekstpodstawowy">
    <w:name w:val="Body Text"/>
    <w:basedOn w:val="Normalny"/>
    <w:link w:val="TekstpodstawowyZnak"/>
    <w:uiPriority w:val="99"/>
    <w:semiHidden/>
    <w:unhideWhenUsed/>
    <w:rsid w:val="00C90398"/>
    <w:pPr>
      <w:spacing w:after="120"/>
    </w:pPr>
  </w:style>
  <w:style w:type="character" w:customStyle="1" w:styleId="TekstpodstawowyZnak">
    <w:name w:val="Tekst podstawowy Znak"/>
    <w:basedOn w:val="Domylnaczcionkaakapitu"/>
    <w:link w:val="Tekstpodstawowy"/>
    <w:uiPriority w:val="99"/>
    <w:semiHidden/>
    <w:rsid w:val="00C90398"/>
    <w:rPr>
      <w:rFonts w:ascii="Times New Roman" w:eastAsia="Times New Roman" w:hAnsi="Times New Roman" w:cs="Times New Roman"/>
      <w:kern w:val="0"/>
      <w:sz w:val="24"/>
      <w:szCs w:val="24"/>
      <w:lang w:eastAsia="pl-PL"/>
      <w14:ligatures w14:val="none"/>
    </w:rPr>
  </w:style>
  <w:style w:type="paragraph" w:styleId="Tekstpodstawowyzwciciem">
    <w:name w:val="Body Text First Indent"/>
    <w:basedOn w:val="Tekstpodstawowy"/>
    <w:link w:val="TekstpodstawowyzwciciemZnak"/>
    <w:rsid w:val="00C90398"/>
    <w:pPr>
      <w:spacing w:after="0"/>
      <w:ind w:firstLine="360"/>
    </w:pPr>
  </w:style>
  <w:style w:type="character" w:customStyle="1" w:styleId="TekstpodstawowyzwciciemZnak">
    <w:name w:val="Tekst podstawowy z wcięciem Znak"/>
    <w:basedOn w:val="TekstpodstawowyZnak"/>
    <w:link w:val="Tekstpodstawowyzwciciem"/>
    <w:rsid w:val="00C90398"/>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C90398"/>
    <w:rPr>
      <w:rFonts w:ascii="Tahoma" w:hAnsi="Tahoma" w:cs="Tahoma"/>
      <w:sz w:val="16"/>
      <w:szCs w:val="16"/>
    </w:rPr>
  </w:style>
  <w:style w:type="character" w:customStyle="1" w:styleId="TekstdymkaZnak">
    <w:name w:val="Tekst dymka Znak"/>
    <w:basedOn w:val="Domylnaczcionkaakapitu"/>
    <w:link w:val="Tekstdymka"/>
    <w:uiPriority w:val="99"/>
    <w:semiHidden/>
    <w:rsid w:val="00C90398"/>
    <w:rPr>
      <w:rFonts w:ascii="Tahoma" w:eastAsia="Times New Roman" w:hAnsi="Tahoma" w:cs="Tahoma"/>
      <w:kern w:val="0"/>
      <w:sz w:val="16"/>
      <w:szCs w:val="16"/>
      <w:lang w:eastAsia="pl-PL"/>
      <w14:ligatures w14:val="none"/>
    </w:rPr>
  </w:style>
  <w:style w:type="character" w:styleId="Odwoaniedokomentarza">
    <w:name w:val="annotation reference"/>
    <w:basedOn w:val="Domylnaczcionkaakapitu"/>
    <w:uiPriority w:val="99"/>
    <w:semiHidden/>
    <w:unhideWhenUsed/>
    <w:rsid w:val="00C90398"/>
    <w:rPr>
      <w:sz w:val="16"/>
      <w:szCs w:val="16"/>
    </w:rPr>
  </w:style>
  <w:style w:type="paragraph" w:styleId="Tekstkomentarza">
    <w:name w:val="annotation text"/>
    <w:basedOn w:val="Normalny"/>
    <w:link w:val="TekstkomentarzaZnak"/>
    <w:uiPriority w:val="99"/>
    <w:semiHidden/>
    <w:unhideWhenUsed/>
    <w:rsid w:val="00C90398"/>
    <w:rPr>
      <w:sz w:val="20"/>
      <w:szCs w:val="20"/>
    </w:rPr>
  </w:style>
  <w:style w:type="character" w:customStyle="1" w:styleId="TekstkomentarzaZnak">
    <w:name w:val="Tekst komentarza Znak"/>
    <w:basedOn w:val="Domylnaczcionkaakapitu"/>
    <w:link w:val="Tekstkomentarza"/>
    <w:uiPriority w:val="99"/>
    <w:semiHidden/>
    <w:rsid w:val="00C9039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C90398"/>
    <w:rPr>
      <w:b/>
      <w:bCs/>
    </w:rPr>
  </w:style>
  <w:style w:type="character" w:customStyle="1" w:styleId="TematkomentarzaZnak">
    <w:name w:val="Temat komentarza Znak"/>
    <w:basedOn w:val="TekstkomentarzaZnak"/>
    <w:link w:val="Tematkomentarza"/>
    <w:uiPriority w:val="99"/>
    <w:semiHidden/>
    <w:rsid w:val="00C90398"/>
    <w:rPr>
      <w:rFonts w:ascii="Times New Roman" w:eastAsia="Times New Roman" w:hAnsi="Times New Roman" w:cs="Times New Roman"/>
      <w:b/>
      <w:bCs/>
      <w:kern w:val="0"/>
      <w:sz w:val="20"/>
      <w:szCs w:val="20"/>
      <w:lang w:eastAsia="pl-PL"/>
      <w14:ligatures w14:val="none"/>
    </w:rPr>
  </w:style>
  <w:style w:type="character" w:customStyle="1" w:styleId="markedcontent">
    <w:name w:val="markedcontent"/>
    <w:basedOn w:val="Domylnaczcionkaakapitu"/>
    <w:rsid w:val="00C90398"/>
  </w:style>
  <w:style w:type="paragraph" w:styleId="Bezodstpw">
    <w:name w:val="No Spacing"/>
    <w:uiPriority w:val="1"/>
    <w:qFormat/>
    <w:rsid w:val="00C90398"/>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uiPriority w:val="99"/>
    <w:semiHidden/>
    <w:unhideWhenUsed/>
    <w:rsid w:val="009E072C"/>
    <w:pPr>
      <w:spacing w:after="120"/>
      <w:ind w:left="283"/>
    </w:pPr>
  </w:style>
  <w:style w:type="character" w:customStyle="1" w:styleId="TekstpodstawowywcityZnak">
    <w:name w:val="Tekst podstawowy wcięty Znak"/>
    <w:basedOn w:val="Domylnaczcionkaakapitu"/>
    <w:link w:val="Tekstpodstawowywcity"/>
    <w:uiPriority w:val="99"/>
    <w:semiHidden/>
    <w:rsid w:val="009E072C"/>
    <w:rPr>
      <w:rFonts w:ascii="Times New Roman" w:eastAsia="Times New Roman" w:hAnsi="Times New Roman" w:cs="Times New Roman"/>
      <w:kern w:val="0"/>
      <w:sz w:val="24"/>
      <w:szCs w:val="24"/>
      <w:lang w:eastAsia="pl-PL"/>
      <w14:ligatures w14:val="none"/>
    </w:rPr>
  </w:style>
  <w:style w:type="paragraph" w:styleId="Tekstpodstawowyzwciciem2">
    <w:name w:val="Body Text First Indent 2"/>
    <w:basedOn w:val="Tekstpodstawowywcity"/>
    <w:link w:val="Tekstpodstawowyzwciciem2Znak"/>
    <w:semiHidden/>
    <w:unhideWhenUsed/>
    <w:rsid w:val="009E072C"/>
    <w:pPr>
      <w:spacing w:after="0"/>
      <w:ind w:left="360" w:firstLine="360"/>
    </w:pPr>
  </w:style>
  <w:style w:type="character" w:customStyle="1" w:styleId="Tekstpodstawowyzwciciem2Znak">
    <w:name w:val="Tekst podstawowy z wcięciem 2 Znak"/>
    <w:basedOn w:val="TekstpodstawowywcityZnak"/>
    <w:link w:val="Tekstpodstawowyzwciciem2"/>
    <w:semiHidden/>
    <w:rsid w:val="009E072C"/>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5311">
      <w:bodyDiv w:val="1"/>
      <w:marLeft w:val="0"/>
      <w:marRight w:val="0"/>
      <w:marTop w:val="0"/>
      <w:marBottom w:val="0"/>
      <w:divBdr>
        <w:top w:val="none" w:sz="0" w:space="0" w:color="auto"/>
        <w:left w:val="none" w:sz="0" w:space="0" w:color="auto"/>
        <w:bottom w:val="none" w:sz="0" w:space="0" w:color="auto"/>
        <w:right w:val="none" w:sz="0" w:space="0" w:color="auto"/>
      </w:divBdr>
    </w:div>
    <w:div w:id="594287101">
      <w:bodyDiv w:val="1"/>
      <w:marLeft w:val="0"/>
      <w:marRight w:val="0"/>
      <w:marTop w:val="0"/>
      <w:marBottom w:val="0"/>
      <w:divBdr>
        <w:top w:val="none" w:sz="0" w:space="0" w:color="auto"/>
        <w:left w:val="none" w:sz="0" w:space="0" w:color="auto"/>
        <w:bottom w:val="none" w:sz="0" w:space="0" w:color="auto"/>
        <w:right w:val="none" w:sz="0" w:space="0" w:color="auto"/>
      </w:divBdr>
    </w:div>
    <w:div w:id="1296792499">
      <w:bodyDiv w:val="1"/>
      <w:marLeft w:val="0"/>
      <w:marRight w:val="0"/>
      <w:marTop w:val="0"/>
      <w:marBottom w:val="0"/>
      <w:divBdr>
        <w:top w:val="none" w:sz="0" w:space="0" w:color="auto"/>
        <w:left w:val="none" w:sz="0" w:space="0" w:color="auto"/>
        <w:bottom w:val="none" w:sz="0" w:space="0" w:color="auto"/>
        <w:right w:val="none" w:sz="0" w:space="0" w:color="auto"/>
      </w:divBdr>
    </w:div>
    <w:div w:id="1813406350">
      <w:bodyDiv w:val="1"/>
      <w:marLeft w:val="0"/>
      <w:marRight w:val="0"/>
      <w:marTop w:val="0"/>
      <w:marBottom w:val="0"/>
      <w:divBdr>
        <w:top w:val="none" w:sz="0" w:space="0" w:color="auto"/>
        <w:left w:val="none" w:sz="0" w:space="0" w:color="auto"/>
        <w:bottom w:val="none" w:sz="0" w:space="0" w:color="auto"/>
        <w:right w:val="none" w:sz="0" w:space="0" w:color="auto"/>
      </w:divBdr>
    </w:div>
    <w:div w:id="18139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16</Pages>
  <Words>5371</Words>
  <Characters>32229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Karczmarz</dc:creator>
  <cp:keywords/>
  <dc:description/>
  <cp:lastModifiedBy>Justyna Karczmarz</cp:lastModifiedBy>
  <cp:revision>25</cp:revision>
  <dcterms:created xsi:type="dcterms:W3CDTF">2023-09-06T06:40:00Z</dcterms:created>
  <dcterms:modified xsi:type="dcterms:W3CDTF">2024-01-10T09:32:00Z</dcterms:modified>
</cp:coreProperties>
</file>