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60CA" w14:textId="77777777" w:rsidR="005D30EE" w:rsidRDefault="00190723" w:rsidP="00475BF7">
      <w:pPr>
        <w:pStyle w:val="Bezodstpw"/>
        <w:jc w:val="both"/>
        <w:rPr>
          <w:bCs/>
          <w:iCs/>
          <w:szCs w:val="36"/>
          <w:lang w:val="en-US"/>
        </w:rPr>
      </w:pPr>
      <w:r>
        <w:t xml:space="preserve">Wytyczne w sprawie pobierania próbek wymazów sanitarnych w celu wykrycia </w:t>
      </w:r>
      <w:proofErr w:type="spellStart"/>
      <w:r w:rsidRPr="00190723">
        <w:rPr>
          <w:i/>
        </w:rPr>
        <w:t>Listeria</w:t>
      </w:r>
      <w:proofErr w:type="spellEnd"/>
      <w:r w:rsidRPr="00190723">
        <w:rPr>
          <w:i/>
        </w:rPr>
        <w:t xml:space="preserve"> </w:t>
      </w:r>
      <w:proofErr w:type="spellStart"/>
      <w:r w:rsidRPr="00190723">
        <w:rPr>
          <w:i/>
        </w:rPr>
        <w:t>monocytogenes</w:t>
      </w:r>
      <w:proofErr w:type="spellEnd"/>
      <w:r>
        <w:t xml:space="preserve"> w środowisku produkcyjnym na podstawie dokumentu pt. </w:t>
      </w:r>
      <w:r w:rsidRPr="00190723">
        <w:rPr>
          <w:lang w:val="en-US"/>
        </w:rPr>
        <w:t>„</w:t>
      </w:r>
      <w:r w:rsidRPr="00190723">
        <w:rPr>
          <w:bCs/>
          <w:szCs w:val="36"/>
          <w:lang w:val="en-US"/>
        </w:rPr>
        <w:t xml:space="preserve">Guidelines on sampling the food processing area and equipment for the detection of </w:t>
      </w:r>
      <w:r w:rsidRPr="00190723">
        <w:rPr>
          <w:bCs/>
          <w:i/>
          <w:iCs/>
          <w:szCs w:val="36"/>
          <w:lang w:val="en-US"/>
        </w:rPr>
        <w:t>Listeria monocytogenes</w:t>
      </w:r>
      <w:r>
        <w:rPr>
          <w:bCs/>
          <w:iCs/>
          <w:szCs w:val="36"/>
          <w:lang w:val="en-US"/>
        </w:rPr>
        <w:t xml:space="preserve">” </w:t>
      </w:r>
      <w:proofErr w:type="spellStart"/>
      <w:r>
        <w:rPr>
          <w:bCs/>
          <w:iCs/>
          <w:szCs w:val="36"/>
          <w:lang w:val="en-US"/>
        </w:rPr>
        <w:t>wersja</w:t>
      </w:r>
      <w:proofErr w:type="spellEnd"/>
      <w:r>
        <w:rPr>
          <w:bCs/>
          <w:iCs/>
          <w:szCs w:val="36"/>
          <w:lang w:val="en-US"/>
        </w:rPr>
        <w:t xml:space="preserve"> </w:t>
      </w:r>
      <w:r w:rsidRPr="00190723">
        <w:rPr>
          <w:bCs/>
          <w:iCs/>
          <w:szCs w:val="36"/>
          <w:lang w:val="en-US"/>
        </w:rPr>
        <w:t>3 – 20/08/2012</w:t>
      </w:r>
      <w:r>
        <w:rPr>
          <w:bCs/>
          <w:iCs/>
          <w:szCs w:val="36"/>
          <w:lang w:val="en-US"/>
        </w:rPr>
        <w:t>, ANSES</w:t>
      </w:r>
    </w:p>
    <w:p w14:paraId="43282164" w14:textId="77777777" w:rsidR="00190723" w:rsidRDefault="00190723" w:rsidP="00190723">
      <w:pPr>
        <w:pStyle w:val="Default"/>
        <w:jc w:val="center"/>
        <w:rPr>
          <w:b/>
          <w:bCs/>
          <w:iCs/>
          <w:sz w:val="28"/>
          <w:szCs w:val="36"/>
          <w:lang w:val="en-US"/>
        </w:rPr>
      </w:pPr>
    </w:p>
    <w:p w14:paraId="7595C47A" w14:textId="77777777" w:rsidR="00190723" w:rsidRDefault="00190723" w:rsidP="00190723">
      <w:pPr>
        <w:pStyle w:val="Default"/>
        <w:jc w:val="center"/>
        <w:rPr>
          <w:b/>
          <w:bCs/>
          <w:iCs/>
          <w:sz w:val="28"/>
          <w:szCs w:val="36"/>
          <w:lang w:val="en-US"/>
        </w:rPr>
      </w:pPr>
    </w:p>
    <w:p w14:paraId="0D9F83A5" w14:textId="77777777" w:rsidR="00A004D8" w:rsidRDefault="00A004D8" w:rsidP="00190723">
      <w:pPr>
        <w:pStyle w:val="Default"/>
        <w:jc w:val="center"/>
        <w:rPr>
          <w:b/>
          <w:bCs/>
          <w:iCs/>
          <w:sz w:val="28"/>
          <w:szCs w:val="36"/>
          <w:lang w:val="en-US"/>
        </w:rPr>
      </w:pPr>
    </w:p>
    <w:p w14:paraId="3B8A0637" w14:textId="77777777" w:rsidR="00190723" w:rsidRPr="009F1370" w:rsidRDefault="00190723" w:rsidP="009F1370">
      <w:pPr>
        <w:pStyle w:val="Default"/>
        <w:numPr>
          <w:ilvl w:val="0"/>
          <w:numId w:val="1"/>
        </w:numPr>
        <w:ind w:left="0" w:firstLine="0"/>
        <w:jc w:val="both"/>
        <w:rPr>
          <w:b/>
          <w:sz w:val="22"/>
          <w:lang w:val="en-US"/>
        </w:rPr>
      </w:pPr>
      <w:proofErr w:type="spellStart"/>
      <w:r w:rsidRPr="00190723">
        <w:rPr>
          <w:b/>
          <w:sz w:val="22"/>
          <w:lang w:val="en-US"/>
        </w:rPr>
        <w:t>Zakres</w:t>
      </w:r>
      <w:proofErr w:type="spellEnd"/>
    </w:p>
    <w:p w14:paraId="391D4B71" w14:textId="77777777" w:rsidR="00190723" w:rsidRPr="00190723" w:rsidRDefault="00190723" w:rsidP="009F1370">
      <w:pPr>
        <w:pStyle w:val="Default"/>
        <w:jc w:val="both"/>
        <w:rPr>
          <w:color w:val="000000" w:themeColor="text1"/>
          <w:sz w:val="22"/>
        </w:rPr>
      </w:pPr>
      <w:r w:rsidRPr="00190723">
        <w:rPr>
          <w:color w:val="000000" w:themeColor="text1"/>
          <w:sz w:val="22"/>
        </w:rPr>
        <w:t xml:space="preserve">Wytyczne te określają, gdzie, jak i kiedy należy pobierać próbki wymazów w celu wykrycia </w:t>
      </w:r>
      <w:r w:rsidRPr="00190723">
        <w:rPr>
          <w:i/>
          <w:color w:val="000000" w:themeColor="text1"/>
          <w:sz w:val="22"/>
        </w:rPr>
        <w:t xml:space="preserve">L. </w:t>
      </w:r>
      <w:proofErr w:type="spellStart"/>
      <w:r w:rsidRPr="00190723">
        <w:rPr>
          <w:i/>
          <w:color w:val="000000" w:themeColor="text1"/>
          <w:sz w:val="22"/>
        </w:rPr>
        <w:t>monocytogenes</w:t>
      </w:r>
      <w:proofErr w:type="spellEnd"/>
      <w:r w:rsidRPr="00190723">
        <w:rPr>
          <w:color w:val="000000" w:themeColor="text1"/>
          <w:sz w:val="22"/>
        </w:rPr>
        <w:t xml:space="preserve"> na powierzchniach, na których przetwarzana jest żywność gotowa do spożycia i urządzeniach, z którymi ma ona kontakt.</w:t>
      </w:r>
    </w:p>
    <w:p w14:paraId="33E3F143" w14:textId="77777777" w:rsidR="00190723" w:rsidRPr="00190723" w:rsidRDefault="00190723" w:rsidP="00190723">
      <w:pPr>
        <w:pStyle w:val="Default"/>
        <w:ind w:left="360"/>
        <w:jc w:val="both"/>
        <w:rPr>
          <w:color w:val="000000" w:themeColor="text1"/>
          <w:sz w:val="22"/>
        </w:rPr>
      </w:pPr>
    </w:p>
    <w:p w14:paraId="4AAB6E8E" w14:textId="77777777" w:rsidR="00190723" w:rsidRPr="00190723" w:rsidRDefault="00190723" w:rsidP="009F1370">
      <w:pPr>
        <w:pStyle w:val="Default"/>
        <w:jc w:val="both"/>
        <w:rPr>
          <w:color w:val="000000" w:themeColor="text1"/>
          <w:sz w:val="22"/>
        </w:rPr>
      </w:pPr>
      <w:r w:rsidRPr="00190723">
        <w:rPr>
          <w:color w:val="000000" w:themeColor="text1"/>
          <w:sz w:val="22"/>
        </w:rPr>
        <w:t>UWAGA 1: Powierzchnie obszaru przetwarzania i sprzętu nie są jedy</w:t>
      </w:r>
      <w:r w:rsidR="0098260B">
        <w:rPr>
          <w:color w:val="000000" w:themeColor="text1"/>
          <w:sz w:val="22"/>
        </w:rPr>
        <w:t>nymi miejscami do monitorowania. Pobierani</w:t>
      </w:r>
      <w:r w:rsidR="00CB14A7" w:rsidRPr="003D4ADB">
        <w:rPr>
          <w:color w:val="000000" w:themeColor="text1"/>
          <w:sz w:val="22"/>
        </w:rPr>
        <w:t>e</w:t>
      </w:r>
      <w:r w:rsidR="0098260B" w:rsidRPr="003D4ADB">
        <w:rPr>
          <w:color w:val="000000" w:themeColor="text1"/>
          <w:sz w:val="22"/>
        </w:rPr>
        <w:t xml:space="preserve"> </w:t>
      </w:r>
      <w:r w:rsidR="0098260B">
        <w:rPr>
          <w:color w:val="000000" w:themeColor="text1"/>
          <w:sz w:val="22"/>
        </w:rPr>
        <w:t>próbek powin</w:t>
      </w:r>
      <w:r w:rsidRPr="00190723">
        <w:rPr>
          <w:color w:val="000000" w:themeColor="text1"/>
          <w:sz w:val="22"/>
        </w:rPr>
        <w:t>n</w:t>
      </w:r>
      <w:r w:rsidR="0098260B">
        <w:rPr>
          <w:color w:val="000000" w:themeColor="text1"/>
          <w:sz w:val="22"/>
        </w:rPr>
        <w:t>o</w:t>
      </w:r>
      <w:r w:rsidRPr="00190723">
        <w:rPr>
          <w:color w:val="000000" w:themeColor="text1"/>
          <w:sz w:val="22"/>
        </w:rPr>
        <w:t xml:space="preserve"> również obejmować środki ułatwiające przetwarzanie (takie jak sprężone powietrze, lód, roztwór solanki, woda, spustowa woda),</w:t>
      </w:r>
      <w:r w:rsidR="00CB14A7">
        <w:rPr>
          <w:color w:val="000000" w:themeColor="text1"/>
          <w:sz w:val="22"/>
        </w:rPr>
        <w:t xml:space="preserve"> </w:t>
      </w:r>
      <w:r w:rsidR="00CB14A7" w:rsidRPr="003D4ADB">
        <w:rPr>
          <w:color w:val="000000" w:themeColor="text1"/>
          <w:sz w:val="22"/>
        </w:rPr>
        <w:t>dla</w:t>
      </w:r>
      <w:r w:rsidRPr="003D4ADB">
        <w:rPr>
          <w:color w:val="000000" w:themeColor="text1"/>
          <w:sz w:val="22"/>
        </w:rPr>
        <w:t xml:space="preserve"> </w:t>
      </w:r>
      <w:r w:rsidRPr="00190723">
        <w:rPr>
          <w:color w:val="000000" w:themeColor="text1"/>
          <w:sz w:val="22"/>
        </w:rPr>
        <w:t>których techniki pobierania próbek nie są o</w:t>
      </w:r>
      <w:r w:rsidR="005E638C">
        <w:rPr>
          <w:color w:val="000000" w:themeColor="text1"/>
          <w:sz w:val="22"/>
        </w:rPr>
        <w:t xml:space="preserve">mówione </w:t>
      </w:r>
      <w:r w:rsidRPr="00190723">
        <w:rPr>
          <w:color w:val="000000" w:themeColor="text1"/>
          <w:sz w:val="22"/>
        </w:rPr>
        <w:t>w tym dokumencie.</w:t>
      </w:r>
    </w:p>
    <w:p w14:paraId="2DBD27E9" w14:textId="77777777" w:rsidR="00190723" w:rsidRPr="00190723" w:rsidRDefault="00190723" w:rsidP="009F1370">
      <w:pPr>
        <w:pStyle w:val="Default"/>
        <w:jc w:val="both"/>
        <w:rPr>
          <w:color w:val="000000" w:themeColor="text1"/>
          <w:sz w:val="22"/>
        </w:rPr>
      </w:pPr>
      <w:r w:rsidRPr="00190723">
        <w:rPr>
          <w:color w:val="000000" w:themeColor="text1"/>
          <w:sz w:val="22"/>
        </w:rPr>
        <w:t xml:space="preserve">UWAGA 2: W tym miejscu nie będą podawane żadne wskazówki dotyczące częstotliwości pobierania próbek, liczby punktów poboru próbek, </w:t>
      </w:r>
      <w:r w:rsidR="00CB14A7">
        <w:rPr>
          <w:color w:val="000000" w:themeColor="text1"/>
          <w:sz w:val="22"/>
        </w:rPr>
        <w:t>znaczeni</w:t>
      </w:r>
      <w:r w:rsidR="00CB14A7" w:rsidRPr="003D4ADB">
        <w:rPr>
          <w:color w:val="000000" w:themeColor="text1"/>
          <w:sz w:val="22"/>
        </w:rPr>
        <w:t>e</w:t>
      </w:r>
      <w:r w:rsidRPr="00190723">
        <w:rPr>
          <w:color w:val="000000" w:themeColor="text1"/>
          <w:sz w:val="22"/>
        </w:rPr>
        <w:t xml:space="preserve"> łączenia próbek lub konieczności rotowania punktów pobierania próbek, ponieważ należy je wybierać indywidualnie dla każdego przypadku, na podstawie analizy ryzyka.</w:t>
      </w:r>
    </w:p>
    <w:p w14:paraId="4CB0E5D1" w14:textId="77777777" w:rsidR="00190723" w:rsidRDefault="00190723" w:rsidP="009F1370">
      <w:pPr>
        <w:pStyle w:val="Default"/>
        <w:jc w:val="both"/>
        <w:rPr>
          <w:color w:val="000000" w:themeColor="text1"/>
          <w:sz w:val="22"/>
        </w:rPr>
      </w:pPr>
      <w:r w:rsidRPr="00190723">
        <w:rPr>
          <w:color w:val="000000" w:themeColor="text1"/>
          <w:sz w:val="22"/>
        </w:rPr>
        <w:t xml:space="preserve">UWAGA 3: Te wytyczne nie zostały </w:t>
      </w:r>
      <w:r w:rsidR="005E638C">
        <w:rPr>
          <w:color w:val="000000" w:themeColor="text1"/>
          <w:sz w:val="22"/>
        </w:rPr>
        <w:t>przygotowane</w:t>
      </w:r>
      <w:r w:rsidRPr="00190723">
        <w:rPr>
          <w:color w:val="000000" w:themeColor="text1"/>
          <w:sz w:val="22"/>
        </w:rPr>
        <w:t xml:space="preserve"> w celu oceny skuteczności czyszczenia i dezynfekcji.</w:t>
      </w:r>
    </w:p>
    <w:p w14:paraId="396D6A67" w14:textId="77777777" w:rsidR="005E638C" w:rsidRDefault="005E638C" w:rsidP="009F1370">
      <w:pPr>
        <w:pStyle w:val="Default"/>
        <w:jc w:val="both"/>
        <w:rPr>
          <w:color w:val="000000" w:themeColor="text1"/>
          <w:sz w:val="22"/>
        </w:rPr>
      </w:pPr>
    </w:p>
    <w:p w14:paraId="3597C557" w14:textId="77777777" w:rsidR="005E638C" w:rsidRPr="009F1370" w:rsidRDefault="005E638C" w:rsidP="009F1370">
      <w:pPr>
        <w:pStyle w:val="Default"/>
        <w:numPr>
          <w:ilvl w:val="0"/>
          <w:numId w:val="1"/>
        </w:numPr>
        <w:ind w:left="0" w:firstLine="0"/>
        <w:jc w:val="both"/>
        <w:rPr>
          <w:b/>
          <w:sz w:val="22"/>
        </w:rPr>
      </w:pPr>
      <w:r w:rsidRPr="009F1370">
        <w:rPr>
          <w:b/>
          <w:sz w:val="22"/>
        </w:rPr>
        <w:t>Odniesienia normatywne</w:t>
      </w:r>
    </w:p>
    <w:p w14:paraId="1A7A5EDE" w14:textId="77777777" w:rsidR="005E638C" w:rsidRDefault="005E638C" w:rsidP="009F1370">
      <w:pPr>
        <w:pStyle w:val="Default"/>
        <w:jc w:val="both"/>
        <w:rPr>
          <w:sz w:val="22"/>
        </w:rPr>
      </w:pPr>
      <w:r>
        <w:rPr>
          <w:sz w:val="22"/>
        </w:rPr>
        <w:t>Następujące dokumenty odniesienia powinny być brane pod uwagę w celu stosowania tych wytycznych:</w:t>
      </w:r>
    </w:p>
    <w:p w14:paraId="63963054" w14:textId="77777777" w:rsidR="005E638C" w:rsidRPr="005E638C" w:rsidRDefault="005E638C" w:rsidP="009F1370">
      <w:pPr>
        <w:pStyle w:val="Default"/>
        <w:jc w:val="both"/>
        <w:rPr>
          <w:sz w:val="22"/>
        </w:rPr>
      </w:pPr>
      <w:r w:rsidRPr="005E638C">
        <w:rPr>
          <w:rStyle w:val="Uwydatnienie"/>
          <w:sz w:val="22"/>
        </w:rPr>
        <w:t>ISO 6887-1</w:t>
      </w:r>
      <w:r w:rsidRPr="005E638C">
        <w:rPr>
          <w:rStyle w:val="st"/>
          <w:sz w:val="22"/>
        </w:rPr>
        <w:t xml:space="preserve"> - Mikrobiologia łańcucha żywnościowego -- Przygotowanie próbek do badań, zawiesiny wyjściowej i rozcieńczeń dziesięciokrotnych do badań mikrobiologicznych -- Część 1: Ogólne zasady przygotowania zawiesiny</w:t>
      </w:r>
      <w:r w:rsidRPr="005E638C">
        <w:rPr>
          <w:sz w:val="22"/>
        </w:rPr>
        <w:t xml:space="preserve"> wyjściowej i rozcieńczeń dziesięciokrotnych</w:t>
      </w:r>
    </w:p>
    <w:p w14:paraId="13C903E0" w14:textId="77777777" w:rsidR="005E638C" w:rsidRDefault="005E638C" w:rsidP="009F1370">
      <w:pPr>
        <w:pStyle w:val="Default"/>
        <w:jc w:val="both"/>
      </w:pPr>
      <w:r w:rsidRPr="005E638C">
        <w:rPr>
          <w:i/>
          <w:sz w:val="22"/>
          <w:szCs w:val="22"/>
        </w:rPr>
        <w:t>ISO 7218</w:t>
      </w:r>
      <w:r>
        <w:rPr>
          <w:sz w:val="22"/>
          <w:szCs w:val="22"/>
        </w:rPr>
        <w:t xml:space="preserve"> - </w:t>
      </w:r>
      <w:r>
        <w:t>Mikrobiologia żywności i pasz -- Ogólne zasady badań mikrobiologicznych</w:t>
      </w:r>
    </w:p>
    <w:p w14:paraId="21A6576F" w14:textId="77777777" w:rsidR="005E638C" w:rsidRDefault="005E638C" w:rsidP="009F1370">
      <w:pPr>
        <w:pStyle w:val="Default"/>
        <w:jc w:val="both"/>
        <w:rPr>
          <w:sz w:val="22"/>
        </w:rPr>
      </w:pPr>
      <w:r w:rsidRPr="005E638C">
        <w:rPr>
          <w:i/>
          <w:sz w:val="22"/>
          <w:szCs w:val="22"/>
        </w:rPr>
        <w:t>ISO 11290-1</w:t>
      </w:r>
      <w:r>
        <w:rPr>
          <w:sz w:val="22"/>
          <w:szCs w:val="22"/>
        </w:rPr>
        <w:t xml:space="preserve"> - </w:t>
      </w:r>
      <w:r w:rsidR="009F1370" w:rsidRPr="009F1370">
        <w:rPr>
          <w:sz w:val="22"/>
        </w:rPr>
        <w:t xml:space="preserve">Mikrobiologia żywności i pasz -- Horyzontalna metoda wykrywania obecności i oznaczania liczby </w:t>
      </w:r>
      <w:proofErr w:type="spellStart"/>
      <w:r w:rsidR="009F1370" w:rsidRPr="001A6E2C">
        <w:rPr>
          <w:i/>
          <w:sz w:val="22"/>
        </w:rPr>
        <w:t>Listeria</w:t>
      </w:r>
      <w:proofErr w:type="spellEnd"/>
      <w:r w:rsidR="009F1370" w:rsidRPr="001A6E2C">
        <w:rPr>
          <w:i/>
          <w:sz w:val="22"/>
        </w:rPr>
        <w:t xml:space="preserve"> </w:t>
      </w:r>
      <w:proofErr w:type="spellStart"/>
      <w:r w:rsidR="009F1370" w:rsidRPr="001A6E2C">
        <w:rPr>
          <w:i/>
          <w:sz w:val="22"/>
        </w:rPr>
        <w:t>monocytogenes</w:t>
      </w:r>
      <w:proofErr w:type="spellEnd"/>
      <w:r w:rsidR="009F1370" w:rsidRPr="009F1370">
        <w:rPr>
          <w:sz w:val="22"/>
        </w:rPr>
        <w:t xml:space="preserve"> -- Metoda wykrywania obecności</w:t>
      </w:r>
    </w:p>
    <w:p w14:paraId="0574F380" w14:textId="77777777" w:rsidR="009F1370" w:rsidRDefault="009F1370" w:rsidP="009F1370">
      <w:pPr>
        <w:pStyle w:val="Default"/>
        <w:jc w:val="both"/>
        <w:rPr>
          <w:sz w:val="22"/>
          <w:szCs w:val="22"/>
        </w:rPr>
      </w:pPr>
      <w:r w:rsidRPr="009F1370">
        <w:rPr>
          <w:i/>
          <w:sz w:val="22"/>
          <w:szCs w:val="22"/>
        </w:rPr>
        <w:t>ISO/TS 11133</w:t>
      </w:r>
      <w:r>
        <w:rPr>
          <w:sz w:val="22"/>
          <w:szCs w:val="22"/>
        </w:rPr>
        <w:t xml:space="preserve"> - </w:t>
      </w:r>
      <w:r w:rsidRPr="009F1370">
        <w:rPr>
          <w:sz w:val="22"/>
          <w:szCs w:val="22"/>
        </w:rPr>
        <w:t>Mikrobiologia żywności i pasz -- Wytyczne przygotowania i sporządzania pożywek</w:t>
      </w:r>
    </w:p>
    <w:p w14:paraId="72AE357C" w14:textId="77777777" w:rsidR="009F1370" w:rsidRDefault="009F1370" w:rsidP="009F1370">
      <w:pPr>
        <w:pStyle w:val="Default"/>
        <w:jc w:val="both"/>
        <w:rPr>
          <w:sz w:val="22"/>
          <w:szCs w:val="22"/>
        </w:rPr>
      </w:pPr>
    </w:p>
    <w:p w14:paraId="2046DAE6" w14:textId="77777777" w:rsidR="009F1370" w:rsidRPr="009F1370" w:rsidRDefault="009F1370" w:rsidP="009F1370">
      <w:pPr>
        <w:pStyle w:val="Default"/>
        <w:numPr>
          <w:ilvl w:val="0"/>
          <w:numId w:val="1"/>
        </w:numPr>
        <w:ind w:left="0" w:firstLine="0"/>
        <w:jc w:val="both"/>
        <w:rPr>
          <w:sz w:val="22"/>
        </w:rPr>
      </w:pPr>
      <w:r>
        <w:rPr>
          <w:b/>
          <w:sz w:val="22"/>
        </w:rPr>
        <w:t>Wybór miejsc poboru próbek</w:t>
      </w:r>
    </w:p>
    <w:p w14:paraId="59485EFA" w14:textId="77777777" w:rsidR="009F1370" w:rsidRDefault="009F1370" w:rsidP="009F1370">
      <w:pPr>
        <w:autoSpaceDE w:val="0"/>
        <w:autoSpaceDN w:val="0"/>
        <w:adjustRightInd w:val="0"/>
        <w:spacing w:after="0" w:line="240" w:lineRule="auto"/>
        <w:jc w:val="both"/>
        <w:rPr>
          <w:color w:val="000000" w:themeColor="text1"/>
        </w:rPr>
      </w:pPr>
      <w:r w:rsidRPr="001A6E2C">
        <w:rPr>
          <w:i/>
          <w:color w:val="000000" w:themeColor="text1"/>
        </w:rPr>
        <w:t xml:space="preserve">L. </w:t>
      </w:r>
      <w:proofErr w:type="spellStart"/>
      <w:r w:rsidRPr="001A6E2C">
        <w:rPr>
          <w:i/>
          <w:color w:val="000000" w:themeColor="text1"/>
        </w:rPr>
        <w:t>monocytogenes</w:t>
      </w:r>
      <w:proofErr w:type="spellEnd"/>
      <w:r w:rsidRPr="009F1370">
        <w:rPr>
          <w:color w:val="000000" w:themeColor="text1"/>
        </w:rPr>
        <w:t xml:space="preserve"> można znaleźć na wizualnie czystych powierzchniach, ale najczęściej jest wykrywana w wilgotnych i zabrudzonych miejscach, w których bakteri</w:t>
      </w:r>
      <w:r>
        <w:rPr>
          <w:color w:val="000000" w:themeColor="text1"/>
        </w:rPr>
        <w:t>a może rosnąć i przetrwać</w:t>
      </w:r>
      <w:r w:rsidRPr="009F1370">
        <w:rPr>
          <w:color w:val="000000" w:themeColor="text1"/>
        </w:rPr>
        <w:t xml:space="preserve">. Trudno dostępne miejsca, takie jak dziury lub szczeliny w materiałach włóknistych, porowatych, rdzewiejących i pustych, źle czyszczone urządzenia stanowią potencjalne miejsca, w których należy pobrać próbki. Pobranie próbek z powierzchni trudnodostępnych, w których mogą zbierać się resztki żywności, może być trudne. Próbki z tych miejsc należy pobrać po demontażu sprzętu przez zespół obsługi technicznej. Nie zaleca się pobierania próbki przez płukanie takich obszarów, ponieważ płukanie nie ma takiej samej skuteczności jak wymaz </w:t>
      </w:r>
      <w:r w:rsidR="001F784E" w:rsidRPr="003D4ADB">
        <w:rPr>
          <w:color w:val="000000" w:themeColor="text1"/>
        </w:rPr>
        <w:t>w uwolnieniu</w:t>
      </w:r>
      <w:r w:rsidRPr="003D4ADB">
        <w:rPr>
          <w:color w:val="000000" w:themeColor="text1"/>
        </w:rPr>
        <w:t xml:space="preserve"> </w:t>
      </w:r>
      <w:r w:rsidR="001F784E">
        <w:rPr>
          <w:color w:val="000000" w:themeColor="text1"/>
        </w:rPr>
        <w:t xml:space="preserve">drobnoustrojów </w:t>
      </w:r>
      <w:r w:rsidR="001F784E" w:rsidRPr="003D4ADB">
        <w:rPr>
          <w:color w:val="000000" w:themeColor="text1"/>
        </w:rPr>
        <w:t>z</w:t>
      </w:r>
      <w:r>
        <w:rPr>
          <w:color w:val="000000" w:themeColor="text1"/>
        </w:rPr>
        <w:t xml:space="preserve"> powierzchni. </w:t>
      </w:r>
    </w:p>
    <w:p w14:paraId="48708A37" w14:textId="77777777" w:rsidR="009F1370" w:rsidRPr="009F1370" w:rsidRDefault="009F1370" w:rsidP="009F1370">
      <w:pPr>
        <w:autoSpaceDE w:val="0"/>
        <w:autoSpaceDN w:val="0"/>
        <w:adjustRightInd w:val="0"/>
        <w:spacing w:after="0" w:line="240" w:lineRule="auto"/>
        <w:jc w:val="both"/>
        <w:rPr>
          <w:color w:val="000000" w:themeColor="text1"/>
        </w:rPr>
      </w:pPr>
      <w:r w:rsidRPr="009F1370">
        <w:rPr>
          <w:color w:val="000000" w:themeColor="text1"/>
        </w:rPr>
        <w:t xml:space="preserve">Pobieranie próbek powinno odbywać się często w obszarach, w których produkt spożywczy jest narażony na zanieczyszczenie, ale </w:t>
      </w:r>
      <w:r>
        <w:rPr>
          <w:color w:val="000000" w:themeColor="text1"/>
        </w:rPr>
        <w:t>istotne</w:t>
      </w:r>
      <w:r w:rsidRPr="009F1370">
        <w:rPr>
          <w:color w:val="000000" w:themeColor="text1"/>
        </w:rPr>
        <w:t xml:space="preserve"> może być także pobranie próbki, z mniejszą częstotliwością, w miejscach, gdzie produkt nie jest narażony (miejsca przechowywania).</w:t>
      </w:r>
    </w:p>
    <w:p w14:paraId="20734151" w14:textId="77777777" w:rsidR="009F1370" w:rsidRPr="009F1370" w:rsidRDefault="009F1370" w:rsidP="009F1370">
      <w:pPr>
        <w:spacing w:after="0" w:line="240" w:lineRule="auto"/>
        <w:jc w:val="both"/>
        <w:rPr>
          <w:color w:val="000000" w:themeColor="text1"/>
        </w:rPr>
      </w:pPr>
      <w:r w:rsidRPr="009F1370">
        <w:rPr>
          <w:color w:val="000000" w:themeColor="text1"/>
        </w:rPr>
        <w:t>Wybór miejsca pobierania próbek musi być zgodny z historycznymi danymi powiązanymi z konkretnym zakładem produkcyjnym i po szczegółowej analizie procesu. Otwarta lista miejsc, z których może być pobrana próbka wymazu jest podana poniżej:</w:t>
      </w:r>
    </w:p>
    <w:p w14:paraId="009D7208" w14:textId="77777777" w:rsidR="009F1370" w:rsidRPr="009F1370" w:rsidRDefault="009F1370" w:rsidP="009F1370">
      <w:pPr>
        <w:spacing w:after="0" w:line="240" w:lineRule="auto"/>
        <w:jc w:val="both"/>
        <w:rPr>
          <w:color w:val="000000" w:themeColor="text1"/>
        </w:rPr>
      </w:pPr>
      <w:r w:rsidRPr="009F1370">
        <w:rPr>
          <w:color w:val="000000" w:themeColor="text1"/>
        </w:rPr>
        <w:t xml:space="preserve">- Powierzchnie nie mające kontaktu z żywnością: </w:t>
      </w:r>
    </w:p>
    <w:p w14:paraId="332C59D3" w14:textId="77777777" w:rsidR="009F1370" w:rsidRPr="009F1370" w:rsidRDefault="009F1370" w:rsidP="009F1370">
      <w:pPr>
        <w:spacing w:after="0" w:line="240" w:lineRule="auto"/>
        <w:jc w:val="both"/>
        <w:rPr>
          <w:color w:val="000000" w:themeColor="text1"/>
        </w:rPr>
      </w:pPr>
      <w:r w:rsidRPr="009F1370">
        <w:rPr>
          <w:color w:val="000000" w:themeColor="text1"/>
        </w:rPr>
        <w:lastRenderedPageBreak/>
        <w:t>odpływy, podłogi, zbiorniki wodne na podłodze, narzędzia czyszczące, obszary do mycia, wagi podłogowe, węże, rolki do przenośników, przenośniki, szkielety konstrukcyjne, wewnętrzne panele wyposażenia, miseczki ociekowe kondensatu, wózki widłowe, wózki ręczne, wózki, koła wózkowe, kosze na śmieci, zamrażarki, maszyny do robienia lodu, żebra chłodzące w kondensatorach, fartuchy, ściany, sufity, zimne miejsca, gdzie woda skrapla się jako mokra izolacja w ścianach lub wokół rur i urządzeń chłodzących, gumowe uszczelki wokół drzwi, szczególnie w chłodnicach, zawartość odkurzaczy, klamki i krany.</w:t>
      </w:r>
    </w:p>
    <w:p w14:paraId="477EC0FB" w14:textId="77777777" w:rsidR="009F1370" w:rsidRPr="009F1370" w:rsidRDefault="009F1370" w:rsidP="009F1370">
      <w:pPr>
        <w:spacing w:after="0" w:line="240" w:lineRule="auto"/>
        <w:jc w:val="both"/>
        <w:rPr>
          <w:color w:val="000000" w:themeColor="text1"/>
        </w:rPr>
      </w:pPr>
      <w:r w:rsidRPr="009F1370">
        <w:rPr>
          <w:color w:val="000000" w:themeColor="text1"/>
        </w:rPr>
        <w:t xml:space="preserve">- Powierzchnie mające kontakt z żywnością: </w:t>
      </w:r>
    </w:p>
    <w:p w14:paraId="64BE2D8B" w14:textId="77777777" w:rsidR="009F1370" w:rsidRDefault="009F1370" w:rsidP="009F1370">
      <w:pPr>
        <w:pStyle w:val="Default"/>
        <w:jc w:val="both"/>
        <w:rPr>
          <w:rFonts w:asciiTheme="minorHAnsi" w:hAnsiTheme="minorHAnsi" w:cstheme="minorBidi"/>
          <w:color w:val="000000" w:themeColor="text1"/>
          <w:sz w:val="22"/>
          <w:szCs w:val="22"/>
        </w:rPr>
      </w:pPr>
      <w:r w:rsidRPr="009F1370">
        <w:rPr>
          <w:rFonts w:asciiTheme="minorHAnsi" w:hAnsiTheme="minorHAnsi" w:cstheme="minorBidi"/>
          <w:color w:val="000000" w:themeColor="text1"/>
          <w:sz w:val="22"/>
          <w:szCs w:val="22"/>
        </w:rPr>
        <w:t xml:space="preserve">przenośniki taśmowe, krajalnice, deski do krojenia, </w:t>
      </w:r>
      <w:proofErr w:type="spellStart"/>
      <w:r w:rsidRPr="009F1370">
        <w:rPr>
          <w:rFonts w:asciiTheme="minorHAnsi" w:hAnsiTheme="minorHAnsi" w:cstheme="minorBidi"/>
          <w:color w:val="000000" w:themeColor="text1"/>
          <w:sz w:val="22"/>
          <w:szCs w:val="22"/>
        </w:rPr>
        <w:t>kostkownice</w:t>
      </w:r>
      <w:proofErr w:type="spellEnd"/>
      <w:r w:rsidRPr="009F1370">
        <w:rPr>
          <w:rFonts w:asciiTheme="minorHAnsi" w:hAnsiTheme="minorHAnsi" w:cstheme="minorBidi"/>
          <w:color w:val="000000" w:themeColor="text1"/>
          <w:sz w:val="22"/>
          <w:szCs w:val="22"/>
        </w:rPr>
        <w:t xml:space="preserve">, leje, rozdrabniacze, </w:t>
      </w:r>
      <w:proofErr w:type="spellStart"/>
      <w:r w:rsidRPr="009F1370">
        <w:rPr>
          <w:rFonts w:asciiTheme="minorHAnsi" w:hAnsiTheme="minorHAnsi" w:cstheme="minorBidi"/>
          <w:color w:val="000000" w:themeColor="text1"/>
          <w:sz w:val="22"/>
          <w:szCs w:val="22"/>
        </w:rPr>
        <w:t>blendery</w:t>
      </w:r>
      <w:proofErr w:type="spellEnd"/>
      <w:r w:rsidRPr="009F1370">
        <w:rPr>
          <w:rFonts w:asciiTheme="minorHAnsi" w:hAnsiTheme="minorHAnsi" w:cstheme="minorBidi"/>
          <w:color w:val="000000" w:themeColor="text1"/>
          <w:sz w:val="22"/>
          <w:szCs w:val="22"/>
        </w:rPr>
        <w:t>, obieraczki, kolektory, urządzenia do napełniania i pakowania, pojemniki, inne przybory, rękawiczki wielorazowe.</w:t>
      </w:r>
    </w:p>
    <w:p w14:paraId="6EE6133F" w14:textId="77777777" w:rsidR="009527E4" w:rsidRDefault="009527E4" w:rsidP="009F1370">
      <w:pPr>
        <w:pStyle w:val="Default"/>
        <w:jc w:val="both"/>
        <w:rPr>
          <w:rFonts w:asciiTheme="minorHAnsi" w:hAnsiTheme="minorHAnsi" w:cstheme="minorBidi"/>
          <w:color w:val="000000" w:themeColor="text1"/>
          <w:sz w:val="22"/>
          <w:szCs w:val="22"/>
        </w:rPr>
      </w:pPr>
    </w:p>
    <w:p w14:paraId="0B7D4B5B" w14:textId="77777777" w:rsidR="009527E4" w:rsidRDefault="009527E4" w:rsidP="009527E4">
      <w:pPr>
        <w:pStyle w:val="Default"/>
        <w:numPr>
          <w:ilvl w:val="0"/>
          <w:numId w:val="1"/>
        </w:numPr>
        <w:ind w:left="0" w:firstLine="0"/>
        <w:jc w:val="both"/>
        <w:rPr>
          <w:rFonts w:asciiTheme="minorHAnsi" w:hAnsiTheme="minorHAnsi" w:cstheme="minorBidi"/>
          <w:b/>
          <w:color w:val="000000" w:themeColor="text1"/>
          <w:sz w:val="22"/>
          <w:szCs w:val="22"/>
        </w:rPr>
      </w:pPr>
      <w:r w:rsidRPr="009527E4">
        <w:rPr>
          <w:rFonts w:asciiTheme="minorHAnsi" w:hAnsiTheme="minorHAnsi" w:cstheme="minorBidi"/>
          <w:b/>
          <w:color w:val="000000" w:themeColor="text1"/>
          <w:sz w:val="22"/>
          <w:szCs w:val="22"/>
        </w:rPr>
        <w:t>Kiedy należy pobierać próbkę</w:t>
      </w:r>
    </w:p>
    <w:p w14:paraId="60C09216" w14:textId="77777777" w:rsidR="009527E4" w:rsidRPr="009527E4" w:rsidRDefault="009527E4" w:rsidP="009527E4">
      <w:pPr>
        <w:autoSpaceDE w:val="0"/>
        <w:autoSpaceDN w:val="0"/>
        <w:adjustRightInd w:val="0"/>
        <w:spacing w:after="0" w:line="240" w:lineRule="auto"/>
        <w:jc w:val="both"/>
        <w:rPr>
          <w:color w:val="000000" w:themeColor="text1"/>
        </w:rPr>
      </w:pPr>
      <w:r w:rsidRPr="009527E4">
        <w:rPr>
          <w:color w:val="000000" w:themeColor="text1"/>
        </w:rPr>
        <w:t xml:space="preserve">Wykrywanie </w:t>
      </w:r>
      <w:r w:rsidRPr="001A6E2C">
        <w:rPr>
          <w:i/>
          <w:color w:val="000000" w:themeColor="text1"/>
        </w:rPr>
        <w:t xml:space="preserve">L. </w:t>
      </w:r>
      <w:proofErr w:type="spellStart"/>
      <w:r w:rsidRPr="001A6E2C">
        <w:rPr>
          <w:i/>
          <w:color w:val="000000" w:themeColor="text1"/>
        </w:rPr>
        <w:t>monocytogenes</w:t>
      </w:r>
      <w:proofErr w:type="spellEnd"/>
      <w:r w:rsidRPr="009527E4">
        <w:rPr>
          <w:color w:val="000000" w:themeColor="text1"/>
        </w:rPr>
        <w:t xml:space="preserve"> może być trudne, jeśli próbki są pobierane natychmiast lub wkrótce po czyszczeniu i dezynfekcji. Komórki, z powodu </w:t>
      </w:r>
      <w:r w:rsidR="001F784E" w:rsidRPr="003D4ADB">
        <w:rPr>
          <w:color w:val="000000" w:themeColor="text1"/>
        </w:rPr>
        <w:t xml:space="preserve">uszkodzeń </w:t>
      </w:r>
      <w:r w:rsidRPr="009527E4">
        <w:rPr>
          <w:color w:val="000000" w:themeColor="text1"/>
        </w:rPr>
        <w:t xml:space="preserve">spowodowanych przez środki chemiczne używane do czyszczenia i dezynfekcji, mogą nadal być żywe, ale mogą być </w:t>
      </w:r>
      <w:r w:rsidR="00D466E5" w:rsidRPr="003D4ADB">
        <w:rPr>
          <w:color w:val="000000" w:themeColor="text1"/>
        </w:rPr>
        <w:t>nie</w:t>
      </w:r>
      <w:r w:rsidRPr="003D4ADB">
        <w:rPr>
          <w:color w:val="000000" w:themeColor="text1"/>
        </w:rPr>
        <w:t>hodowane</w:t>
      </w:r>
      <w:r w:rsidRPr="009527E4">
        <w:rPr>
          <w:color w:val="000000" w:themeColor="text1"/>
        </w:rPr>
        <w:t>, a zatem nie są łatwo wykrywalne. Ponadto komórki pozostające w miejscach trudnodostępnych pomimo czyszczenia i dezynfekcji również mogą pozostać niewykryte, podczas gdy w trakcie produkcji możliwość ich pobrania razem z próbką po rozmontowaniu maszyn jest większa, ponieważ sprzęt wibruje i / lub ponieważ żywność i płyny wchodzą w kontakt z miejscami trudnodostępnymi.</w:t>
      </w:r>
    </w:p>
    <w:p w14:paraId="56B14064" w14:textId="77777777" w:rsidR="009527E4" w:rsidRPr="003D4ADB" w:rsidRDefault="009527E4" w:rsidP="009527E4">
      <w:pPr>
        <w:spacing w:after="0" w:line="240" w:lineRule="auto"/>
        <w:jc w:val="both"/>
        <w:rPr>
          <w:color w:val="000000" w:themeColor="text1"/>
        </w:rPr>
      </w:pPr>
      <w:r w:rsidRPr="009527E4">
        <w:rPr>
          <w:color w:val="000000" w:themeColor="text1"/>
        </w:rPr>
        <w:t xml:space="preserve">Dlatego, aby zwiększyć prawdopodobieństwo wykrycia </w:t>
      </w:r>
      <w:r w:rsidR="001F784E" w:rsidRPr="003D4ADB">
        <w:rPr>
          <w:color w:val="000000" w:themeColor="text1"/>
        </w:rPr>
        <w:t>drobnoustrojów</w:t>
      </w:r>
      <w:r w:rsidR="001604A8" w:rsidRPr="003D4ADB">
        <w:rPr>
          <w:color w:val="000000" w:themeColor="text1"/>
        </w:rPr>
        <w:t xml:space="preserve"> mogących przetrwać w środowisku przetwarzania żywności</w:t>
      </w:r>
      <w:r w:rsidRPr="009527E4">
        <w:rPr>
          <w:color w:val="000000" w:themeColor="text1"/>
        </w:rPr>
        <w:t xml:space="preserve">, pobieranie próbek powinno być wykonywane podczas </w:t>
      </w:r>
      <w:r w:rsidR="001604A8" w:rsidRPr="003D4ADB">
        <w:rPr>
          <w:color w:val="000000" w:themeColor="text1"/>
        </w:rPr>
        <w:t>procesu technologicznego</w:t>
      </w:r>
      <w:r w:rsidRPr="009527E4">
        <w:rPr>
          <w:color w:val="000000" w:themeColor="text1"/>
        </w:rPr>
        <w:t xml:space="preserve">, po co najmniej dwóch godzinach produkcji lub na koniec produkcji danej partii, tj. przed czyszczeniem i dezynfekcją. </w:t>
      </w:r>
      <w:r>
        <w:rPr>
          <w:color w:val="000000" w:themeColor="text1"/>
        </w:rPr>
        <w:t>Na</w:t>
      </w:r>
      <w:r w:rsidRPr="009527E4">
        <w:rPr>
          <w:color w:val="000000" w:themeColor="text1"/>
        </w:rPr>
        <w:t xml:space="preserve"> liniach technologicznych, </w:t>
      </w:r>
      <w:r>
        <w:rPr>
          <w:color w:val="000000" w:themeColor="text1"/>
        </w:rPr>
        <w:t>na</w:t>
      </w:r>
      <w:r w:rsidRPr="009527E4">
        <w:rPr>
          <w:color w:val="000000" w:themeColor="text1"/>
        </w:rPr>
        <w:t xml:space="preserve"> których produkty spożywcze są wytwarzane z surowców, które nie są poddawane obróbce, która obniża poziom mikroorganizmów (na przykład sery surowe), </w:t>
      </w:r>
      <w:r w:rsidRPr="001A6E2C">
        <w:rPr>
          <w:i/>
          <w:color w:val="000000" w:themeColor="text1"/>
        </w:rPr>
        <w:t xml:space="preserve">L. </w:t>
      </w:r>
      <w:proofErr w:type="spellStart"/>
      <w:r w:rsidRPr="001A6E2C">
        <w:rPr>
          <w:i/>
          <w:color w:val="000000" w:themeColor="text1"/>
        </w:rPr>
        <w:t>monocytogenes</w:t>
      </w:r>
      <w:proofErr w:type="spellEnd"/>
      <w:r w:rsidRPr="009527E4">
        <w:rPr>
          <w:color w:val="000000" w:themeColor="text1"/>
        </w:rPr>
        <w:t xml:space="preserve"> w próbce wymazu pobranej podczas cyklu przetwarzania może pochodzić z tych surowców, a także z miejsc, w których komórki </w:t>
      </w:r>
      <w:r w:rsidRPr="001A6E2C">
        <w:rPr>
          <w:i/>
          <w:color w:val="000000" w:themeColor="text1"/>
        </w:rPr>
        <w:t xml:space="preserve">L. </w:t>
      </w:r>
      <w:proofErr w:type="spellStart"/>
      <w:r w:rsidRPr="001A6E2C">
        <w:rPr>
          <w:i/>
          <w:color w:val="000000" w:themeColor="text1"/>
        </w:rPr>
        <w:t>monocytogenes</w:t>
      </w:r>
      <w:proofErr w:type="spellEnd"/>
      <w:r w:rsidRPr="009527E4">
        <w:rPr>
          <w:color w:val="000000" w:themeColor="text1"/>
        </w:rPr>
        <w:t xml:space="preserve"> mogą przetrwać w środowisku przetwarzania żywności. W zakładach, w których przetwarzane są pasteryzowane produkty lub surowce </w:t>
      </w:r>
      <w:r w:rsidR="00D466E5" w:rsidRPr="003D4ADB">
        <w:rPr>
          <w:color w:val="000000" w:themeColor="text1"/>
        </w:rPr>
        <w:t xml:space="preserve">rzadko </w:t>
      </w:r>
      <w:r w:rsidRPr="009527E4">
        <w:rPr>
          <w:color w:val="000000" w:themeColor="text1"/>
        </w:rPr>
        <w:t xml:space="preserve">zanieczyszczone (np. </w:t>
      </w:r>
      <w:r w:rsidR="00D466E5">
        <w:rPr>
          <w:color w:val="000000" w:themeColor="text1"/>
        </w:rPr>
        <w:t>s</w:t>
      </w:r>
      <w:r w:rsidRPr="009527E4">
        <w:rPr>
          <w:color w:val="000000" w:themeColor="text1"/>
        </w:rPr>
        <w:t xml:space="preserve">er pasteryzowany), </w:t>
      </w:r>
      <w:r w:rsidRPr="001A6E2C">
        <w:rPr>
          <w:i/>
          <w:color w:val="000000" w:themeColor="text1"/>
        </w:rPr>
        <w:t xml:space="preserve">L. </w:t>
      </w:r>
      <w:proofErr w:type="spellStart"/>
      <w:r w:rsidRPr="001A6E2C">
        <w:rPr>
          <w:i/>
          <w:color w:val="000000" w:themeColor="text1"/>
        </w:rPr>
        <w:t>monocytogenes</w:t>
      </w:r>
      <w:proofErr w:type="spellEnd"/>
      <w:r w:rsidRPr="009527E4">
        <w:rPr>
          <w:color w:val="000000" w:themeColor="text1"/>
        </w:rPr>
        <w:t xml:space="preserve"> w próbce wymazu należy badać jako </w:t>
      </w:r>
      <w:proofErr w:type="spellStart"/>
      <w:r w:rsidRPr="001A6E2C">
        <w:rPr>
          <w:i/>
          <w:color w:val="000000" w:themeColor="text1"/>
        </w:rPr>
        <w:t>Listeria</w:t>
      </w:r>
      <w:proofErr w:type="spellEnd"/>
      <w:r w:rsidR="00D466E5">
        <w:rPr>
          <w:color w:val="000000" w:themeColor="text1"/>
        </w:rPr>
        <w:t xml:space="preserve"> </w:t>
      </w:r>
      <w:r w:rsidR="00D466E5" w:rsidRPr="003D4ADB">
        <w:rPr>
          <w:color w:val="000000" w:themeColor="text1"/>
        </w:rPr>
        <w:t>pochodząca ze środowiska przetwarzania żywności.</w:t>
      </w:r>
    </w:p>
    <w:p w14:paraId="69001378" w14:textId="77777777" w:rsidR="009527E4" w:rsidRDefault="009527E4" w:rsidP="009527E4">
      <w:pPr>
        <w:autoSpaceDE w:val="0"/>
        <w:autoSpaceDN w:val="0"/>
        <w:adjustRightInd w:val="0"/>
        <w:spacing w:after="0" w:line="240" w:lineRule="auto"/>
        <w:jc w:val="both"/>
        <w:rPr>
          <w:color w:val="000000" w:themeColor="text1"/>
        </w:rPr>
      </w:pPr>
      <w:r w:rsidRPr="00050A97">
        <w:rPr>
          <w:color w:val="000000" w:themeColor="text1"/>
        </w:rPr>
        <w:t xml:space="preserve">Gdy środki spożywcze wchodzące do pomieszczeń przetwórstwa są surowe lub zostały poddane obróbce w celu zmniejszenia ich zanieczyszczenia mikrobiologicznego (przez pasteryzację, </w:t>
      </w:r>
      <w:proofErr w:type="spellStart"/>
      <w:r w:rsidRPr="00050A97">
        <w:rPr>
          <w:color w:val="000000" w:themeColor="text1"/>
        </w:rPr>
        <w:t>mikrofiltrację</w:t>
      </w:r>
      <w:proofErr w:type="spellEnd"/>
      <w:r w:rsidRPr="00050A97">
        <w:rPr>
          <w:color w:val="000000" w:themeColor="text1"/>
        </w:rPr>
        <w:t xml:space="preserve"> itp.), podmioty prowadzące przedsiębiorstwa spożywcze powinny, w ramach swojego planu HACCP, ustalić dopuszczalną liczbę próbek dodatnich, która może być ustalona inaczej dla wykrywania </w:t>
      </w:r>
      <w:r w:rsidRPr="001A6E2C">
        <w:rPr>
          <w:i/>
          <w:color w:val="000000" w:themeColor="text1"/>
        </w:rPr>
        <w:t xml:space="preserve">L. </w:t>
      </w:r>
      <w:proofErr w:type="spellStart"/>
      <w:r w:rsidRPr="001A6E2C">
        <w:rPr>
          <w:i/>
          <w:color w:val="000000" w:themeColor="text1"/>
        </w:rPr>
        <w:t>monocytogenes</w:t>
      </w:r>
      <w:proofErr w:type="spellEnd"/>
      <w:r w:rsidRPr="00050A97">
        <w:rPr>
          <w:color w:val="000000" w:themeColor="text1"/>
        </w:rPr>
        <w:t xml:space="preserve"> na powierzchniach stykających się z żywnością i</w:t>
      </w:r>
      <w:r w:rsidR="00A364A8">
        <w:rPr>
          <w:color w:val="000000" w:themeColor="text1"/>
        </w:rPr>
        <w:t xml:space="preserve"> </w:t>
      </w:r>
      <w:r w:rsidR="00475391">
        <w:rPr>
          <w:color w:val="000000" w:themeColor="text1"/>
        </w:rPr>
        <w:t>na</w:t>
      </w:r>
      <w:r w:rsidRPr="00050A97">
        <w:rPr>
          <w:color w:val="000000" w:themeColor="text1"/>
        </w:rPr>
        <w:t xml:space="preserve"> powierzchniach, które nie mają kontaktu z żywnością. Należy wdrożyć działania korygujące, zgodnie z planem HACCP podmiotu, gdy zostanie przekroczona ustalona liczba próbek dodatnich. Oczywiście, gdy przetwarzana jest surowa żywność, pobieranie próbek po czyszczeniu i dezynfekcji lub na początku produkcji może być wykonywane oprócz pobierania próbek podczas obróbki. Może to jednak prowadzić do fałszywego poczucia bezpieczeństwa. Natomiast wykrycie </w:t>
      </w:r>
      <w:r w:rsidRPr="001A6E2C">
        <w:rPr>
          <w:i/>
          <w:color w:val="000000" w:themeColor="text1"/>
        </w:rPr>
        <w:t xml:space="preserve">L. </w:t>
      </w:r>
      <w:proofErr w:type="spellStart"/>
      <w:r w:rsidRPr="001A6E2C">
        <w:rPr>
          <w:i/>
          <w:color w:val="000000" w:themeColor="text1"/>
        </w:rPr>
        <w:t>monocytogenes</w:t>
      </w:r>
      <w:proofErr w:type="spellEnd"/>
      <w:r w:rsidRPr="00050A97">
        <w:rPr>
          <w:color w:val="000000" w:themeColor="text1"/>
        </w:rPr>
        <w:t xml:space="preserve"> na powierzchniach mających kontakt z żywnością po czyszczeniu i dezynfekcji wskazuje na poważne niepowodzenia w procedu</w:t>
      </w:r>
      <w:r>
        <w:rPr>
          <w:color w:val="000000" w:themeColor="text1"/>
        </w:rPr>
        <w:t>rach czyszczenia i dezynfekcji.</w:t>
      </w:r>
    </w:p>
    <w:p w14:paraId="42F7C5F3" w14:textId="77777777" w:rsidR="009527E4" w:rsidRPr="00050A97" w:rsidRDefault="009527E4" w:rsidP="009527E4">
      <w:pPr>
        <w:autoSpaceDE w:val="0"/>
        <w:autoSpaceDN w:val="0"/>
        <w:adjustRightInd w:val="0"/>
        <w:spacing w:after="0" w:line="240" w:lineRule="auto"/>
        <w:jc w:val="both"/>
        <w:rPr>
          <w:rFonts w:ascii="Calibri" w:hAnsi="Calibri" w:cs="Calibri"/>
          <w:color w:val="000000" w:themeColor="text1"/>
          <w:sz w:val="24"/>
          <w:szCs w:val="24"/>
        </w:rPr>
      </w:pPr>
      <w:r w:rsidRPr="00050A97">
        <w:rPr>
          <w:color w:val="000000" w:themeColor="text1"/>
        </w:rPr>
        <w:t xml:space="preserve">Jeśli nie </w:t>
      </w:r>
      <w:r w:rsidR="00475391">
        <w:rPr>
          <w:color w:val="000000" w:themeColor="text1"/>
        </w:rPr>
        <w:t>pobiera</w:t>
      </w:r>
      <w:r w:rsidRPr="00050A97">
        <w:rPr>
          <w:color w:val="000000" w:themeColor="text1"/>
        </w:rPr>
        <w:t xml:space="preserve"> się </w:t>
      </w:r>
      <w:r w:rsidR="00475391" w:rsidRPr="00050A97">
        <w:rPr>
          <w:color w:val="000000" w:themeColor="text1"/>
        </w:rPr>
        <w:t xml:space="preserve">prób </w:t>
      </w:r>
      <w:r w:rsidR="00475391">
        <w:rPr>
          <w:color w:val="000000" w:themeColor="text1"/>
        </w:rPr>
        <w:t>codziennie</w:t>
      </w:r>
      <w:r w:rsidRPr="00050A97">
        <w:rPr>
          <w:color w:val="000000" w:themeColor="text1"/>
        </w:rPr>
        <w:t xml:space="preserve">, nie należy ich </w:t>
      </w:r>
      <w:r w:rsidR="00475391">
        <w:rPr>
          <w:color w:val="000000" w:themeColor="text1"/>
        </w:rPr>
        <w:t>pobierać</w:t>
      </w:r>
      <w:r w:rsidRPr="00050A97">
        <w:rPr>
          <w:color w:val="000000" w:themeColor="text1"/>
        </w:rPr>
        <w:t xml:space="preserve"> zawsze w tym samym dniu tygodnia. Właściwe może być pobranie próbek po serwisowaniu sprzętu, napraw sprzętu, konstrukcji i zwiększonej produkcji, ponieważ mogą one zwiększać ryzyko skażenia </w:t>
      </w:r>
      <w:r w:rsidRPr="001A6E2C">
        <w:rPr>
          <w:i/>
          <w:color w:val="000000" w:themeColor="text1"/>
        </w:rPr>
        <w:t xml:space="preserve">L. </w:t>
      </w:r>
      <w:proofErr w:type="spellStart"/>
      <w:r w:rsidRPr="001A6E2C">
        <w:rPr>
          <w:i/>
          <w:color w:val="000000" w:themeColor="text1"/>
        </w:rPr>
        <w:t>monocytogenes</w:t>
      </w:r>
      <w:proofErr w:type="spellEnd"/>
      <w:r w:rsidRPr="00050A97">
        <w:rPr>
          <w:color w:val="000000" w:themeColor="text1"/>
        </w:rPr>
        <w:t>.</w:t>
      </w:r>
    </w:p>
    <w:p w14:paraId="3671CF93" w14:textId="77777777" w:rsidR="009527E4" w:rsidRDefault="009527E4" w:rsidP="009527E4">
      <w:pPr>
        <w:pStyle w:val="Default"/>
        <w:jc w:val="both"/>
        <w:rPr>
          <w:rFonts w:asciiTheme="minorHAnsi" w:hAnsiTheme="minorHAnsi" w:cstheme="minorBidi"/>
          <w:b/>
          <w:color w:val="000000" w:themeColor="text1"/>
          <w:sz w:val="22"/>
          <w:szCs w:val="22"/>
        </w:rPr>
      </w:pPr>
    </w:p>
    <w:p w14:paraId="4734FB24" w14:textId="77777777" w:rsidR="009A04E7" w:rsidRDefault="009A04E7" w:rsidP="009A04E7">
      <w:pPr>
        <w:pStyle w:val="Default"/>
        <w:numPr>
          <w:ilvl w:val="0"/>
          <w:numId w:val="1"/>
        </w:numPr>
        <w:ind w:left="0" w:firstLine="0"/>
        <w:jc w:val="both"/>
        <w:rPr>
          <w:rFonts w:asciiTheme="minorHAnsi" w:hAnsiTheme="minorHAnsi" w:cstheme="minorBidi"/>
          <w:b/>
          <w:color w:val="000000" w:themeColor="text1"/>
          <w:sz w:val="22"/>
          <w:szCs w:val="22"/>
        </w:rPr>
      </w:pPr>
      <w:r>
        <w:rPr>
          <w:rFonts w:asciiTheme="minorHAnsi" w:hAnsiTheme="minorHAnsi" w:cstheme="minorBidi"/>
          <w:b/>
          <w:color w:val="000000" w:themeColor="text1"/>
          <w:sz w:val="22"/>
          <w:szCs w:val="22"/>
        </w:rPr>
        <w:t>Rozcieńczalniki do zwilżania przyborów do pobierania wymazów</w:t>
      </w:r>
    </w:p>
    <w:p w14:paraId="56936B85" w14:textId="77777777" w:rsidR="009A04E7" w:rsidRDefault="009A04E7" w:rsidP="009A04E7">
      <w:pPr>
        <w:pStyle w:val="Default"/>
        <w:jc w:val="both"/>
        <w:rPr>
          <w:rFonts w:asciiTheme="minorHAnsi" w:hAnsiTheme="minorHAnsi" w:cstheme="minorBidi"/>
          <w:b/>
          <w:color w:val="000000" w:themeColor="text1"/>
          <w:sz w:val="22"/>
          <w:szCs w:val="22"/>
        </w:rPr>
      </w:pPr>
    </w:p>
    <w:p w14:paraId="7090A62E" w14:textId="77777777" w:rsidR="009A04E7" w:rsidRDefault="004B5C5B" w:rsidP="009A04E7">
      <w:pPr>
        <w:pStyle w:val="Default"/>
        <w:numPr>
          <w:ilvl w:val="1"/>
          <w:numId w:val="1"/>
        </w:numPr>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R</w:t>
      </w:r>
      <w:r w:rsidR="009A04E7" w:rsidRPr="009A04E7">
        <w:rPr>
          <w:rFonts w:asciiTheme="minorHAnsi" w:hAnsiTheme="minorHAnsi" w:cstheme="minorBidi"/>
          <w:color w:val="000000" w:themeColor="text1"/>
          <w:sz w:val="22"/>
          <w:szCs w:val="22"/>
        </w:rPr>
        <w:t>ozcieńczalniki</w:t>
      </w:r>
      <w:r w:rsidRPr="004B5C5B">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p</w:t>
      </w:r>
      <w:r w:rsidRPr="009A04E7">
        <w:rPr>
          <w:rFonts w:asciiTheme="minorHAnsi" w:hAnsiTheme="minorHAnsi" w:cstheme="minorBidi"/>
          <w:color w:val="000000" w:themeColor="text1"/>
          <w:sz w:val="22"/>
          <w:szCs w:val="22"/>
        </w:rPr>
        <w:t>roste</w:t>
      </w:r>
    </w:p>
    <w:p w14:paraId="78441CE2" w14:textId="77777777" w:rsidR="009A04E7" w:rsidRDefault="009A04E7" w:rsidP="005F3415">
      <w:pPr>
        <w:pStyle w:val="Default"/>
        <w:jc w:val="both"/>
        <w:rPr>
          <w:color w:val="000000" w:themeColor="text1"/>
          <w:sz w:val="22"/>
        </w:rPr>
      </w:pPr>
      <w:r w:rsidRPr="009A04E7">
        <w:rPr>
          <w:color w:val="000000" w:themeColor="text1"/>
          <w:sz w:val="22"/>
        </w:rPr>
        <w:lastRenderedPageBreak/>
        <w:t xml:space="preserve">W miejscach łatwo dostępnych, z których pobierane są próbki podczas lub po zakończeniu przetwarzania, do </w:t>
      </w:r>
      <w:r>
        <w:rPr>
          <w:color w:val="000000" w:themeColor="text1"/>
          <w:sz w:val="22"/>
        </w:rPr>
        <w:t>z</w:t>
      </w:r>
      <w:r w:rsidRPr="009A04E7">
        <w:rPr>
          <w:color w:val="000000" w:themeColor="text1"/>
          <w:sz w:val="22"/>
        </w:rPr>
        <w:t xml:space="preserve">wilżania </w:t>
      </w:r>
      <w:r>
        <w:rPr>
          <w:color w:val="000000" w:themeColor="text1"/>
          <w:sz w:val="22"/>
        </w:rPr>
        <w:t xml:space="preserve">patyczków wymazowych i innych </w:t>
      </w:r>
      <w:r w:rsidRPr="009A04E7">
        <w:rPr>
          <w:color w:val="000000" w:themeColor="text1"/>
          <w:sz w:val="22"/>
        </w:rPr>
        <w:t>przyborów do pobierania próbek należy używać zwykłych rozcieńczalników nie zawierających neutralizatora.</w:t>
      </w:r>
    </w:p>
    <w:p w14:paraId="6814F2C6" w14:textId="77777777" w:rsidR="005F3415" w:rsidRDefault="009A04E7" w:rsidP="00CC1C64">
      <w:pPr>
        <w:autoSpaceDE w:val="0"/>
        <w:autoSpaceDN w:val="0"/>
        <w:adjustRightInd w:val="0"/>
        <w:spacing w:after="0" w:line="240" w:lineRule="auto"/>
        <w:jc w:val="both"/>
        <w:rPr>
          <w:color w:val="000000" w:themeColor="text1"/>
        </w:rPr>
      </w:pPr>
      <w:r w:rsidRPr="00050A97">
        <w:rPr>
          <w:color w:val="000000" w:themeColor="text1"/>
        </w:rPr>
        <w:t xml:space="preserve">Zalecane rozcieńczalniki to: roztwór peptonowy o stężeniu 1 g/l, sól fizjologiczna peptonu </w:t>
      </w:r>
      <w:r w:rsidRPr="003D4ADB">
        <w:rPr>
          <w:rFonts w:ascii="Calibri" w:hAnsi="Calibri" w:cs="Calibri"/>
          <w:color w:val="000000" w:themeColor="text1"/>
          <w:szCs w:val="24"/>
        </w:rPr>
        <w:t xml:space="preserve">lub </w:t>
      </w:r>
      <w:r w:rsidR="00CC1C64" w:rsidRPr="003D4ADB">
        <w:rPr>
          <w:rFonts w:ascii="Calibri" w:hAnsi="Calibri" w:cs="Calibri"/>
          <w:color w:val="000000" w:themeColor="text1"/>
          <w:szCs w:val="24"/>
        </w:rPr>
        <w:t xml:space="preserve">¼ </w:t>
      </w:r>
      <w:r w:rsidR="00783E3A" w:rsidRPr="003D4ADB">
        <w:rPr>
          <w:rFonts w:ascii="Calibri" w:hAnsi="Calibri" w:cs="Calibri"/>
          <w:color w:val="000000" w:themeColor="text1"/>
          <w:szCs w:val="24"/>
        </w:rPr>
        <w:t>stężony</w:t>
      </w:r>
      <w:r w:rsidR="00CC1C64" w:rsidRPr="003D4ADB">
        <w:rPr>
          <w:rFonts w:ascii="Calibri" w:hAnsi="Calibri" w:cs="Calibri"/>
          <w:color w:val="000000" w:themeColor="text1"/>
          <w:szCs w:val="24"/>
        </w:rPr>
        <w:t xml:space="preserve"> lub 0,25 stężony </w:t>
      </w:r>
      <w:r w:rsidRPr="003D4ADB">
        <w:rPr>
          <w:rFonts w:ascii="Calibri" w:hAnsi="Calibri" w:cs="Calibri"/>
          <w:color w:val="000000" w:themeColor="text1"/>
          <w:szCs w:val="24"/>
        </w:rPr>
        <w:t xml:space="preserve">roztwór </w:t>
      </w:r>
      <w:proofErr w:type="spellStart"/>
      <w:r w:rsidRPr="003D4ADB">
        <w:rPr>
          <w:rFonts w:ascii="Calibri" w:hAnsi="Calibri" w:cs="Calibri"/>
          <w:color w:val="000000" w:themeColor="text1"/>
          <w:szCs w:val="24"/>
        </w:rPr>
        <w:t>Ringera</w:t>
      </w:r>
      <w:proofErr w:type="spellEnd"/>
      <w:r w:rsidRPr="003D4ADB">
        <w:rPr>
          <w:rFonts w:ascii="Calibri" w:hAnsi="Calibri" w:cs="Calibri"/>
          <w:color w:val="000000" w:themeColor="text1"/>
          <w:szCs w:val="24"/>
        </w:rPr>
        <w:t xml:space="preserve"> </w:t>
      </w:r>
      <w:r w:rsidR="00CC1C64" w:rsidRPr="003D4ADB">
        <w:rPr>
          <w:rFonts w:ascii="Calibri" w:hAnsi="Calibri" w:cs="Calibri"/>
          <w:color w:val="000000" w:themeColor="text1"/>
          <w:szCs w:val="24"/>
        </w:rPr>
        <w:t>(</w:t>
      </w:r>
      <w:proofErr w:type="spellStart"/>
      <w:r w:rsidR="00CC1C64" w:rsidRPr="003D4ADB">
        <w:rPr>
          <w:rFonts w:ascii="Calibri" w:hAnsi="Calibri" w:cs="Calibri"/>
          <w:color w:val="000000" w:themeColor="text1"/>
          <w:szCs w:val="24"/>
        </w:rPr>
        <w:t>quarter-strength</w:t>
      </w:r>
      <w:proofErr w:type="spellEnd"/>
      <w:r w:rsidR="00CC1C64" w:rsidRPr="003D4ADB">
        <w:rPr>
          <w:rFonts w:ascii="Calibri" w:hAnsi="Calibri" w:cs="Calibri"/>
          <w:color w:val="000000" w:themeColor="text1"/>
          <w:szCs w:val="24"/>
        </w:rPr>
        <w:t xml:space="preserve"> </w:t>
      </w:r>
      <w:proofErr w:type="spellStart"/>
      <w:r w:rsidR="00CC1C64" w:rsidRPr="003D4ADB">
        <w:rPr>
          <w:rFonts w:ascii="Calibri" w:hAnsi="Calibri" w:cs="Calibri"/>
          <w:color w:val="000000" w:themeColor="text1"/>
          <w:szCs w:val="24"/>
        </w:rPr>
        <w:t>Ringer's</w:t>
      </w:r>
      <w:proofErr w:type="spellEnd"/>
      <w:r w:rsidR="00CC1C64" w:rsidRPr="003D4ADB">
        <w:rPr>
          <w:rFonts w:ascii="Calibri" w:hAnsi="Calibri" w:cs="Calibri"/>
          <w:color w:val="000000" w:themeColor="text1"/>
          <w:szCs w:val="24"/>
        </w:rPr>
        <w:t xml:space="preserve"> </w:t>
      </w:r>
      <w:proofErr w:type="spellStart"/>
      <w:r w:rsidR="00CC1C64" w:rsidRPr="003D4ADB">
        <w:rPr>
          <w:rFonts w:ascii="Calibri" w:hAnsi="Calibri" w:cs="Calibri"/>
          <w:color w:val="000000" w:themeColor="text1"/>
          <w:szCs w:val="24"/>
        </w:rPr>
        <w:t>solution</w:t>
      </w:r>
      <w:proofErr w:type="spellEnd"/>
      <w:r w:rsidR="00CC1C64" w:rsidRPr="003D4ADB">
        <w:rPr>
          <w:rFonts w:ascii="Calibri" w:hAnsi="Calibri" w:cs="Calibri"/>
          <w:color w:val="000000" w:themeColor="text1"/>
          <w:szCs w:val="24"/>
        </w:rPr>
        <w:t>)</w:t>
      </w:r>
      <w:r w:rsidRPr="003D4ADB">
        <w:rPr>
          <w:rFonts w:ascii="Calibri" w:hAnsi="Calibri" w:cs="Calibri"/>
          <w:color w:val="000000" w:themeColor="text1"/>
          <w:szCs w:val="24"/>
        </w:rPr>
        <w:t xml:space="preserve">, </w:t>
      </w:r>
      <w:r w:rsidR="005F3415" w:rsidRPr="003D4ADB">
        <w:rPr>
          <w:rFonts w:ascii="Calibri" w:hAnsi="Calibri" w:cs="Calibri"/>
          <w:color w:val="000000" w:themeColor="text1"/>
          <w:szCs w:val="24"/>
        </w:rPr>
        <w:t>dostępny</w:t>
      </w:r>
      <w:r w:rsidRPr="003D4ADB">
        <w:rPr>
          <w:rFonts w:ascii="Calibri" w:hAnsi="Calibri" w:cs="Calibri"/>
          <w:color w:val="000000" w:themeColor="text1"/>
          <w:szCs w:val="24"/>
        </w:rPr>
        <w:t xml:space="preserve"> w probó</w:t>
      </w:r>
      <w:r w:rsidRPr="00050A97">
        <w:rPr>
          <w:color w:val="000000" w:themeColor="text1"/>
        </w:rPr>
        <w:t xml:space="preserve">wkach lub butelkach i sterylizowany przez </w:t>
      </w:r>
      <w:r w:rsidR="005F3415">
        <w:rPr>
          <w:color w:val="000000" w:themeColor="text1"/>
        </w:rPr>
        <w:t>15 minut w temperaturze 121 °C.</w:t>
      </w:r>
    </w:p>
    <w:p w14:paraId="06B28CB2" w14:textId="77777777" w:rsidR="009A04E7" w:rsidRPr="00050A97" w:rsidRDefault="009A04E7" w:rsidP="005F3415">
      <w:pPr>
        <w:autoSpaceDE w:val="0"/>
        <w:autoSpaceDN w:val="0"/>
        <w:adjustRightInd w:val="0"/>
        <w:spacing w:after="0" w:line="240" w:lineRule="auto"/>
        <w:jc w:val="both"/>
        <w:rPr>
          <w:rFonts w:ascii="Verdana" w:hAnsi="Verdana" w:cs="Verdana"/>
          <w:color w:val="000000" w:themeColor="text1"/>
          <w:sz w:val="19"/>
          <w:szCs w:val="19"/>
        </w:rPr>
      </w:pPr>
      <w:r w:rsidRPr="00050A97">
        <w:rPr>
          <w:color w:val="000000" w:themeColor="text1"/>
        </w:rPr>
        <w:t>Nie zaleca się stosowania rozcieńczalników buforowanych fosforanem do komórek bakteryjnych obciążonych nie</w:t>
      </w:r>
      <w:r w:rsidR="005F3415">
        <w:rPr>
          <w:color w:val="000000" w:themeColor="text1"/>
        </w:rPr>
        <w:t>sprzyjając</w:t>
      </w:r>
      <w:r w:rsidRPr="00050A97">
        <w:rPr>
          <w:color w:val="000000" w:themeColor="text1"/>
        </w:rPr>
        <w:t xml:space="preserve">ymi warunkami w pomieszczeniach przetwórstwa żywności (sól, kwas, produkty do czyszczenia i dezynfekcji itp.), </w:t>
      </w:r>
      <w:r w:rsidR="005F3415">
        <w:rPr>
          <w:color w:val="000000" w:themeColor="text1"/>
        </w:rPr>
        <w:t>p</w:t>
      </w:r>
      <w:r w:rsidRPr="00050A97">
        <w:rPr>
          <w:color w:val="000000" w:themeColor="text1"/>
        </w:rPr>
        <w:t>onieważ mogą one mieć szkodliwy w</w:t>
      </w:r>
      <w:r w:rsidR="005F3415">
        <w:rPr>
          <w:color w:val="000000" w:themeColor="text1"/>
        </w:rPr>
        <w:t>pływ na ich zdolność do hodowli.</w:t>
      </w:r>
    </w:p>
    <w:p w14:paraId="0ACC3852" w14:textId="77777777" w:rsidR="009A04E7" w:rsidRDefault="0070093F" w:rsidP="0070093F">
      <w:pPr>
        <w:pStyle w:val="Default"/>
        <w:jc w:val="both"/>
        <w:rPr>
          <w:color w:val="000000" w:themeColor="text1"/>
          <w:sz w:val="22"/>
        </w:rPr>
      </w:pPr>
      <w:r w:rsidRPr="0070093F">
        <w:rPr>
          <w:color w:val="000000" w:themeColor="text1"/>
          <w:sz w:val="22"/>
        </w:rPr>
        <w:t xml:space="preserve">Podobnie zaleca się, aby nie stosować neutralizującego rozcieńczalnika, gdy nie oczekuje się resztkowego środka dezynfekującego. Neutralizator użyty do zatrzymania pozostałości środka dezynfekującego może mieć nieznacznie szkodliwy wpływ na komórki bakteryjne i jest prawdopodobne, że taki wpływ </w:t>
      </w:r>
      <w:r w:rsidR="004B5C5B">
        <w:rPr>
          <w:color w:val="000000" w:themeColor="text1"/>
          <w:sz w:val="22"/>
        </w:rPr>
        <w:t>byłby większy, gdy komórki są poddane warunkom stresowym</w:t>
      </w:r>
      <w:r w:rsidRPr="0070093F">
        <w:rPr>
          <w:color w:val="000000" w:themeColor="text1"/>
          <w:sz w:val="22"/>
        </w:rPr>
        <w:t xml:space="preserve">. </w:t>
      </w:r>
      <w:r>
        <w:rPr>
          <w:color w:val="000000" w:themeColor="text1"/>
          <w:sz w:val="22"/>
        </w:rPr>
        <w:t>W</w:t>
      </w:r>
      <w:r w:rsidRPr="0070093F">
        <w:rPr>
          <w:color w:val="000000" w:themeColor="text1"/>
          <w:sz w:val="22"/>
        </w:rPr>
        <w:t xml:space="preserve">ykazano, że neutralizatory zmniejszają izolację </w:t>
      </w:r>
      <w:r w:rsidRPr="0070093F">
        <w:rPr>
          <w:i/>
          <w:color w:val="000000" w:themeColor="text1"/>
          <w:sz w:val="22"/>
        </w:rPr>
        <w:t>Salmonella</w:t>
      </w:r>
      <w:r w:rsidRPr="0070093F">
        <w:rPr>
          <w:color w:val="000000" w:themeColor="text1"/>
          <w:sz w:val="22"/>
        </w:rPr>
        <w:t xml:space="preserve"> z próbek</w:t>
      </w:r>
      <w:r>
        <w:rPr>
          <w:color w:val="000000" w:themeColor="text1"/>
          <w:sz w:val="22"/>
        </w:rPr>
        <w:t>.</w:t>
      </w:r>
    </w:p>
    <w:p w14:paraId="57996958" w14:textId="77777777" w:rsidR="0070093F" w:rsidRPr="00050A97" w:rsidRDefault="0070093F" w:rsidP="0070093F">
      <w:pPr>
        <w:autoSpaceDE w:val="0"/>
        <w:autoSpaceDN w:val="0"/>
        <w:adjustRightInd w:val="0"/>
        <w:spacing w:after="0" w:line="240" w:lineRule="auto"/>
        <w:jc w:val="both"/>
        <w:rPr>
          <w:color w:val="000000" w:themeColor="text1"/>
        </w:rPr>
      </w:pPr>
      <w:r w:rsidRPr="00050A97">
        <w:rPr>
          <w:color w:val="000000" w:themeColor="text1"/>
        </w:rPr>
        <w:t xml:space="preserve">Bulion Frasera lub bulion </w:t>
      </w:r>
      <w:r>
        <w:rPr>
          <w:color w:val="000000" w:themeColor="text1"/>
        </w:rPr>
        <w:t>pół-</w:t>
      </w:r>
      <w:r w:rsidRPr="00050A97">
        <w:rPr>
          <w:color w:val="000000" w:themeColor="text1"/>
        </w:rPr>
        <w:t xml:space="preserve">Frasera nie powinny być stosowane zamiast rozcieńczalnika, ponieważ mogą sprzyjać wzrostowi </w:t>
      </w:r>
      <w:r w:rsidRPr="001A6E2C">
        <w:rPr>
          <w:i/>
          <w:color w:val="000000" w:themeColor="text1"/>
        </w:rPr>
        <w:t xml:space="preserve">L. </w:t>
      </w:r>
      <w:proofErr w:type="spellStart"/>
      <w:r w:rsidRPr="001A6E2C">
        <w:rPr>
          <w:i/>
          <w:color w:val="000000" w:themeColor="text1"/>
        </w:rPr>
        <w:t>monocytogenes</w:t>
      </w:r>
      <w:proofErr w:type="spellEnd"/>
      <w:r w:rsidRPr="00050A97">
        <w:rPr>
          <w:color w:val="000000" w:themeColor="text1"/>
        </w:rPr>
        <w:t xml:space="preserve"> w miejscu przetwarzania. </w:t>
      </w:r>
    </w:p>
    <w:p w14:paraId="336B40B7" w14:textId="77777777" w:rsidR="0070093F" w:rsidRPr="0070093F" w:rsidRDefault="0070093F" w:rsidP="0070093F">
      <w:pPr>
        <w:autoSpaceDE w:val="0"/>
        <w:autoSpaceDN w:val="0"/>
        <w:adjustRightInd w:val="0"/>
        <w:spacing w:after="0" w:line="240" w:lineRule="auto"/>
        <w:jc w:val="both"/>
        <w:rPr>
          <w:vanish/>
          <w:color w:val="000000" w:themeColor="text1"/>
        </w:rPr>
      </w:pPr>
    </w:p>
    <w:p w14:paraId="349E8DF7" w14:textId="77777777" w:rsidR="0070093F" w:rsidRDefault="0070093F" w:rsidP="0070093F">
      <w:pPr>
        <w:pStyle w:val="Default"/>
        <w:numPr>
          <w:ilvl w:val="1"/>
          <w:numId w:val="1"/>
        </w:numPr>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R</w:t>
      </w:r>
      <w:r w:rsidRPr="009A04E7">
        <w:rPr>
          <w:rFonts w:asciiTheme="minorHAnsi" w:hAnsiTheme="minorHAnsi" w:cstheme="minorBidi"/>
          <w:color w:val="000000" w:themeColor="text1"/>
          <w:sz w:val="22"/>
          <w:szCs w:val="22"/>
        </w:rPr>
        <w:t>ozcieńczalniki</w:t>
      </w:r>
      <w:r>
        <w:rPr>
          <w:rFonts w:asciiTheme="minorHAnsi" w:hAnsiTheme="minorHAnsi" w:cstheme="minorBidi"/>
          <w:color w:val="000000" w:themeColor="text1"/>
          <w:sz w:val="22"/>
          <w:szCs w:val="22"/>
        </w:rPr>
        <w:t xml:space="preserve"> neutralizujące</w:t>
      </w:r>
    </w:p>
    <w:p w14:paraId="41B8FC45" w14:textId="77777777" w:rsidR="0070093F" w:rsidRPr="00050A97" w:rsidRDefault="0070093F" w:rsidP="00866D3F">
      <w:pPr>
        <w:autoSpaceDE w:val="0"/>
        <w:autoSpaceDN w:val="0"/>
        <w:adjustRightInd w:val="0"/>
        <w:spacing w:after="0" w:line="240" w:lineRule="auto"/>
        <w:jc w:val="both"/>
        <w:rPr>
          <w:color w:val="000000" w:themeColor="text1"/>
        </w:rPr>
      </w:pPr>
      <w:r w:rsidRPr="00050A97">
        <w:rPr>
          <w:color w:val="000000" w:themeColor="text1"/>
        </w:rPr>
        <w:t xml:space="preserve">W miejscach, w których spodziewane są pozostałości środków dezynfekujących lub gdy próbki są pobierane natychmiast po dezynfekcji, do </w:t>
      </w:r>
      <w:r w:rsidR="0012050C">
        <w:rPr>
          <w:color w:val="000000" w:themeColor="text1"/>
        </w:rPr>
        <w:t>z</w:t>
      </w:r>
      <w:r w:rsidR="0012050C" w:rsidRPr="009A04E7">
        <w:rPr>
          <w:color w:val="000000" w:themeColor="text1"/>
        </w:rPr>
        <w:t xml:space="preserve">wilżania </w:t>
      </w:r>
      <w:r w:rsidR="0012050C">
        <w:rPr>
          <w:color w:val="000000" w:themeColor="text1"/>
        </w:rPr>
        <w:t xml:space="preserve">patyczków wymazowych i innych </w:t>
      </w:r>
      <w:r w:rsidR="0012050C" w:rsidRPr="009A04E7">
        <w:rPr>
          <w:color w:val="000000" w:themeColor="text1"/>
        </w:rPr>
        <w:t>przyborów do pobierania próbek</w:t>
      </w:r>
      <w:r w:rsidRPr="00050A97">
        <w:rPr>
          <w:color w:val="000000" w:themeColor="text1"/>
        </w:rPr>
        <w:t xml:space="preserve"> należy użyć rozcieńczalników</w:t>
      </w:r>
      <w:r w:rsidR="0012050C" w:rsidRPr="0012050C">
        <w:rPr>
          <w:color w:val="000000" w:themeColor="text1"/>
        </w:rPr>
        <w:t xml:space="preserve"> </w:t>
      </w:r>
      <w:r w:rsidR="0012050C" w:rsidRPr="00050A97">
        <w:rPr>
          <w:color w:val="000000" w:themeColor="text1"/>
        </w:rPr>
        <w:t>neutralizujących</w:t>
      </w:r>
      <w:r w:rsidRPr="00050A97">
        <w:rPr>
          <w:color w:val="000000" w:themeColor="text1"/>
        </w:rPr>
        <w:t>.</w:t>
      </w:r>
    </w:p>
    <w:p w14:paraId="70B2BE1A" w14:textId="77777777" w:rsidR="0070093F" w:rsidRDefault="00866D3F" w:rsidP="00866D3F">
      <w:pPr>
        <w:autoSpaceDE w:val="0"/>
        <w:autoSpaceDN w:val="0"/>
        <w:adjustRightInd w:val="0"/>
        <w:spacing w:after="0" w:line="240" w:lineRule="auto"/>
        <w:jc w:val="both"/>
        <w:rPr>
          <w:color w:val="000000" w:themeColor="text1"/>
        </w:rPr>
      </w:pPr>
      <w:r w:rsidRPr="00050A97">
        <w:rPr>
          <w:color w:val="000000" w:themeColor="text1"/>
        </w:rPr>
        <w:t xml:space="preserve">Gdy stosuje się chlor lub związki uwalniające chlor, należy wybrać tiosiarczan sodu jako neutralizator. W przypadku innych substancji czynnych dostępnych jest wiele neutralizatorów (patrz EN 1276, EN 1650, EN 13697 i EN 13704), ale żaden z nich nie jest odpowiedni dla wszystkich środków dezynfekujących ("uniwersalny"). Neutralizujący rozcieńczalnik, który można stosować w większości sytuacji, opisano w tabeli 1. Należy go </w:t>
      </w:r>
      <w:r>
        <w:rPr>
          <w:color w:val="000000" w:themeColor="text1"/>
        </w:rPr>
        <w:t xml:space="preserve">przechowywać </w:t>
      </w:r>
      <w:r w:rsidRPr="00050A97">
        <w:rPr>
          <w:color w:val="000000" w:themeColor="text1"/>
        </w:rPr>
        <w:t>w probówkach lub butelkach i sterylizować przez 15 minut w temperaturze 121 °C.</w:t>
      </w:r>
    </w:p>
    <w:p w14:paraId="1433DFE3" w14:textId="77777777" w:rsidR="00866D3F" w:rsidRPr="001B435F" w:rsidRDefault="00866D3F" w:rsidP="00866D3F">
      <w:pPr>
        <w:autoSpaceDE w:val="0"/>
        <w:autoSpaceDN w:val="0"/>
        <w:adjustRightInd w:val="0"/>
        <w:spacing w:after="0" w:line="240" w:lineRule="auto"/>
        <w:rPr>
          <w:rFonts w:ascii="Calibri" w:hAnsi="Calibri" w:cs="Calibri"/>
          <w:b/>
          <w:bCs/>
          <w:color w:val="000000"/>
          <w:sz w:val="23"/>
          <w:szCs w:val="23"/>
        </w:rPr>
      </w:pPr>
    </w:p>
    <w:p w14:paraId="2520C56F" w14:textId="77777777" w:rsidR="00866D3F" w:rsidRPr="004615F4" w:rsidRDefault="00866D3F" w:rsidP="00866D3F">
      <w:pPr>
        <w:autoSpaceDE w:val="0"/>
        <w:autoSpaceDN w:val="0"/>
        <w:adjustRightInd w:val="0"/>
        <w:spacing w:after="0" w:line="240" w:lineRule="auto"/>
        <w:rPr>
          <w:rFonts w:ascii="Calibri" w:hAnsi="Calibri" w:cs="Calibri"/>
          <w:b/>
          <w:bCs/>
          <w:color w:val="000000"/>
          <w:sz w:val="23"/>
          <w:szCs w:val="23"/>
        </w:rPr>
      </w:pPr>
      <w:r w:rsidRPr="00866D3F">
        <w:rPr>
          <w:rFonts w:ascii="Calibri" w:hAnsi="Calibri" w:cs="Calibri"/>
          <w:b/>
          <w:bCs/>
          <w:color w:val="000000"/>
          <w:sz w:val="23"/>
          <w:szCs w:val="23"/>
        </w:rPr>
        <w:t>Tabe</w:t>
      </w:r>
      <w:r w:rsidR="004615F4" w:rsidRPr="004615F4">
        <w:rPr>
          <w:rFonts w:ascii="Calibri" w:hAnsi="Calibri" w:cs="Calibri"/>
          <w:b/>
          <w:bCs/>
          <w:color w:val="000000"/>
          <w:sz w:val="23"/>
          <w:szCs w:val="23"/>
        </w:rPr>
        <w:t>la</w:t>
      </w:r>
      <w:r w:rsidRPr="00866D3F">
        <w:rPr>
          <w:rFonts w:ascii="Calibri" w:hAnsi="Calibri" w:cs="Calibri"/>
          <w:b/>
          <w:bCs/>
          <w:color w:val="000000"/>
          <w:sz w:val="23"/>
          <w:szCs w:val="23"/>
        </w:rPr>
        <w:t xml:space="preserve"> 1: </w:t>
      </w:r>
      <w:r w:rsidR="004615F4" w:rsidRPr="004615F4">
        <w:rPr>
          <w:rFonts w:ascii="Calibri" w:hAnsi="Calibri" w:cs="Calibri"/>
          <w:b/>
          <w:bCs/>
          <w:color w:val="000000"/>
          <w:sz w:val="23"/>
          <w:szCs w:val="23"/>
        </w:rPr>
        <w:t xml:space="preserve">Rozcieńczalnik neutralizujący, który można użyć w większości sytuacji (na podstawie </w:t>
      </w:r>
      <w:r w:rsidRPr="00866D3F">
        <w:rPr>
          <w:rFonts w:ascii="Calibri" w:hAnsi="Calibri" w:cs="Calibri"/>
          <w:b/>
          <w:bCs/>
          <w:color w:val="000000"/>
          <w:sz w:val="23"/>
          <w:szCs w:val="23"/>
        </w:rPr>
        <w:t xml:space="preserve">ISO 18593) </w:t>
      </w:r>
    </w:p>
    <w:p w14:paraId="7542EF1D" w14:textId="77777777" w:rsidR="00866D3F" w:rsidRPr="004615F4" w:rsidRDefault="00866D3F" w:rsidP="00866D3F">
      <w:pPr>
        <w:autoSpaceDE w:val="0"/>
        <w:autoSpaceDN w:val="0"/>
        <w:adjustRightInd w:val="0"/>
        <w:spacing w:after="0" w:line="240" w:lineRule="auto"/>
        <w:jc w:val="both"/>
        <w:rPr>
          <w:color w:val="000000" w:themeColor="text1"/>
        </w:rPr>
      </w:pP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4807"/>
      </w:tblGrid>
      <w:tr w:rsidR="00866D3F" w:rsidRPr="00866D3F" w14:paraId="29DC8BFC" w14:textId="77777777" w:rsidTr="00866D3F">
        <w:trPr>
          <w:trHeight w:val="94"/>
        </w:trPr>
        <w:tc>
          <w:tcPr>
            <w:tcW w:w="4807" w:type="dxa"/>
          </w:tcPr>
          <w:p w14:paraId="23DC29CB" w14:textId="77777777" w:rsidR="00866D3F" w:rsidRPr="00866D3F" w:rsidRDefault="004615F4" w:rsidP="00866D3F">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b/>
                <w:bCs/>
                <w:color w:val="000000"/>
                <w:lang w:val="en-US"/>
              </w:rPr>
              <w:t>Składnik</w:t>
            </w:r>
            <w:proofErr w:type="spellEnd"/>
            <w:r w:rsidR="00866D3F" w:rsidRPr="00866D3F">
              <w:rPr>
                <w:rFonts w:ascii="Calibri" w:hAnsi="Calibri" w:cs="Calibri"/>
                <w:b/>
                <w:bCs/>
                <w:color w:val="000000"/>
                <w:lang w:val="en-US"/>
              </w:rPr>
              <w:t xml:space="preserve"> </w:t>
            </w:r>
          </w:p>
        </w:tc>
        <w:tc>
          <w:tcPr>
            <w:tcW w:w="4807" w:type="dxa"/>
          </w:tcPr>
          <w:p w14:paraId="503C06C5" w14:textId="77777777" w:rsidR="00866D3F" w:rsidRPr="00866D3F" w:rsidRDefault="004615F4" w:rsidP="00866D3F">
            <w:pPr>
              <w:autoSpaceDE w:val="0"/>
              <w:autoSpaceDN w:val="0"/>
              <w:adjustRightInd w:val="0"/>
              <w:spacing w:after="0" w:line="240" w:lineRule="auto"/>
              <w:rPr>
                <w:rFonts w:ascii="Calibri" w:hAnsi="Calibri" w:cs="Calibri"/>
                <w:color w:val="000000"/>
              </w:rPr>
            </w:pPr>
            <w:r>
              <w:rPr>
                <w:rFonts w:ascii="Calibri" w:hAnsi="Calibri" w:cs="Calibri"/>
                <w:b/>
                <w:bCs/>
                <w:color w:val="000000"/>
              </w:rPr>
              <w:t>Stężenie</w:t>
            </w:r>
            <w:r w:rsidR="00866D3F" w:rsidRPr="00866D3F">
              <w:rPr>
                <w:rFonts w:ascii="Calibri" w:hAnsi="Calibri" w:cs="Calibri"/>
                <w:b/>
                <w:bCs/>
                <w:color w:val="000000"/>
              </w:rPr>
              <w:t xml:space="preserve"> </w:t>
            </w:r>
          </w:p>
        </w:tc>
      </w:tr>
      <w:tr w:rsidR="00866D3F" w:rsidRPr="00866D3F" w14:paraId="24034AC8" w14:textId="77777777" w:rsidTr="00866D3F">
        <w:trPr>
          <w:trHeight w:val="94"/>
        </w:trPr>
        <w:tc>
          <w:tcPr>
            <w:tcW w:w="4807" w:type="dxa"/>
          </w:tcPr>
          <w:p w14:paraId="0CF302EA" w14:textId="77777777" w:rsidR="00866D3F" w:rsidRPr="00866D3F" w:rsidRDefault="00DD4B17" w:rsidP="00DD4B17">
            <w:pPr>
              <w:autoSpaceDE w:val="0"/>
              <w:autoSpaceDN w:val="0"/>
              <w:adjustRightInd w:val="0"/>
              <w:spacing w:after="0" w:line="240" w:lineRule="auto"/>
              <w:rPr>
                <w:rFonts w:ascii="Calibri" w:hAnsi="Calibri" w:cs="Calibri"/>
                <w:color w:val="000000"/>
              </w:rPr>
            </w:pPr>
            <w:proofErr w:type="spellStart"/>
            <w:r>
              <w:t>Monooleinian</w:t>
            </w:r>
            <w:proofErr w:type="spellEnd"/>
            <w:r>
              <w:t xml:space="preserve"> </w:t>
            </w:r>
            <w:proofErr w:type="spellStart"/>
            <w:r>
              <w:t>sorbitolu</w:t>
            </w:r>
            <w:proofErr w:type="spellEnd"/>
            <w:r>
              <w:t xml:space="preserve"> (</w:t>
            </w:r>
            <w:proofErr w:type="spellStart"/>
            <w:r>
              <w:t>Polisorbat</w:t>
            </w:r>
            <w:proofErr w:type="spellEnd"/>
            <w:r>
              <w:t xml:space="preserve"> 80)</w:t>
            </w:r>
            <w:r w:rsidR="00866D3F" w:rsidRPr="00866D3F">
              <w:rPr>
                <w:rFonts w:ascii="Calibri" w:hAnsi="Calibri" w:cs="Calibri"/>
                <w:color w:val="000000"/>
              </w:rPr>
              <w:t xml:space="preserve"> </w:t>
            </w:r>
          </w:p>
        </w:tc>
        <w:tc>
          <w:tcPr>
            <w:tcW w:w="4807" w:type="dxa"/>
          </w:tcPr>
          <w:p w14:paraId="61C37F9B" w14:textId="77777777"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30 g/l </w:t>
            </w:r>
          </w:p>
        </w:tc>
      </w:tr>
      <w:tr w:rsidR="00866D3F" w:rsidRPr="00866D3F" w14:paraId="29BF1478" w14:textId="77777777" w:rsidTr="00866D3F">
        <w:trPr>
          <w:trHeight w:val="94"/>
        </w:trPr>
        <w:tc>
          <w:tcPr>
            <w:tcW w:w="4807" w:type="dxa"/>
          </w:tcPr>
          <w:p w14:paraId="2D589C98" w14:textId="77777777" w:rsidR="00866D3F" w:rsidRPr="00866D3F" w:rsidRDefault="00DD4B17" w:rsidP="00DD4B17">
            <w:pPr>
              <w:autoSpaceDE w:val="0"/>
              <w:autoSpaceDN w:val="0"/>
              <w:adjustRightInd w:val="0"/>
              <w:spacing w:after="0" w:line="240" w:lineRule="auto"/>
              <w:rPr>
                <w:rFonts w:ascii="Calibri" w:hAnsi="Calibri" w:cs="Calibri"/>
                <w:color w:val="000000"/>
              </w:rPr>
            </w:pPr>
            <w:r>
              <w:t>Lecytyna</w:t>
            </w:r>
            <w:r w:rsidR="00866D3F" w:rsidRPr="00866D3F">
              <w:rPr>
                <w:rFonts w:ascii="Calibri" w:hAnsi="Calibri" w:cs="Calibri"/>
                <w:color w:val="000000"/>
              </w:rPr>
              <w:t xml:space="preserve"> </w:t>
            </w:r>
          </w:p>
        </w:tc>
        <w:tc>
          <w:tcPr>
            <w:tcW w:w="4807" w:type="dxa"/>
          </w:tcPr>
          <w:p w14:paraId="3B7C4710" w14:textId="77777777"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3 g/l </w:t>
            </w:r>
          </w:p>
        </w:tc>
      </w:tr>
      <w:tr w:rsidR="00866D3F" w:rsidRPr="00866D3F" w14:paraId="32ECF36D" w14:textId="77777777" w:rsidTr="00866D3F">
        <w:trPr>
          <w:trHeight w:val="94"/>
        </w:trPr>
        <w:tc>
          <w:tcPr>
            <w:tcW w:w="4807" w:type="dxa"/>
          </w:tcPr>
          <w:p w14:paraId="22810966" w14:textId="77777777" w:rsidR="00866D3F" w:rsidRPr="00866D3F" w:rsidRDefault="00DD4B17" w:rsidP="00DD4B17">
            <w:pPr>
              <w:autoSpaceDE w:val="0"/>
              <w:autoSpaceDN w:val="0"/>
              <w:adjustRightInd w:val="0"/>
              <w:spacing w:after="0" w:line="240" w:lineRule="auto"/>
              <w:rPr>
                <w:rFonts w:ascii="Calibri" w:hAnsi="Calibri" w:cs="Calibri"/>
                <w:color w:val="000000"/>
              </w:rPr>
            </w:pPr>
            <w:r>
              <w:t>Tiosiarczan sodu</w:t>
            </w:r>
          </w:p>
        </w:tc>
        <w:tc>
          <w:tcPr>
            <w:tcW w:w="4807" w:type="dxa"/>
          </w:tcPr>
          <w:p w14:paraId="4B5264AC" w14:textId="77777777"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5 g/l </w:t>
            </w:r>
          </w:p>
        </w:tc>
      </w:tr>
      <w:tr w:rsidR="00866D3F" w:rsidRPr="00866D3F" w14:paraId="108416CB" w14:textId="77777777" w:rsidTr="00866D3F">
        <w:trPr>
          <w:trHeight w:val="94"/>
        </w:trPr>
        <w:tc>
          <w:tcPr>
            <w:tcW w:w="4807" w:type="dxa"/>
          </w:tcPr>
          <w:p w14:paraId="47436760" w14:textId="77777777" w:rsidR="00866D3F" w:rsidRPr="00866D3F" w:rsidRDefault="00DD4B17" w:rsidP="00DD4B17">
            <w:pPr>
              <w:autoSpaceDE w:val="0"/>
              <w:autoSpaceDN w:val="0"/>
              <w:adjustRightInd w:val="0"/>
              <w:spacing w:after="0" w:line="240" w:lineRule="auto"/>
              <w:rPr>
                <w:rFonts w:ascii="Calibri" w:hAnsi="Calibri" w:cs="Calibri"/>
                <w:color w:val="000000"/>
              </w:rPr>
            </w:pPr>
            <w:r>
              <w:t>L-Histydyna</w:t>
            </w:r>
            <w:r w:rsidR="00866D3F" w:rsidRPr="00866D3F">
              <w:rPr>
                <w:rFonts w:ascii="Calibri" w:hAnsi="Calibri" w:cs="Calibri"/>
                <w:color w:val="000000"/>
              </w:rPr>
              <w:t xml:space="preserve"> </w:t>
            </w:r>
          </w:p>
        </w:tc>
        <w:tc>
          <w:tcPr>
            <w:tcW w:w="4807" w:type="dxa"/>
          </w:tcPr>
          <w:p w14:paraId="7FE1B25A" w14:textId="77777777"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1 g/l </w:t>
            </w:r>
          </w:p>
        </w:tc>
      </w:tr>
      <w:tr w:rsidR="00866D3F" w:rsidRPr="00866D3F" w14:paraId="79A0527F" w14:textId="77777777" w:rsidTr="00866D3F">
        <w:trPr>
          <w:trHeight w:val="94"/>
        </w:trPr>
        <w:tc>
          <w:tcPr>
            <w:tcW w:w="4807" w:type="dxa"/>
          </w:tcPr>
          <w:p w14:paraId="366B1308" w14:textId="77777777"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Saponin</w:t>
            </w:r>
            <w:r w:rsidR="00111EE4">
              <w:rPr>
                <w:rFonts w:ascii="Calibri" w:hAnsi="Calibri" w:cs="Calibri"/>
                <w:color w:val="000000"/>
              </w:rPr>
              <w:t>a</w:t>
            </w:r>
            <w:r w:rsidRPr="00866D3F">
              <w:rPr>
                <w:rFonts w:ascii="Calibri" w:hAnsi="Calibri" w:cs="Calibri"/>
                <w:color w:val="000000"/>
              </w:rPr>
              <w:t xml:space="preserve"> </w:t>
            </w:r>
          </w:p>
        </w:tc>
        <w:tc>
          <w:tcPr>
            <w:tcW w:w="4807" w:type="dxa"/>
          </w:tcPr>
          <w:p w14:paraId="44C5F6F8" w14:textId="77777777"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30 g/l </w:t>
            </w:r>
          </w:p>
        </w:tc>
      </w:tr>
      <w:tr w:rsidR="00866D3F" w:rsidRPr="00866D3F" w14:paraId="47665380" w14:textId="77777777" w:rsidTr="00866D3F">
        <w:trPr>
          <w:trHeight w:val="94"/>
        </w:trPr>
        <w:tc>
          <w:tcPr>
            <w:tcW w:w="4807" w:type="dxa"/>
          </w:tcPr>
          <w:p w14:paraId="1689BA24" w14:textId="77777777" w:rsidR="00866D3F" w:rsidRPr="00866D3F" w:rsidRDefault="00111EE4" w:rsidP="00866D3F">
            <w:pPr>
              <w:autoSpaceDE w:val="0"/>
              <w:autoSpaceDN w:val="0"/>
              <w:adjustRightInd w:val="0"/>
              <w:spacing w:after="0" w:line="240" w:lineRule="auto"/>
              <w:rPr>
                <w:rFonts w:ascii="Calibri" w:hAnsi="Calibri" w:cs="Calibri"/>
                <w:color w:val="000000"/>
              </w:rPr>
            </w:pPr>
            <w:r>
              <w:rPr>
                <w:rFonts w:ascii="Calibri" w:hAnsi="Calibri" w:cs="Calibri"/>
                <w:color w:val="000000"/>
              </w:rPr>
              <w:t>Pepton</w:t>
            </w:r>
            <w:r w:rsidR="00866D3F" w:rsidRPr="00866D3F">
              <w:rPr>
                <w:rFonts w:ascii="Calibri" w:hAnsi="Calibri" w:cs="Calibri"/>
                <w:color w:val="000000"/>
              </w:rPr>
              <w:t xml:space="preserve"> </w:t>
            </w:r>
          </w:p>
        </w:tc>
        <w:tc>
          <w:tcPr>
            <w:tcW w:w="4807" w:type="dxa"/>
          </w:tcPr>
          <w:p w14:paraId="3CB6AF0D" w14:textId="77777777"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1 g/l </w:t>
            </w:r>
          </w:p>
        </w:tc>
      </w:tr>
      <w:tr w:rsidR="00866D3F" w:rsidRPr="00866D3F" w14:paraId="268728C5" w14:textId="77777777" w:rsidTr="00866D3F">
        <w:trPr>
          <w:trHeight w:val="94"/>
        </w:trPr>
        <w:tc>
          <w:tcPr>
            <w:tcW w:w="4807" w:type="dxa"/>
          </w:tcPr>
          <w:p w14:paraId="3B9E1DCE" w14:textId="77777777" w:rsidR="00866D3F" w:rsidRPr="00866D3F" w:rsidRDefault="00111EE4" w:rsidP="00111EE4">
            <w:pPr>
              <w:autoSpaceDE w:val="0"/>
              <w:autoSpaceDN w:val="0"/>
              <w:adjustRightInd w:val="0"/>
              <w:spacing w:after="0" w:line="240" w:lineRule="auto"/>
              <w:rPr>
                <w:rFonts w:ascii="Calibri" w:hAnsi="Calibri" w:cs="Calibri"/>
                <w:color w:val="000000"/>
              </w:rPr>
            </w:pPr>
            <w:r>
              <w:t>Chlorek sodu</w:t>
            </w:r>
          </w:p>
        </w:tc>
        <w:tc>
          <w:tcPr>
            <w:tcW w:w="4807" w:type="dxa"/>
          </w:tcPr>
          <w:p w14:paraId="3BEA4C8A" w14:textId="77777777"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8.5 g/l </w:t>
            </w:r>
          </w:p>
        </w:tc>
      </w:tr>
    </w:tbl>
    <w:p w14:paraId="2A33D0DB" w14:textId="77777777" w:rsidR="00866D3F" w:rsidRDefault="00866D3F" w:rsidP="00866D3F">
      <w:pPr>
        <w:autoSpaceDE w:val="0"/>
        <w:autoSpaceDN w:val="0"/>
        <w:adjustRightInd w:val="0"/>
        <w:spacing w:after="0" w:line="240" w:lineRule="auto"/>
        <w:jc w:val="both"/>
      </w:pPr>
    </w:p>
    <w:p w14:paraId="20E01962" w14:textId="77777777" w:rsidR="00111EE4" w:rsidRDefault="00554365" w:rsidP="00554365">
      <w:pPr>
        <w:pStyle w:val="Akapitzlist"/>
        <w:numPr>
          <w:ilvl w:val="0"/>
          <w:numId w:val="1"/>
        </w:numPr>
        <w:autoSpaceDE w:val="0"/>
        <w:autoSpaceDN w:val="0"/>
        <w:adjustRightInd w:val="0"/>
        <w:spacing w:after="0" w:line="240" w:lineRule="auto"/>
        <w:ind w:left="0" w:firstLine="0"/>
        <w:jc w:val="both"/>
        <w:rPr>
          <w:b/>
          <w:color w:val="000000" w:themeColor="text1"/>
        </w:rPr>
      </w:pPr>
      <w:r w:rsidRPr="00554365">
        <w:rPr>
          <w:b/>
          <w:color w:val="000000" w:themeColor="text1"/>
        </w:rPr>
        <w:t>Pożywka</w:t>
      </w:r>
    </w:p>
    <w:p w14:paraId="503A8471" w14:textId="77777777" w:rsidR="00554365" w:rsidRDefault="00554365" w:rsidP="00554365">
      <w:pPr>
        <w:pStyle w:val="Akapitzlist"/>
        <w:autoSpaceDE w:val="0"/>
        <w:autoSpaceDN w:val="0"/>
        <w:adjustRightInd w:val="0"/>
        <w:spacing w:after="0" w:line="240" w:lineRule="auto"/>
        <w:ind w:left="0"/>
        <w:jc w:val="both"/>
        <w:rPr>
          <w:color w:val="000000" w:themeColor="text1"/>
        </w:rPr>
      </w:pPr>
      <w:r>
        <w:rPr>
          <w:color w:val="000000" w:themeColor="text1"/>
        </w:rPr>
        <w:t xml:space="preserve">Wymagania dla pożywki są określone w normie </w:t>
      </w:r>
      <w:r w:rsidRPr="00554365">
        <w:rPr>
          <w:color w:val="000000" w:themeColor="text1"/>
        </w:rPr>
        <w:t>EN ISO 11290-1</w:t>
      </w:r>
    </w:p>
    <w:p w14:paraId="6FF7B399" w14:textId="77777777" w:rsidR="00554365" w:rsidRDefault="00554365" w:rsidP="00554365">
      <w:pPr>
        <w:pStyle w:val="Akapitzlist"/>
        <w:autoSpaceDE w:val="0"/>
        <w:autoSpaceDN w:val="0"/>
        <w:adjustRightInd w:val="0"/>
        <w:spacing w:after="0" w:line="240" w:lineRule="auto"/>
        <w:ind w:left="0"/>
        <w:jc w:val="both"/>
        <w:rPr>
          <w:color w:val="000000" w:themeColor="text1"/>
        </w:rPr>
      </w:pPr>
    </w:p>
    <w:p w14:paraId="0CB1D88A" w14:textId="77777777" w:rsidR="00554365" w:rsidRDefault="00554365" w:rsidP="00554365">
      <w:pPr>
        <w:pStyle w:val="Akapitzlist"/>
        <w:numPr>
          <w:ilvl w:val="0"/>
          <w:numId w:val="1"/>
        </w:numPr>
        <w:autoSpaceDE w:val="0"/>
        <w:autoSpaceDN w:val="0"/>
        <w:adjustRightInd w:val="0"/>
        <w:spacing w:after="0" w:line="240" w:lineRule="auto"/>
        <w:ind w:left="0" w:firstLine="0"/>
        <w:jc w:val="both"/>
        <w:rPr>
          <w:b/>
          <w:color w:val="000000" w:themeColor="text1"/>
        </w:rPr>
      </w:pPr>
      <w:r w:rsidRPr="00554365">
        <w:rPr>
          <w:b/>
          <w:color w:val="000000" w:themeColor="text1"/>
        </w:rPr>
        <w:t>Aparatura i naczynia szklane</w:t>
      </w:r>
    </w:p>
    <w:p w14:paraId="1DCCE599" w14:textId="77777777" w:rsidR="00554365" w:rsidRDefault="00554365" w:rsidP="00554365">
      <w:pPr>
        <w:autoSpaceDE w:val="0"/>
        <w:autoSpaceDN w:val="0"/>
        <w:adjustRightInd w:val="0"/>
        <w:spacing w:after="0" w:line="240" w:lineRule="auto"/>
        <w:jc w:val="both"/>
        <w:rPr>
          <w:color w:val="000000" w:themeColor="text1"/>
        </w:rPr>
      </w:pPr>
      <w:r w:rsidRPr="00554365">
        <w:rPr>
          <w:color w:val="000000" w:themeColor="text1"/>
        </w:rPr>
        <w:t>Wymagania ogólne, patrz EN ISO 7218.</w:t>
      </w:r>
    </w:p>
    <w:p w14:paraId="5890F2A7" w14:textId="77777777" w:rsidR="00554365" w:rsidRDefault="00554365" w:rsidP="00554365">
      <w:pPr>
        <w:autoSpaceDE w:val="0"/>
        <w:autoSpaceDN w:val="0"/>
        <w:adjustRightInd w:val="0"/>
        <w:spacing w:after="0" w:line="240" w:lineRule="auto"/>
        <w:jc w:val="both"/>
        <w:rPr>
          <w:color w:val="000000" w:themeColor="text1"/>
        </w:rPr>
      </w:pPr>
      <w:r w:rsidRPr="00554365">
        <w:rPr>
          <w:color w:val="000000" w:themeColor="text1"/>
        </w:rPr>
        <w:t xml:space="preserve">Wymagania dotyczące </w:t>
      </w:r>
      <w:r w:rsidRPr="001A6E2C">
        <w:rPr>
          <w:i/>
          <w:color w:val="000000" w:themeColor="text1"/>
        </w:rPr>
        <w:t xml:space="preserve">L. </w:t>
      </w:r>
      <w:proofErr w:type="spellStart"/>
      <w:r w:rsidRPr="001A6E2C">
        <w:rPr>
          <w:i/>
          <w:color w:val="000000" w:themeColor="text1"/>
        </w:rPr>
        <w:t>monocytogenes</w:t>
      </w:r>
      <w:proofErr w:type="spellEnd"/>
      <w:r w:rsidRPr="00554365">
        <w:rPr>
          <w:color w:val="000000" w:themeColor="text1"/>
        </w:rPr>
        <w:t>, patrz EN ISO 11290-1 i zmiany.</w:t>
      </w:r>
    </w:p>
    <w:p w14:paraId="4BB9C2DD" w14:textId="77777777" w:rsidR="00554365" w:rsidRPr="00554365" w:rsidRDefault="00554365" w:rsidP="00554365">
      <w:pPr>
        <w:autoSpaceDE w:val="0"/>
        <w:autoSpaceDN w:val="0"/>
        <w:adjustRightInd w:val="0"/>
        <w:spacing w:after="0" w:line="240" w:lineRule="auto"/>
        <w:jc w:val="both"/>
        <w:rPr>
          <w:color w:val="000000" w:themeColor="text1"/>
        </w:rPr>
      </w:pPr>
      <w:r w:rsidRPr="00554365">
        <w:rPr>
          <w:color w:val="000000" w:themeColor="text1"/>
        </w:rPr>
        <w:t xml:space="preserve">Zwykły mikrobiologiczny sprzęt laboratoryjny, a w szczególności: </w:t>
      </w:r>
    </w:p>
    <w:p w14:paraId="30757C17" w14:textId="77777777" w:rsidR="00554365" w:rsidRPr="00315844" w:rsidRDefault="00554365" w:rsidP="00554365">
      <w:pPr>
        <w:autoSpaceDE w:val="0"/>
        <w:autoSpaceDN w:val="0"/>
        <w:adjustRightInd w:val="0"/>
        <w:spacing w:after="0" w:line="240" w:lineRule="auto"/>
        <w:jc w:val="both"/>
        <w:rPr>
          <w:b/>
          <w:color w:val="000000" w:themeColor="text1"/>
        </w:rPr>
      </w:pPr>
      <w:r w:rsidRPr="00315844">
        <w:rPr>
          <w:b/>
          <w:color w:val="000000" w:themeColor="text1"/>
        </w:rPr>
        <w:t>7.1. Narzędzia do pobierania wymazów</w:t>
      </w:r>
    </w:p>
    <w:p w14:paraId="26265619" w14:textId="77777777" w:rsidR="00554365" w:rsidRDefault="00554365" w:rsidP="00554365">
      <w:pPr>
        <w:autoSpaceDE w:val="0"/>
        <w:autoSpaceDN w:val="0"/>
        <w:adjustRightInd w:val="0"/>
        <w:spacing w:after="0" w:line="240" w:lineRule="auto"/>
        <w:jc w:val="both"/>
        <w:rPr>
          <w:color w:val="000000" w:themeColor="text1"/>
        </w:rPr>
      </w:pPr>
      <w:r w:rsidRPr="00554365">
        <w:rPr>
          <w:b/>
          <w:color w:val="000000" w:themeColor="text1"/>
        </w:rPr>
        <w:t>Patyczek do wymazów</w:t>
      </w:r>
      <w:r w:rsidRPr="00554365">
        <w:rPr>
          <w:color w:val="000000" w:themeColor="text1"/>
        </w:rPr>
        <w:t xml:space="preserve">, wysterylizowany patyczek zakończony bawełną lub materiałem syntetycznym pojedynczo zawarty w sterylizowanej </w:t>
      </w:r>
      <w:r>
        <w:rPr>
          <w:color w:val="000000" w:themeColor="text1"/>
        </w:rPr>
        <w:t>probówce</w:t>
      </w:r>
      <w:r w:rsidRPr="00554365">
        <w:rPr>
          <w:color w:val="000000" w:themeColor="text1"/>
        </w:rPr>
        <w:t>. Zastosowany materiał powinien mieć potwierdzenie (udokumentowane) braku</w:t>
      </w:r>
      <w:r>
        <w:rPr>
          <w:color w:val="000000" w:themeColor="text1"/>
        </w:rPr>
        <w:t xml:space="preserve"> substancji hamujących.</w:t>
      </w:r>
    </w:p>
    <w:p w14:paraId="27C1CB75" w14:textId="77777777" w:rsidR="00554365" w:rsidRDefault="00554365" w:rsidP="00554365">
      <w:pPr>
        <w:autoSpaceDE w:val="0"/>
        <w:autoSpaceDN w:val="0"/>
        <w:adjustRightInd w:val="0"/>
        <w:spacing w:after="0" w:line="240" w:lineRule="auto"/>
        <w:jc w:val="both"/>
        <w:rPr>
          <w:color w:val="000000" w:themeColor="text1"/>
        </w:rPr>
      </w:pPr>
      <w:r w:rsidRPr="00554365">
        <w:rPr>
          <w:color w:val="000000" w:themeColor="text1"/>
        </w:rPr>
        <w:lastRenderedPageBreak/>
        <w:t>UWAGA W przypadku niektórych rodzajów powierzchni resztki bawełny mogą zanieczyścić wewnętrzne części tych powierzchni po pobraniu próbek.</w:t>
      </w:r>
    </w:p>
    <w:p w14:paraId="50A72131" w14:textId="77777777" w:rsidR="00554365" w:rsidRPr="00554365" w:rsidRDefault="00554365" w:rsidP="00554365">
      <w:pPr>
        <w:autoSpaceDE w:val="0"/>
        <w:autoSpaceDN w:val="0"/>
        <w:adjustRightInd w:val="0"/>
        <w:spacing w:after="0" w:line="240" w:lineRule="auto"/>
        <w:jc w:val="both"/>
        <w:rPr>
          <w:color w:val="000000" w:themeColor="text1"/>
        </w:rPr>
      </w:pPr>
      <w:r>
        <w:rPr>
          <w:b/>
          <w:color w:val="000000" w:themeColor="text1"/>
        </w:rPr>
        <w:t>Gąbka, tkana lub nietkana</w:t>
      </w:r>
      <w:r w:rsidRPr="00554365">
        <w:rPr>
          <w:b/>
          <w:color w:val="000000" w:themeColor="text1"/>
        </w:rPr>
        <w:t xml:space="preserve"> </w:t>
      </w:r>
      <w:r>
        <w:rPr>
          <w:b/>
          <w:color w:val="000000" w:themeColor="text1"/>
        </w:rPr>
        <w:t>ściereczka</w:t>
      </w:r>
      <w:r w:rsidRPr="00554365">
        <w:rPr>
          <w:b/>
          <w:color w:val="000000" w:themeColor="text1"/>
        </w:rPr>
        <w:t xml:space="preserve"> lub gaziki</w:t>
      </w:r>
      <w:r w:rsidRPr="00554365">
        <w:rPr>
          <w:color w:val="000000" w:themeColor="text1"/>
        </w:rPr>
        <w:t xml:space="preserve">, sterylizowane i pakowane pojedynczo w sterylizowane torby plastikowe. Zastosowany materiał powinien mieć potwierdzenie (udokumentowane) braku substancji hamujących. </w:t>
      </w:r>
    </w:p>
    <w:p w14:paraId="36B13EE6" w14:textId="77777777" w:rsidR="00554365" w:rsidRPr="00315844" w:rsidRDefault="00554365" w:rsidP="00554365">
      <w:pPr>
        <w:autoSpaceDE w:val="0"/>
        <w:autoSpaceDN w:val="0"/>
        <w:adjustRightInd w:val="0"/>
        <w:spacing w:after="0" w:line="240" w:lineRule="auto"/>
        <w:jc w:val="both"/>
        <w:rPr>
          <w:b/>
          <w:color w:val="000000" w:themeColor="text1"/>
        </w:rPr>
      </w:pPr>
      <w:r w:rsidRPr="00315844">
        <w:rPr>
          <w:b/>
          <w:color w:val="000000" w:themeColor="text1"/>
        </w:rPr>
        <w:t xml:space="preserve">7.2. Jednorazowe sterylizowane rękawice (opcjonalnie) </w:t>
      </w:r>
    </w:p>
    <w:p w14:paraId="48C6DF30" w14:textId="77777777" w:rsidR="00315844" w:rsidRDefault="00315844" w:rsidP="00315844">
      <w:pPr>
        <w:autoSpaceDE w:val="0"/>
        <w:autoSpaceDN w:val="0"/>
        <w:adjustRightInd w:val="0"/>
        <w:spacing w:after="0" w:line="240" w:lineRule="auto"/>
        <w:jc w:val="both"/>
        <w:rPr>
          <w:b/>
          <w:color w:val="000000" w:themeColor="text1"/>
        </w:rPr>
      </w:pPr>
      <w:r w:rsidRPr="00315844">
        <w:rPr>
          <w:b/>
          <w:color w:val="000000" w:themeColor="text1"/>
        </w:rPr>
        <w:t>7</w:t>
      </w:r>
      <w:r w:rsidR="00554365" w:rsidRPr="00315844">
        <w:rPr>
          <w:b/>
          <w:color w:val="000000" w:themeColor="text1"/>
        </w:rPr>
        <w:t>.3. Chłodzony pojemnik, z pakietami lodowymi, izolowany, zdolny do utrzymywania pr</w:t>
      </w:r>
      <w:r>
        <w:rPr>
          <w:b/>
          <w:color w:val="000000" w:themeColor="text1"/>
        </w:rPr>
        <w:t>óbek w temperaturze od 1 do 8 °</w:t>
      </w:r>
      <w:r w:rsidR="00554365" w:rsidRPr="00315844">
        <w:rPr>
          <w:b/>
          <w:color w:val="000000" w:themeColor="text1"/>
        </w:rPr>
        <w:t>C podczas transportu do laboratorium (patrz EN ISO 7218)</w:t>
      </w:r>
    </w:p>
    <w:p w14:paraId="106D01EB" w14:textId="77777777" w:rsidR="00554365" w:rsidRPr="00315844" w:rsidRDefault="00315844" w:rsidP="00315844">
      <w:pPr>
        <w:autoSpaceDE w:val="0"/>
        <w:autoSpaceDN w:val="0"/>
        <w:adjustRightInd w:val="0"/>
        <w:spacing w:after="0" w:line="240" w:lineRule="auto"/>
        <w:jc w:val="both"/>
        <w:rPr>
          <w:b/>
          <w:color w:val="000000" w:themeColor="text1"/>
        </w:rPr>
      </w:pPr>
      <w:r w:rsidRPr="00315844">
        <w:rPr>
          <w:b/>
          <w:color w:val="000000" w:themeColor="text1"/>
        </w:rPr>
        <w:t>7</w:t>
      </w:r>
      <w:r w:rsidR="00554365" w:rsidRPr="00315844">
        <w:rPr>
          <w:b/>
          <w:color w:val="000000" w:themeColor="text1"/>
        </w:rPr>
        <w:t>.4. Sterylizowany papier absorpcyjny, zdolny do pochłaniania stojącej wody (</w:t>
      </w:r>
      <w:r>
        <w:rPr>
          <w:b/>
          <w:color w:val="000000" w:themeColor="text1"/>
        </w:rPr>
        <w:t>np.</w:t>
      </w:r>
      <w:r w:rsidR="00554365" w:rsidRPr="00315844">
        <w:rPr>
          <w:b/>
          <w:color w:val="000000" w:themeColor="text1"/>
        </w:rPr>
        <w:t xml:space="preserve"> wody na podłogach) </w:t>
      </w:r>
    </w:p>
    <w:p w14:paraId="40EF40CE" w14:textId="77777777" w:rsidR="00554365" w:rsidRPr="00315844" w:rsidRDefault="00315844" w:rsidP="00315844">
      <w:pPr>
        <w:autoSpaceDE w:val="0"/>
        <w:autoSpaceDN w:val="0"/>
        <w:adjustRightInd w:val="0"/>
        <w:spacing w:after="0" w:line="240" w:lineRule="auto"/>
        <w:jc w:val="both"/>
        <w:rPr>
          <w:b/>
          <w:color w:val="000000" w:themeColor="text1"/>
        </w:rPr>
      </w:pPr>
      <w:r w:rsidRPr="00315844">
        <w:rPr>
          <w:b/>
          <w:color w:val="000000" w:themeColor="text1"/>
        </w:rPr>
        <w:t>7</w:t>
      </w:r>
      <w:r w:rsidR="00554365" w:rsidRPr="00315844">
        <w:rPr>
          <w:b/>
          <w:color w:val="000000" w:themeColor="text1"/>
        </w:rPr>
        <w:t xml:space="preserve">.5. Mieszalnik do mieszania cieczy w </w:t>
      </w:r>
      <w:r>
        <w:rPr>
          <w:b/>
          <w:color w:val="000000" w:themeColor="text1"/>
        </w:rPr>
        <w:t>probówkach</w:t>
      </w:r>
    </w:p>
    <w:p w14:paraId="3595EDA9" w14:textId="77777777" w:rsidR="00554365" w:rsidRPr="00315844" w:rsidRDefault="00315844" w:rsidP="00315844">
      <w:pPr>
        <w:autoSpaceDE w:val="0"/>
        <w:autoSpaceDN w:val="0"/>
        <w:adjustRightInd w:val="0"/>
        <w:spacing w:after="0" w:line="240" w:lineRule="auto"/>
        <w:jc w:val="both"/>
        <w:rPr>
          <w:rFonts w:ascii="Calibri" w:hAnsi="Calibri" w:cs="Calibri"/>
          <w:b/>
          <w:bCs/>
          <w:color w:val="000000" w:themeColor="text1"/>
          <w:sz w:val="24"/>
          <w:szCs w:val="24"/>
        </w:rPr>
      </w:pPr>
      <w:r w:rsidRPr="00315844">
        <w:rPr>
          <w:b/>
          <w:color w:val="000000" w:themeColor="text1"/>
        </w:rPr>
        <w:t>7</w:t>
      </w:r>
      <w:r w:rsidR="00554365" w:rsidRPr="00315844">
        <w:rPr>
          <w:b/>
          <w:color w:val="000000" w:themeColor="text1"/>
        </w:rPr>
        <w:t>.6. Homogenizator perystaltyczny do przygotowania początkowych zawiesin za pomocą ruchu perystaltycznego</w:t>
      </w:r>
    </w:p>
    <w:p w14:paraId="53CB4988" w14:textId="77777777" w:rsidR="00554365" w:rsidRDefault="00554365" w:rsidP="00554365">
      <w:pPr>
        <w:pStyle w:val="Akapitzlist"/>
        <w:autoSpaceDE w:val="0"/>
        <w:autoSpaceDN w:val="0"/>
        <w:adjustRightInd w:val="0"/>
        <w:spacing w:after="0" w:line="240" w:lineRule="auto"/>
        <w:ind w:left="0"/>
        <w:jc w:val="both"/>
        <w:rPr>
          <w:color w:val="000000" w:themeColor="text1"/>
        </w:rPr>
      </w:pPr>
    </w:p>
    <w:p w14:paraId="38D0B7C7" w14:textId="77777777" w:rsidR="00315844" w:rsidRPr="008F5644" w:rsidRDefault="008F5644" w:rsidP="00315844">
      <w:pPr>
        <w:pStyle w:val="Akapitzlist"/>
        <w:numPr>
          <w:ilvl w:val="0"/>
          <w:numId w:val="1"/>
        </w:numPr>
        <w:autoSpaceDE w:val="0"/>
        <w:autoSpaceDN w:val="0"/>
        <w:adjustRightInd w:val="0"/>
        <w:spacing w:after="0" w:line="240" w:lineRule="auto"/>
        <w:ind w:left="0" w:firstLine="0"/>
        <w:jc w:val="both"/>
        <w:rPr>
          <w:b/>
          <w:color w:val="000000" w:themeColor="text1"/>
        </w:rPr>
      </w:pPr>
      <w:r w:rsidRPr="008F5644">
        <w:rPr>
          <w:b/>
          <w:color w:val="000000" w:themeColor="text1"/>
        </w:rPr>
        <w:t>Obszar poboru próbki</w:t>
      </w:r>
    </w:p>
    <w:p w14:paraId="3A27312C" w14:textId="77777777" w:rsidR="008F5644" w:rsidRDefault="008F5644" w:rsidP="008F5644">
      <w:pPr>
        <w:autoSpaceDE w:val="0"/>
        <w:autoSpaceDN w:val="0"/>
        <w:adjustRightInd w:val="0"/>
        <w:spacing w:after="0" w:line="240" w:lineRule="auto"/>
        <w:jc w:val="both"/>
        <w:rPr>
          <w:color w:val="000000" w:themeColor="text1"/>
        </w:rPr>
      </w:pPr>
      <w:r w:rsidRPr="008F5644">
        <w:rPr>
          <w:color w:val="000000" w:themeColor="text1"/>
        </w:rPr>
        <w:t xml:space="preserve">Całkowity obszar objęty próbą podczas pobierania próbek powinien być jak największy, aby zwiększyć prawdopodobieństwo wykrycia </w:t>
      </w:r>
      <w:r w:rsidRPr="001A6E2C">
        <w:rPr>
          <w:i/>
          <w:color w:val="000000" w:themeColor="text1"/>
        </w:rPr>
        <w:t xml:space="preserve">L. </w:t>
      </w:r>
      <w:proofErr w:type="spellStart"/>
      <w:r w:rsidRPr="001A6E2C">
        <w:rPr>
          <w:i/>
          <w:color w:val="000000" w:themeColor="text1"/>
        </w:rPr>
        <w:t>monocytogenes</w:t>
      </w:r>
      <w:proofErr w:type="spellEnd"/>
      <w:r w:rsidRPr="008F5644">
        <w:rPr>
          <w:color w:val="000000" w:themeColor="text1"/>
        </w:rPr>
        <w:t>. W związku z tym zaleca się pobieranie próbek o powierzchni od 1000 cm</w:t>
      </w:r>
      <w:r w:rsidRPr="00A364A8">
        <w:rPr>
          <w:color w:val="FF0000"/>
          <w:vertAlign w:val="superscript"/>
        </w:rPr>
        <w:t>2</w:t>
      </w:r>
      <w:r w:rsidRPr="008F5644">
        <w:rPr>
          <w:color w:val="000000" w:themeColor="text1"/>
        </w:rPr>
        <w:t xml:space="preserve"> do 3000 cm</w:t>
      </w:r>
      <w:r w:rsidRPr="00A364A8">
        <w:rPr>
          <w:color w:val="FF0000"/>
          <w:vertAlign w:val="superscript"/>
        </w:rPr>
        <w:t>2</w:t>
      </w:r>
      <w:r w:rsidRPr="008F5644">
        <w:rPr>
          <w:color w:val="000000" w:themeColor="text1"/>
        </w:rPr>
        <w:t xml:space="preserve"> (to jest od 0,1 m</w:t>
      </w:r>
      <w:r w:rsidRPr="00783E3A">
        <w:rPr>
          <w:color w:val="FF0000"/>
          <w:vertAlign w:val="superscript"/>
        </w:rPr>
        <w:t>2</w:t>
      </w:r>
      <w:r w:rsidRPr="008F5644">
        <w:rPr>
          <w:color w:val="000000" w:themeColor="text1"/>
        </w:rPr>
        <w:t xml:space="preserve"> do 0,3 m</w:t>
      </w:r>
      <w:r w:rsidRPr="00A364A8">
        <w:rPr>
          <w:color w:val="FF0000"/>
          <w:vertAlign w:val="superscript"/>
        </w:rPr>
        <w:t>2</w:t>
      </w:r>
      <w:r w:rsidRPr="008F5644">
        <w:rPr>
          <w:color w:val="000000" w:themeColor="text1"/>
        </w:rPr>
        <w:t>), o ile to możliwe, to znaczy gdy obszary są otwarte i płaskie (prz</w:t>
      </w:r>
      <w:r>
        <w:rPr>
          <w:color w:val="000000" w:themeColor="text1"/>
        </w:rPr>
        <w:t>enośniki, półki itp.).</w:t>
      </w:r>
    </w:p>
    <w:p w14:paraId="0C9643B2" w14:textId="77777777" w:rsidR="008F5644" w:rsidRDefault="008F5644" w:rsidP="008F5644">
      <w:pPr>
        <w:autoSpaceDE w:val="0"/>
        <w:autoSpaceDN w:val="0"/>
        <w:adjustRightInd w:val="0"/>
        <w:spacing w:after="0" w:line="240" w:lineRule="auto"/>
        <w:jc w:val="both"/>
        <w:rPr>
          <w:color w:val="000000" w:themeColor="text1"/>
        </w:rPr>
      </w:pPr>
      <w:r w:rsidRPr="008F5644">
        <w:rPr>
          <w:color w:val="000000" w:themeColor="text1"/>
        </w:rPr>
        <w:t>Do wymazania trudnodostępnych małych obszarów (np. w</w:t>
      </w:r>
      <w:r>
        <w:rPr>
          <w:color w:val="000000" w:themeColor="text1"/>
        </w:rPr>
        <w:t>nętrza</w:t>
      </w:r>
      <w:r w:rsidRPr="008F5644">
        <w:rPr>
          <w:color w:val="000000" w:themeColor="text1"/>
        </w:rPr>
        <w:t xml:space="preserve"> pustych wałków, obudowy silnika) należy użyć patyczka do wymazów</w:t>
      </w:r>
      <w:r>
        <w:rPr>
          <w:color w:val="000000" w:themeColor="text1"/>
        </w:rPr>
        <w:t>.</w:t>
      </w:r>
    </w:p>
    <w:p w14:paraId="7BAFCDEA" w14:textId="77777777" w:rsidR="008F5644" w:rsidRDefault="008F5644" w:rsidP="008F5644">
      <w:pPr>
        <w:autoSpaceDE w:val="0"/>
        <w:autoSpaceDN w:val="0"/>
        <w:adjustRightInd w:val="0"/>
        <w:spacing w:after="0" w:line="240" w:lineRule="auto"/>
        <w:jc w:val="both"/>
        <w:rPr>
          <w:color w:val="000000" w:themeColor="text1"/>
        </w:rPr>
      </w:pPr>
      <w:r w:rsidRPr="008F5644">
        <w:rPr>
          <w:color w:val="000000" w:themeColor="text1"/>
        </w:rPr>
        <w:t>Do badania dużych powierzchni należy użyć gąbki, tkane</w:t>
      </w:r>
      <w:r>
        <w:rPr>
          <w:color w:val="000000" w:themeColor="text1"/>
        </w:rPr>
        <w:t>j</w:t>
      </w:r>
      <w:r w:rsidRPr="008F5644">
        <w:rPr>
          <w:color w:val="000000" w:themeColor="text1"/>
        </w:rPr>
        <w:t xml:space="preserve"> lub</w:t>
      </w:r>
      <w:r>
        <w:rPr>
          <w:color w:val="000000" w:themeColor="text1"/>
        </w:rPr>
        <w:t xml:space="preserve"> nietkanej</w:t>
      </w:r>
      <w:r w:rsidRPr="008F5644">
        <w:rPr>
          <w:color w:val="000000" w:themeColor="text1"/>
        </w:rPr>
        <w:t xml:space="preserve"> </w:t>
      </w:r>
      <w:r>
        <w:rPr>
          <w:color w:val="000000" w:themeColor="text1"/>
        </w:rPr>
        <w:t>ściereczki</w:t>
      </w:r>
      <w:r w:rsidRPr="008F5644">
        <w:rPr>
          <w:color w:val="000000" w:themeColor="text1"/>
        </w:rPr>
        <w:t xml:space="preserve"> lub gazy. W przeciwieństwie do patyczków wymazowych można je bardziej energicznie potrzeć na powierzchniach i są bardzo chłonne. Nie zaleca się stosowania szablonów lub linijek miarowych, mogą przenosić zanieczyszczenia i / lub ich dezynfekcja może zakłócać </w:t>
      </w:r>
      <w:r>
        <w:rPr>
          <w:color w:val="000000" w:themeColor="text1"/>
        </w:rPr>
        <w:t>badanie</w:t>
      </w:r>
      <w:r w:rsidRPr="008F5644">
        <w:rPr>
          <w:color w:val="000000" w:themeColor="text1"/>
        </w:rPr>
        <w:t>, jednak wielkość obszaru pobierani</w:t>
      </w:r>
      <w:r>
        <w:rPr>
          <w:color w:val="000000" w:themeColor="text1"/>
        </w:rPr>
        <w:t>a</w:t>
      </w:r>
      <w:r w:rsidRPr="008F5644">
        <w:rPr>
          <w:color w:val="000000" w:themeColor="text1"/>
        </w:rPr>
        <w:t xml:space="preserve"> próbki powinna być znana w przybliżeniu. W tym celu </w:t>
      </w:r>
      <w:proofErr w:type="spellStart"/>
      <w:r w:rsidRPr="008F5644">
        <w:rPr>
          <w:color w:val="000000" w:themeColor="text1"/>
        </w:rPr>
        <w:t>próbkobiorca</w:t>
      </w:r>
      <w:proofErr w:type="spellEnd"/>
      <w:r w:rsidRPr="008F5644">
        <w:rPr>
          <w:color w:val="000000" w:themeColor="text1"/>
        </w:rPr>
        <w:t xml:space="preserve"> </w:t>
      </w:r>
      <w:r w:rsidR="000E35EA">
        <w:rPr>
          <w:color w:val="000000" w:themeColor="text1"/>
        </w:rPr>
        <w:t>powinien</w:t>
      </w:r>
      <w:r w:rsidRPr="008F5644">
        <w:rPr>
          <w:color w:val="000000" w:themeColor="text1"/>
        </w:rPr>
        <w:t xml:space="preserve"> pamiętać, że długość przedramienia, od czubka palca środkowego do łokcia, wynosi około 45 cm. Podobnie, gdy palce są rozłożone, odległość między czubkami kciuka a małego palca (</w:t>
      </w:r>
      <w:r>
        <w:rPr>
          <w:color w:val="000000" w:themeColor="text1"/>
        </w:rPr>
        <w:t>rozpiętość) wynosi około 20 cm.</w:t>
      </w:r>
    </w:p>
    <w:p w14:paraId="227B8A70" w14:textId="77777777" w:rsidR="008F5644" w:rsidRPr="008F5644" w:rsidRDefault="008F5644" w:rsidP="008F5644">
      <w:pPr>
        <w:autoSpaceDE w:val="0"/>
        <w:autoSpaceDN w:val="0"/>
        <w:adjustRightInd w:val="0"/>
        <w:spacing w:after="0" w:line="240" w:lineRule="auto"/>
        <w:jc w:val="both"/>
        <w:rPr>
          <w:color w:val="000000" w:themeColor="text1"/>
        </w:rPr>
      </w:pPr>
      <w:r w:rsidRPr="008F5644">
        <w:rPr>
          <w:color w:val="000000" w:themeColor="text1"/>
        </w:rPr>
        <w:t>Rozmiar obszaru objętego próbą powinien być stały, aby tendencje mogły być monitorowane w czasie.</w:t>
      </w:r>
    </w:p>
    <w:p w14:paraId="787AAB0C" w14:textId="77777777" w:rsidR="001B435F" w:rsidRPr="009E0113" w:rsidRDefault="001B435F" w:rsidP="001B435F">
      <w:pPr>
        <w:pStyle w:val="Akapitzlist"/>
        <w:autoSpaceDE w:val="0"/>
        <w:autoSpaceDN w:val="0"/>
        <w:adjustRightInd w:val="0"/>
        <w:spacing w:after="0" w:line="240" w:lineRule="auto"/>
        <w:ind w:left="0"/>
        <w:jc w:val="both"/>
        <w:rPr>
          <w:b/>
          <w:color w:val="000000" w:themeColor="text1"/>
        </w:rPr>
      </w:pPr>
    </w:p>
    <w:p w14:paraId="1500ECB0" w14:textId="77777777" w:rsidR="000E35EA" w:rsidRPr="009E0113" w:rsidRDefault="000E35EA" w:rsidP="000E35EA">
      <w:pPr>
        <w:pStyle w:val="Akapitzlist"/>
        <w:numPr>
          <w:ilvl w:val="0"/>
          <w:numId w:val="1"/>
        </w:numPr>
        <w:autoSpaceDE w:val="0"/>
        <w:autoSpaceDN w:val="0"/>
        <w:adjustRightInd w:val="0"/>
        <w:spacing w:after="0" w:line="240" w:lineRule="auto"/>
        <w:ind w:left="0" w:firstLine="0"/>
        <w:jc w:val="both"/>
        <w:rPr>
          <w:b/>
          <w:color w:val="000000" w:themeColor="text1"/>
        </w:rPr>
      </w:pPr>
      <w:r w:rsidRPr="009E0113">
        <w:rPr>
          <w:b/>
          <w:color w:val="000000" w:themeColor="text1"/>
        </w:rPr>
        <w:t>Przygotowanie narzędzi do pobierania próbek</w:t>
      </w:r>
    </w:p>
    <w:p w14:paraId="5F84E331" w14:textId="77777777" w:rsidR="000E35EA" w:rsidRPr="000E35EA" w:rsidRDefault="000E35EA" w:rsidP="000E35EA">
      <w:pPr>
        <w:autoSpaceDE w:val="0"/>
        <w:autoSpaceDN w:val="0"/>
        <w:adjustRightInd w:val="0"/>
        <w:spacing w:after="0" w:line="240" w:lineRule="auto"/>
        <w:jc w:val="both"/>
        <w:rPr>
          <w:color w:val="000000" w:themeColor="text1"/>
        </w:rPr>
      </w:pPr>
      <w:r w:rsidRPr="000E35EA">
        <w:rPr>
          <w:color w:val="000000" w:themeColor="text1"/>
        </w:rPr>
        <w:t>Żaden sprzęt znajdujący się w laboratorium mikrobiologicznym nie powinien być wprowadzany do obszaru produkcji żywności ze względu na ryzyko wprowadzenia zanieczyszczeń.</w:t>
      </w:r>
    </w:p>
    <w:p w14:paraId="080CC50B" w14:textId="77777777" w:rsidR="000E35EA" w:rsidRPr="000E35EA" w:rsidRDefault="000E35EA" w:rsidP="000E35EA">
      <w:pPr>
        <w:autoSpaceDE w:val="0"/>
        <w:autoSpaceDN w:val="0"/>
        <w:adjustRightInd w:val="0"/>
        <w:spacing w:after="0" w:line="240" w:lineRule="auto"/>
        <w:jc w:val="both"/>
        <w:rPr>
          <w:color w:val="000000" w:themeColor="text1"/>
        </w:rPr>
      </w:pPr>
      <w:r w:rsidRPr="000E35EA">
        <w:rPr>
          <w:color w:val="000000" w:themeColor="text1"/>
        </w:rPr>
        <w:t>Narzędzia do pobierania próbek i odzież ochronna powinny być przechowywan</w:t>
      </w:r>
      <w:r>
        <w:rPr>
          <w:color w:val="000000" w:themeColor="text1"/>
        </w:rPr>
        <w:t>e</w:t>
      </w:r>
      <w:r w:rsidRPr="000E35EA">
        <w:rPr>
          <w:color w:val="000000" w:themeColor="text1"/>
        </w:rPr>
        <w:t xml:space="preserve"> i </w:t>
      </w:r>
      <w:r w:rsidR="0077117C">
        <w:rPr>
          <w:color w:val="000000" w:themeColor="text1"/>
        </w:rPr>
        <w:t>używane</w:t>
      </w:r>
      <w:r w:rsidRPr="000E35EA">
        <w:rPr>
          <w:color w:val="000000" w:themeColor="text1"/>
        </w:rPr>
        <w:t xml:space="preserve"> </w:t>
      </w:r>
      <w:r w:rsidR="0077117C">
        <w:rPr>
          <w:color w:val="000000" w:themeColor="text1"/>
        </w:rPr>
        <w:t xml:space="preserve">w </w:t>
      </w:r>
      <w:r w:rsidRPr="000E35EA">
        <w:rPr>
          <w:color w:val="000000" w:themeColor="text1"/>
        </w:rPr>
        <w:t>oddziel</w:t>
      </w:r>
      <w:r w:rsidR="0077117C">
        <w:rPr>
          <w:color w:val="000000" w:themeColor="text1"/>
        </w:rPr>
        <w:t>eniu</w:t>
      </w:r>
      <w:r w:rsidRPr="000E35EA">
        <w:rPr>
          <w:color w:val="000000" w:themeColor="text1"/>
        </w:rPr>
        <w:t xml:space="preserve"> od działań laboratoryjnych, w szczególności odseparowane od pomieszczeń laboratoryjnych zajmujących się analizą patogenu.</w:t>
      </w:r>
    </w:p>
    <w:p w14:paraId="6CEFDC3C" w14:textId="77777777" w:rsidR="008F5644" w:rsidRDefault="000E35EA" w:rsidP="000E35EA">
      <w:pPr>
        <w:autoSpaceDE w:val="0"/>
        <w:autoSpaceDN w:val="0"/>
        <w:adjustRightInd w:val="0"/>
        <w:spacing w:after="0" w:line="240" w:lineRule="auto"/>
        <w:jc w:val="both"/>
        <w:rPr>
          <w:color w:val="000000" w:themeColor="text1"/>
        </w:rPr>
      </w:pPr>
      <w:proofErr w:type="spellStart"/>
      <w:r w:rsidRPr="000E35EA">
        <w:rPr>
          <w:color w:val="000000" w:themeColor="text1"/>
        </w:rPr>
        <w:t>Próbkobiorcy</w:t>
      </w:r>
      <w:proofErr w:type="spellEnd"/>
      <w:r w:rsidRPr="000E35EA">
        <w:rPr>
          <w:color w:val="000000" w:themeColor="text1"/>
        </w:rPr>
        <w:t xml:space="preserve"> powinni upewnić się, że żaden przedmiot wykorzystywany do pobierania próbek nie pozostaje </w:t>
      </w:r>
      <w:r w:rsidR="008D14B7">
        <w:rPr>
          <w:color w:val="000000" w:themeColor="text1"/>
        </w:rPr>
        <w:t>w</w:t>
      </w:r>
      <w:r w:rsidRPr="000E35EA">
        <w:rPr>
          <w:color w:val="000000" w:themeColor="text1"/>
        </w:rPr>
        <w:t xml:space="preserve"> obszarze produkcji. W tym celu zaleca się zliczanie tych elementów przed i po pobraniu próbek.</w:t>
      </w:r>
    </w:p>
    <w:p w14:paraId="48E0CE33" w14:textId="77777777" w:rsidR="00152D59" w:rsidRDefault="00152D59" w:rsidP="000E35EA">
      <w:pPr>
        <w:autoSpaceDE w:val="0"/>
        <w:autoSpaceDN w:val="0"/>
        <w:adjustRightInd w:val="0"/>
        <w:spacing w:after="0" w:line="240" w:lineRule="auto"/>
        <w:jc w:val="both"/>
        <w:rPr>
          <w:color w:val="000000" w:themeColor="text1"/>
        </w:rPr>
      </w:pPr>
    </w:p>
    <w:p w14:paraId="735363A6" w14:textId="77777777" w:rsidR="00F31C97" w:rsidRDefault="00F31C97" w:rsidP="00F31C97">
      <w:pPr>
        <w:autoSpaceDE w:val="0"/>
        <w:autoSpaceDN w:val="0"/>
        <w:adjustRightInd w:val="0"/>
        <w:spacing w:after="0" w:line="240" w:lineRule="auto"/>
        <w:jc w:val="both"/>
        <w:rPr>
          <w:color w:val="000000" w:themeColor="text1"/>
        </w:rPr>
      </w:pPr>
      <w:r>
        <w:rPr>
          <w:color w:val="000000" w:themeColor="text1"/>
        </w:rPr>
        <w:t>9.1</w:t>
      </w:r>
      <w:r w:rsidRPr="00050A97">
        <w:rPr>
          <w:color w:val="000000" w:themeColor="text1"/>
        </w:rPr>
        <w:t xml:space="preserve"> Patyczki wymazowe</w:t>
      </w:r>
    </w:p>
    <w:p w14:paraId="6122D170" w14:textId="77777777" w:rsidR="00F31C97" w:rsidRDefault="00F31C97" w:rsidP="00F31C97">
      <w:pPr>
        <w:autoSpaceDE w:val="0"/>
        <w:autoSpaceDN w:val="0"/>
        <w:adjustRightInd w:val="0"/>
        <w:spacing w:after="0" w:line="240" w:lineRule="auto"/>
        <w:jc w:val="both"/>
        <w:rPr>
          <w:color w:val="000000" w:themeColor="text1"/>
        </w:rPr>
      </w:pPr>
      <w:r w:rsidRPr="00050A97">
        <w:rPr>
          <w:color w:val="000000" w:themeColor="text1"/>
        </w:rPr>
        <w:t xml:space="preserve">Patyczek wymazowy może być używany na sucho lub zwilżony. W przypadku, gdy powierzchnia do pobrania próbki jest mokra, należy użyć suchego patyczka, a w przypadku, gdy obszar do badania jest suchy, należy użyć zwilżonego patyczka. W przypadku, gdy pobieranie próbek musi odbywać się w wilgotnym lub suchym miejscu, gdzie spodziewane są pozostałości środków dezynfekcyjnych (które często występują w trudno dostępnych miejscach), wymaz należy zwilżyć rozcieńczalnikiem neutralizującym </w:t>
      </w:r>
      <w:r>
        <w:rPr>
          <w:color w:val="000000" w:themeColor="text1"/>
        </w:rPr>
        <w:t>(5</w:t>
      </w:r>
      <w:r w:rsidRPr="00050A97">
        <w:rPr>
          <w:color w:val="000000" w:themeColor="text1"/>
        </w:rPr>
        <w:t>.2).</w:t>
      </w:r>
    </w:p>
    <w:p w14:paraId="0FC99287" w14:textId="77777777" w:rsidR="00F31C97" w:rsidRPr="00050A97" w:rsidRDefault="00F31C97" w:rsidP="00F31C97">
      <w:pPr>
        <w:autoSpaceDE w:val="0"/>
        <w:autoSpaceDN w:val="0"/>
        <w:adjustRightInd w:val="0"/>
        <w:spacing w:after="0" w:line="240" w:lineRule="auto"/>
        <w:jc w:val="both"/>
        <w:rPr>
          <w:color w:val="000000" w:themeColor="text1"/>
        </w:rPr>
      </w:pPr>
      <w:r w:rsidRPr="00050A97">
        <w:rPr>
          <w:color w:val="000000" w:themeColor="text1"/>
        </w:rPr>
        <w:t>Nawilżone patyczki można przygotować aseptycznie w laboratorium przed rozpoczęciem pobierania próbek. Końcówka patyczka powinna lekko dotkną</w:t>
      </w:r>
      <w:r>
        <w:rPr>
          <w:color w:val="000000" w:themeColor="text1"/>
        </w:rPr>
        <w:t>ć powierzchni rozcieńczalnika (5.1 lub 5</w:t>
      </w:r>
      <w:r w:rsidRPr="00050A97">
        <w:rPr>
          <w:color w:val="000000" w:themeColor="text1"/>
        </w:rPr>
        <w:t xml:space="preserve">.2), tak aby </w:t>
      </w:r>
      <w:r w:rsidRPr="00050A97">
        <w:rPr>
          <w:color w:val="000000" w:themeColor="text1"/>
        </w:rPr>
        <w:lastRenderedPageBreak/>
        <w:t xml:space="preserve">z patyczka nie skapywało. Następnie należy włożyć patyczek do </w:t>
      </w:r>
      <w:r>
        <w:rPr>
          <w:color w:val="000000" w:themeColor="text1"/>
        </w:rPr>
        <w:t>probówki</w:t>
      </w:r>
      <w:r w:rsidRPr="00050A97">
        <w:rPr>
          <w:color w:val="000000" w:themeColor="text1"/>
        </w:rPr>
        <w:t xml:space="preserve"> zabezpieczającej aby utrzymać zarówno sterylność, jak i wilgotność. </w:t>
      </w:r>
    </w:p>
    <w:p w14:paraId="4306FA8B" w14:textId="77777777" w:rsidR="00A004D8" w:rsidRDefault="00A004D8" w:rsidP="00F31C97">
      <w:pPr>
        <w:autoSpaceDE w:val="0"/>
        <w:autoSpaceDN w:val="0"/>
        <w:adjustRightInd w:val="0"/>
        <w:spacing w:after="0" w:line="240" w:lineRule="auto"/>
        <w:jc w:val="both"/>
        <w:rPr>
          <w:color w:val="000000" w:themeColor="text1"/>
        </w:rPr>
      </w:pPr>
    </w:p>
    <w:p w14:paraId="7DC6747E" w14:textId="77777777" w:rsidR="001B435F" w:rsidRDefault="001B435F" w:rsidP="00F31C97">
      <w:pPr>
        <w:autoSpaceDE w:val="0"/>
        <w:autoSpaceDN w:val="0"/>
        <w:adjustRightInd w:val="0"/>
        <w:spacing w:after="0" w:line="240" w:lineRule="auto"/>
        <w:jc w:val="both"/>
        <w:rPr>
          <w:color w:val="000000" w:themeColor="text1"/>
        </w:rPr>
      </w:pPr>
      <w:r>
        <w:rPr>
          <w:color w:val="000000" w:themeColor="text1"/>
        </w:rPr>
        <w:t>9</w:t>
      </w:r>
      <w:r w:rsidR="00F31C97" w:rsidRPr="00050A97">
        <w:rPr>
          <w:color w:val="000000" w:themeColor="text1"/>
        </w:rPr>
        <w:t>.2 Gąbka, tkan</w:t>
      </w:r>
      <w:r>
        <w:rPr>
          <w:color w:val="000000" w:themeColor="text1"/>
        </w:rPr>
        <w:t>a</w:t>
      </w:r>
      <w:r w:rsidR="00F31C97" w:rsidRPr="00050A97">
        <w:rPr>
          <w:color w:val="000000" w:themeColor="text1"/>
        </w:rPr>
        <w:t xml:space="preserve"> lu</w:t>
      </w:r>
      <w:r>
        <w:rPr>
          <w:color w:val="000000" w:themeColor="text1"/>
        </w:rPr>
        <w:t>b nietkana ściereczka lub gaziki</w:t>
      </w:r>
    </w:p>
    <w:p w14:paraId="41700959" w14:textId="77777777" w:rsidR="001B435F" w:rsidRDefault="00F31C97" w:rsidP="00F31C97">
      <w:pPr>
        <w:autoSpaceDE w:val="0"/>
        <w:autoSpaceDN w:val="0"/>
        <w:adjustRightInd w:val="0"/>
        <w:spacing w:after="0" w:line="240" w:lineRule="auto"/>
        <w:jc w:val="both"/>
        <w:rPr>
          <w:color w:val="000000" w:themeColor="text1"/>
        </w:rPr>
      </w:pPr>
      <w:r w:rsidRPr="00050A97">
        <w:rPr>
          <w:color w:val="000000" w:themeColor="text1"/>
        </w:rPr>
        <w:t>Przed rozpoczęciem pobierania próbek zwilżone narzędzie do pobrania próbki można przygotować w laboratorium za pomocą odpowiedniej i odnotowanej objętości wysterylizowanego rozcieńczalnika (</w:t>
      </w:r>
      <w:r w:rsidR="001B435F">
        <w:rPr>
          <w:color w:val="000000" w:themeColor="text1"/>
        </w:rPr>
        <w:t>5.1 lub 5</w:t>
      </w:r>
      <w:r w:rsidRPr="00050A97">
        <w:rPr>
          <w:color w:val="000000" w:themeColor="text1"/>
        </w:rPr>
        <w:t>.2), tak aby nie ściekały. Po zwilżeniu narzędzia zamknij plastikową torebkę w sposób zapewniający stery</w:t>
      </w:r>
      <w:r w:rsidR="001B435F">
        <w:rPr>
          <w:color w:val="000000" w:themeColor="text1"/>
        </w:rPr>
        <w:t>lność i utrzymanie wilgotności.</w:t>
      </w:r>
    </w:p>
    <w:p w14:paraId="022373AD" w14:textId="77777777" w:rsidR="00F31C97" w:rsidRPr="00050A97" w:rsidRDefault="00F31C97" w:rsidP="00F31C97">
      <w:pPr>
        <w:autoSpaceDE w:val="0"/>
        <w:autoSpaceDN w:val="0"/>
        <w:adjustRightInd w:val="0"/>
        <w:spacing w:after="0" w:line="240" w:lineRule="auto"/>
        <w:jc w:val="both"/>
        <w:rPr>
          <w:color w:val="000000" w:themeColor="text1"/>
        </w:rPr>
      </w:pPr>
      <w:r w:rsidRPr="00050A97">
        <w:rPr>
          <w:color w:val="000000" w:themeColor="text1"/>
        </w:rPr>
        <w:t>Jeśli zwilżanie narzędzi do pobierania próbek odbywa się w obszarze przetwarzania, rozcieńczalnik nie powinien być przechowywany w szklanej butelce.</w:t>
      </w:r>
    </w:p>
    <w:p w14:paraId="25196D3F" w14:textId="77777777" w:rsidR="00152D59" w:rsidRDefault="00152D59" w:rsidP="00F31C97">
      <w:pPr>
        <w:pStyle w:val="Akapitzlist"/>
        <w:autoSpaceDE w:val="0"/>
        <w:autoSpaceDN w:val="0"/>
        <w:adjustRightInd w:val="0"/>
        <w:spacing w:after="0" w:line="240" w:lineRule="auto"/>
        <w:ind w:left="0"/>
        <w:jc w:val="both"/>
        <w:rPr>
          <w:color w:val="000000" w:themeColor="text1"/>
        </w:rPr>
      </w:pPr>
    </w:p>
    <w:p w14:paraId="5B80C29C" w14:textId="77777777" w:rsidR="001B435F" w:rsidRPr="00C44EED" w:rsidRDefault="001B435F" w:rsidP="001B435F">
      <w:pPr>
        <w:pStyle w:val="Akapitzlist"/>
        <w:numPr>
          <w:ilvl w:val="0"/>
          <w:numId w:val="1"/>
        </w:numPr>
        <w:autoSpaceDE w:val="0"/>
        <w:autoSpaceDN w:val="0"/>
        <w:adjustRightInd w:val="0"/>
        <w:spacing w:after="0" w:line="240" w:lineRule="auto"/>
        <w:ind w:left="0" w:firstLine="0"/>
        <w:rPr>
          <w:b/>
          <w:color w:val="000000" w:themeColor="text1"/>
        </w:rPr>
      </w:pPr>
      <w:r w:rsidRPr="00C44EED">
        <w:rPr>
          <w:b/>
          <w:color w:val="000000" w:themeColor="text1"/>
        </w:rPr>
        <w:t>Pobieranie próbek</w:t>
      </w:r>
    </w:p>
    <w:p w14:paraId="75B6B867" w14:textId="77777777" w:rsidR="001B435F" w:rsidRDefault="001B435F" w:rsidP="001B435F">
      <w:pPr>
        <w:autoSpaceDE w:val="0"/>
        <w:autoSpaceDN w:val="0"/>
        <w:adjustRightInd w:val="0"/>
        <w:spacing w:after="0" w:line="240" w:lineRule="auto"/>
        <w:jc w:val="both"/>
        <w:rPr>
          <w:rFonts w:ascii="Calibri" w:hAnsi="Calibri" w:cs="Calibri"/>
          <w:color w:val="000000" w:themeColor="text1"/>
        </w:rPr>
      </w:pPr>
      <w:r w:rsidRPr="00050A97">
        <w:rPr>
          <w:color w:val="000000" w:themeColor="text1"/>
        </w:rPr>
        <w:t>1</w:t>
      </w:r>
      <w:r w:rsidR="0098260B">
        <w:rPr>
          <w:color w:val="000000" w:themeColor="text1"/>
        </w:rPr>
        <w:t>0</w:t>
      </w:r>
      <w:r w:rsidRPr="00050A97">
        <w:rPr>
          <w:color w:val="000000" w:themeColor="text1"/>
        </w:rPr>
        <w:t xml:space="preserve">.1 </w:t>
      </w:r>
      <w:r w:rsidRPr="00050A97">
        <w:rPr>
          <w:rFonts w:ascii="Calibri" w:hAnsi="Calibri" w:cs="Calibri"/>
          <w:color w:val="000000" w:themeColor="text1"/>
        </w:rPr>
        <w:t>Metoda z patyczkiem wymazowym</w:t>
      </w:r>
    </w:p>
    <w:p w14:paraId="7DCD5089" w14:textId="77777777" w:rsidR="001B435F" w:rsidRDefault="001B435F" w:rsidP="001B435F">
      <w:pPr>
        <w:autoSpaceDE w:val="0"/>
        <w:autoSpaceDN w:val="0"/>
        <w:adjustRightInd w:val="0"/>
        <w:spacing w:after="0" w:line="240" w:lineRule="auto"/>
        <w:jc w:val="both"/>
        <w:rPr>
          <w:color w:val="000000" w:themeColor="text1"/>
        </w:rPr>
      </w:pPr>
      <w:r w:rsidRPr="00050A97">
        <w:rPr>
          <w:color w:val="000000" w:themeColor="text1"/>
        </w:rPr>
        <w:t>Wyjmij patyczek z tuby, potrzyj energicznie, na tyle aby nie uległ uszkodzeniu i obróć wewnątrz urządzenia lub w innym trudnodostępnym obszarze, z którego pobierane są próbki.</w:t>
      </w:r>
      <w:r>
        <w:rPr>
          <w:color w:val="000000" w:themeColor="text1"/>
        </w:rPr>
        <w:t xml:space="preserve"> </w:t>
      </w:r>
      <w:r w:rsidRPr="00050A97">
        <w:rPr>
          <w:color w:val="000000" w:themeColor="text1"/>
        </w:rPr>
        <w:t xml:space="preserve">Umieścić patyczek w oryginalnej </w:t>
      </w:r>
      <w:r>
        <w:rPr>
          <w:color w:val="000000" w:themeColor="text1"/>
        </w:rPr>
        <w:t>probówce</w:t>
      </w:r>
      <w:r w:rsidRPr="00050A97">
        <w:rPr>
          <w:color w:val="000000" w:themeColor="text1"/>
        </w:rPr>
        <w:t>; zamknij, aby wymaz był chroniony przed zanieczyszczeniem, a jego koniec pozostał nadal wilgotny w czasie</w:t>
      </w:r>
      <w:r>
        <w:rPr>
          <w:color w:val="000000" w:themeColor="text1"/>
        </w:rPr>
        <w:t xml:space="preserve"> analizy.</w:t>
      </w:r>
    </w:p>
    <w:p w14:paraId="48978132" w14:textId="77777777" w:rsidR="001B435F" w:rsidRDefault="001B435F" w:rsidP="001B435F">
      <w:pPr>
        <w:autoSpaceDE w:val="0"/>
        <w:autoSpaceDN w:val="0"/>
        <w:adjustRightInd w:val="0"/>
        <w:spacing w:after="0" w:line="240" w:lineRule="auto"/>
        <w:jc w:val="both"/>
        <w:rPr>
          <w:color w:val="000000" w:themeColor="text1"/>
        </w:rPr>
      </w:pPr>
      <w:r w:rsidRPr="00050A97">
        <w:rPr>
          <w:color w:val="000000" w:themeColor="text1"/>
        </w:rPr>
        <w:t>Po pobraniu próbki, obszar z którego pobrano próbkę powinien zostać wytarty ściereczką z alkoholem.</w:t>
      </w:r>
    </w:p>
    <w:p w14:paraId="77442484" w14:textId="77777777" w:rsidR="0098260B" w:rsidRDefault="0098260B" w:rsidP="001B435F">
      <w:pPr>
        <w:autoSpaceDE w:val="0"/>
        <w:autoSpaceDN w:val="0"/>
        <w:adjustRightInd w:val="0"/>
        <w:spacing w:after="0" w:line="240" w:lineRule="auto"/>
        <w:jc w:val="both"/>
        <w:rPr>
          <w:color w:val="000000" w:themeColor="text1"/>
        </w:rPr>
      </w:pPr>
    </w:p>
    <w:p w14:paraId="0C39D57E" w14:textId="77777777" w:rsidR="001B435F" w:rsidRPr="00050A97" w:rsidRDefault="0098260B" w:rsidP="001B435F">
      <w:pPr>
        <w:autoSpaceDE w:val="0"/>
        <w:autoSpaceDN w:val="0"/>
        <w:adjustRightInd w:val="0"/>
        <w:spacing w:after="0" w:line="240" w:lineRule="auto"/>
        <w:jc w:val="both"/>
        <w:rPr>
          <w:color w:val="000000" w:themeColor="text1"/>
        </w:rPr>
      </w:pPr>
      <w:r>
        <w:rPr>
          <w:color w:val="000000" w:themeColor="text1"/>
        </w:rPr>
        <w:t>10</w:t>
      </w:r>
      <w:r w:rsidR="001B435F" w:rsidRPr="00050A97">
        <w:rPr>
          <w:color w:val="000000" w:themeColor="text1"/>
        </w:rPr>
        <w:t xml:space="preserve">.2 Metoda z gąbką / materiałem / gazikiem </w:t>
      </w:r>
    </w:p>
    <w:p w14:paraId="21BFE7DD" w14:textId="77777777" w:rsidR="001B435F" w:rsidRPr="00050A97" w:rsidRDefault="001B435F" w:rsidP="001B435F">
      <w:pPr>
        <w:autoSpaceDE w:val="0"/>
        <w:autoSpaceDN w:val="0"/>
        <w:adjustRightInd w:val="0"/>
        <w:spacing w:after="0" w:line="240" w:lineRule="auto"/>
        <w:jc w:val="both"/>
        <w:rPr>
          <w:color w:val="000000" w:themeColor="text1"/>
        </w:rPr>
      </w:pPr>
      <w:r w:rsidRPr="00050A97">
        <w:rPr>
          <w:color w:val="000000" w:themeColor="text1"/>
        </w:rPr>
        <w:t>W przypadku, gdy obszar, który ma być pobrany, jest zbyt mokry (tj. woda na podłodze), nadmiar płynu należy najpierw usunąć delikatnie z zastosowaniem sterylnego papieru chłonnego</w:t>
      </w:r>
      <w:r>
        <w:rPr>
          <w:color w:val="000000" w:themeColor="text1"/>
        </w:rPr>
        <w:t xml:space="preserve">. </w:t>
      </w:r>
      <w:r w:rsidRPr="00050A97">
        <w:rPr>
          <w:color w:val="000000" w:themeColor="text1"/>
        </w:rPr>
        <w:t>Otwórz plastikową torebkę zawierającą narzędzie do wymazu. Wyjmij aseptycznie narzędzie do wymazu za pomocą dłoni w sterylnej rękawiczce. Alternatywnie, narzędzie może zostać uchwycone przez plastikową torebkę z jednoczesnym naciągnięciem zewnętrznej strony torebki na dłoń</w:t>
      </w:r>
      <w:r>
        <w:rPr>
          <w:color w:val="000000" w:themeColor="text1"/>
        </w:rPr>
        <w:t xml:space="preserve">. </w:t>
      </w:r>
      <w:r w:rsidRPr="00050A97">
        <w:rPr>
          <w:color w:val="000000" w:themeColor="text1"/>
        </w:rPr>
        <w:t>Wytrzyj energicznie ruchem „zygzaka” całą wybraną powierzchnię w dwóch prostopadłych kierunkach, zmieniając powierzchnię narzędzia do wymazu. Odłóż narzędzie do wymazu do plastikowej torebki i zamknij, aby chronić je przed zanieczyszczeniem i aby pozostało wilgotne w czasie analizy.</w:t>
      </w:r>
    </w:p>
    <w:p w14:paraId="5A2EDFC0" w14:textId="77777777" w:rsidR="001B435F" w:rsidRDefault="001B435F" w:rsidP="001B435F">
      <w:pPr>
        <w:autoSpaceDE w:val="0"/>
        <w:autoSpaceDN w:val="0"/>
        <w:adjustRightInd w:val="0"/>
        <w:spacing w:after="0" w:line="240" w:lineRule="auto"/>
        <w:jc w:val="both"/>
        <w:rPr>
          <w:color w:val="000000" w:themeColor="text1"/>
        </w:rPr>
      </w:pPr>
      <w:r w:rsidRPr="00050A97">
        <w:rPr>
          <w:color w:val="000000" w:themeColor="text1"/>
        </w:rPr>
        <w:t>Po pobraniu próbki, obszar z którego pobrano próbkę powinien zostać wytarty ściereczką z alkoholem.</w:t>
      </w:r>
    </w:p>
    <w:p w14:paraId="534ABA1E" w14:textId="77777777" w:rsidR="00C44EED" w:rsidRDefault="00C44EED" w:rsidP="001B435F">
      <w:pPr>
        <w:autoSpaceDE w:val="0"/>
        <w:autoSpaceDN w:val="0"/>
        <w:adjustRightInd w:val="0"/>
        <w:spacing w:after="0" w:line="240" w:lineRule="auto"/>
        <w:jc w:val="both"/>
        <w:rPr>
          <w:color w:val="000000" w:themeColor="text1"/>
        </w:rPr>
      </w:pPr>
    </w:p>
    <w:p w14:paraId="74D2E3EB" w14:textId="77777777" w:rsidR="00C44EED" w:rsidRPr="00A004D8" w:rsidRDefault="00C44EED" w:rsidP="00C44EED">
      <w:pPr>
        <w:pStyle w:val="Akapitzlist"/>
        <w:numPr>
          <w:ilvl w:val="0"/>
          <w:numId w:val="1"/>
        </w:numPr>
        <w:autoSpaceDE w:val="0"/>
        <w:autoSpaceDN w:val="0"/>
        <w:adjustRightInd w:val="0"/>
        <w:spacing w:after="0" w:line="240" w:lineRule="auto"/>
        <w:ind w:left="0" w:firstLine="0"/>
        <w:jc w:val="both"/>
        <w:rPr>
          <w:b/>
          <w:color w:val="000000" w:themeColor="text1"/>
        </w:rPr>
      </w:pPr>
      <w:r w:rsidRPr="00A004D8">
        <w:rPr>
          <w:b/>
          <w:color w:val="000000" w:themeColor="text1"/>
        </w:rPr>
        <w:t>Transport próbek, przechowywanie i rozpoczęcie analizy</w:t>
      </w:r>
    </w:p>
    <w:p w14:paraId="597E9219" w14:textId="77777777" w:rsidR="00C44EED" w:rsidRPr="00C44EED" w:rsidRDefault="00C44EED" w:rsidP="00C44EED">
      <w:pPr>
        <w:autoSpaceDE w:val="0"/>
        <w:autoSpaceDN w:val="0"/>
        <w:adjustRightInd w:val="0"/>
        <w:spacing w:after="0" w:line="240" w:lineRule="auto"/>
        <w:jc w:val="both"/>
        <w:rPr>
          <w:color w:val="000000" w:themeColor="text1"/>
        </w:rPr>
      </w:pPr>
      <w:r w:rsidRPr="00C44EED">
        <w:rPr>
          <w:color w:val="000000" w:themeColor="text1"/>
        </w:rPr>
        <w:t>Transportuj próbki w chłodzonym pojemniku (</w:t>
      </w:r>
      <w:r>
        <w:rPr>
          <w:color w:val="000000" w:themeColor="text1"/>
        </w:rPr>
        <w:t>7</w:t>
      </w:r>
      <w:r w:rsidRPr="00C44EED">
        <w:rPr>
          <w:color w:val="000000" w:themeColor="text1"/>
        </w:rPr>
        <w:t>.3) między 1 a 8 °C.</w:t>
      </w:r>
    </w:p>
    <w:p w14:paraId="67B7C04A" w14:textId="77777777" w:rsidR="00C44EED" w:rsidRPr="00C44EED" w:rsidRDefault="00C44EED" w:rsidP="00C44EED">
      <w:pPr>
        <w:autoSpaceDE w:val="0"/>
        <w:autoSpaceDN w:val="0"/>
        <w:adjustRightInd w:val="0"/>
        <w:spacing w:after="0" w:line="240" w:lineRule="auto"/>
        <w:jc w:val="both"/>
        <w:rPr>
          <w:rFonts w:ascii="Calibri" w:hAnsi="Calibri" w:cs="Calibri"/>
          <w:color w:val="000000" w:themeColor="text1"/>
          <w:sz w:val="24"/>
          <w:szCs w:val="24"/>
        </w:rPr>
      </w:pPr>
      <w:r w:rsidRPr="00C44EED">
        <w:rPr>
          <w:color w:val="000000" w:themeColor="text1"/>
        </w:rPr>
        <w:t>Jeśli to konieczne, przechowuj próbki w laboratorium w temperaturze 3°C ± 2°C. Zbadaj próbki tak szybko, jak to możliwe, najlepiej nie później niż 24 godziny po dostarczeniu do laboratorium, a w każdym razie nie później niż 36 godzin po pobraniu, zgodnie z normą EN ISO 7218 (punkt 8.3, akapit trzeci od końca i następny akapit dot. produktów łatwo psujących się). Czas od pobrania próbki do analizy powinien być zapisany w sprawozdaniu z badań.</w:t>
      </w:r>
    </w:p>
    <w:p w14:paraId="0F58D6B7" w14:textId="77777777" w:rsidR="00C44EED" w:rsidRDefault="00C44EED" w:rsidP="00C44EED">
      <w:pPr>
        <w:pStyle w:val="Akapitzlist"/>
        <w:autoSpaceDE w:val="0"/>
        <w:autoSpaceDN w:val="0"/>
        <w:adjustRightInd w:val="0"/>
        <w:spacing w:after="0" w:line="240" w:lineRule="auto"/>
        <w:ind w:left="0"/>
        <w:jc w:val="both"/>
        <w:rPr>
          <w:color w:val="000000" w:themeColor="text1"/>
        </w:rPr>
      </w:pPr>
    </w:p>
    <w:p w14:paraId="5E31D94F" w14:textId="77777777" w:rsidR="00C44EED" w:rsidRPr="001A6E2C" w:rsidRDefault="00C44EED" w:rsidP="00C44EED">
      <w:pPr>
        <w:pStyle w:val="Akapitzlist"/>
        <w:numPr>
          <w:ilvl w:val="0"/>
          <w:numId w:val="1"/>
        </w:numPr>
        <w:autoSpaceDE w:val="0"/>
        <w:autoSpaceDN w:val="0"/>
        <w:adjustRightInd w:val="0"/>
        <w:spacing w:after="0" w:line="240" w:lineRule="auto"/>
        <w:ind w:left="0" w:firstLine="0"/>
        <w:rPr>
          <w:b/>
        </w:rPr>
      </w:pPr>
      <w:r w:rsidRPr="001A6E2C">
        <w:rPr>
          <w:b/>
        </w:rPr>
        <w:t>A</w:t>
      </w:r>
      <w:r w:rsidR="001A6E2C" w:rsidRPr="001A6E2C">
        <w:rPr>
          <w:b/>
        </w:rPr>
        <w:t>naliza próbek</w:t>
      </w:r>
    </w:p>
    <w:p w14:paraId="396A99B2" w14:textId="77777777" w:rsidR="00C44EED" w:rsidRDefault="00C44EED" w:rsidP="003572EE">
      <w:pPr>
        <w:pStyle w:val="Akapitzlist"/>
        <w:autoSpaceDE w:val="0"/>
        <w:autoSpaceDN w:val="0"/>
        <w:adjustRightInd w:val="0"/>
        <w:spacing w:after="0" w:line="240" w:lineRule="auto"/>
        <w:ind w:left="0"/>
        <w:jc w:val="both"/>
        <w:rPr>
          <w:rFonts w:ascii="Calibri" w:hAnsi="Calibri" w:cs="Calibri"/>
          <w:color w:val="000000" w:themeColor="text1"/>
        </w:rPr>
      </w:pPr>
      <w:r>
        <w:t xml:space="preserve">12.1 </w:t>
      </w:r>
      <w:r w:rsidRPr="00C44EED">
        <w:rPr>
          <w:rFonts w:ascii="Calibri" w:hAnsi="Calibri" w:cs="Calibri"/>
          <w:color w:val="000000" w:themeColor="text1"/>
        </w:rPr>
        <w:t>Metoda z patyczkiem wymazowym</w:t>
      </w:r>
    </w:p>
    <w:p w14:paraId="49970E04" w14:textId="77777777" w:rsidR="00C44EED" w:rsidRDefault="00C44EED" w:rsidP="003572EE">
      <w:pPr>
        <w:pStyle w:val="Akapitzlist"/>
        <w:autoSpaceDE w:val="0"/>
        <w:autoSpaceDN w:val="0"/>
        <w:adjustRightInd w:val="0"/>
        <w:spacing w:after="0" w:line="240" w:lineRule="auto"/>
        <w:ind w:left="0"/>
        <w:jc w:val="both"/>
      </w:pPr>
      <w:r>
        <w:t>Dodaj do tuby zawierającej wymaz wystarczającą objętość, co najmniej 9 ml, bulionu pół-Frasera (patrz EN ISO 11290-1), aby końcówka była całkowicie zanurzona w bulionie.</w:t>
      </w:r>
    </w:p>
    <w:p w14:paraId="43018CD0" w14:textId="77777777" w:rsidR="00C44EED" w:rsidRDefault="00C44EED" w:rsidP="003572EE">
      <w:pPr>
        <w:pStyle w:val="Akapitzlist"/>
        <w:autoSpaceDE w:val="0"/>
        <w:autoSpaceDN w:val="0"/>
        <w:adjustRightInd w:val="0"/>
        <w:spacing w:after="0" w:line="240" w:lineRule="auto"/>
        <w:ind w:left="0"/>
        <w:jc w:val="both"/>
      </w:pPr>
      <w:r>
        <w:t>Dokładnie wymieszaj zawartość probówek zawierających wymazy za pomocą mieszalnika (7.5) przez 30 sekund.</w:t>
      </w:r>
    </w:p>
    <w:p w14:paraId="2D83EDD7" w14:textId="77777777" w:rsidR="00C44EED" w:rsidRDefault="00C44EED" w:rsidP="003572EE">
      <w:pPr>
        <w:pStyle w:val="Akapitzlist"/>
        <w:autoSpaceDE w:val="0"/>
        <w:autoSpaceDN w:val="0"/>
        <w:adjustRightInd w:val="0"/>
        <w:spacing w:after="0" w:line="240" w:lineRule="auto"/>
        <w:ind w:left="0"/>
        <w:jc w:val="both"/>
      </w:pPr>
      <w:r>
        <w:t xml:space="preserve">Następnie wykonaj wykrywanie </w:t>
      </w:r>
      <w:r w:rsidRPr="001A6E2C">
        <w:rPr>
          <w:i/>
        </w:rPr>
        <w:t xml:space="preserve">L. </w:t>
      </w:r>
      <w:proofErr w:type="spellStart"/>
      <w:r w:rsidRPr="001A6E2C">
        <w:rPr>
          <w:i/>
        </w:rPr>
        <w:t>monocytogenes</w:t>
      </w:r>
      <w:proofErr w:type="spellEnd"/>
      <w:r>
        <w:t xml:space="preserve"> zgodnie z metodą standardową EN ISO 11290-1 lub </w:t>
      </w:r>
      <w:proofErr w:type="spellStart"/>
      <w:r>
        <w:t>zwalidowaną</w:t>
      </w:r>
      <w:proofErr w:type="spellEnd"/>
      <w:r>
        <w:t xml:space="preserve"> metodą alternatywną. </w:t>
      </w:r>
    </w:p>
    <w:p w14:paraId="3948289F" w14:textId="77777777" w:rsidR="00A004D8" w:rsidRDefault="00A004D8" w:rsidP="00C44EED">
      <w:pPr>
        <w:pStyle w:val="Akapitzlist"/>
        <w:autoSpaceDE w:val="0"/>
        <w:autoSpaceDN w:val="0"/>
        <w:adjustRightInd w:val="0"/>
        <w:spacing w:after="0" w:line="240" w:lineRule="auto"/>
        <w:ind w:left="0"/>
        <w:jc w:val="both"/>
      </w:pPr>
    </w:p>
    <w:p w14:paraId="204B3B99" w14:textId="77777777" w:rsidR="00C44EED" w:rsidRDefault="00C44EED" w:rsidP="00C44EED">
      <w:pPr>
        <w:pStyle w:val="Akapitzlist"/>
        <w:autoSpaceDE w:val="0"/>
        <w:autoSpaceDN w:val="0"/>
        <w:adjustRightInd w:val="0"/>
        <w:spacing w:after="0" w:line="240" w:lineRule="auto"/>
        <w:ind w:left="0"/>
        <w:jc w:val="both"/>
        <w:rPr>
          <w:color w:val="000000" w:themeColor="text1"/>
        </w:rPr>
      </w:pPr>
      <w:r>
        <w:t xml:space="preserve">12.2 </w:t>
      </w:r>
      <w:r w:rsidRPr="00050A97">
        <w:rPr>
          <w:color w:val="000000" w:themeColor="text1"/>
        </w:rPr>
        <w:t xml:space="preserve">Metoda z gąbką / </w:t>
      </w:r>
      <w:r>
        <w:rPr>
          <w:color w:val="000000" w:themeColor="text1"/>
        </w:rPr>
        <w:t>ściereczką</w:t>
      </w:r>
      <w:r w:rsidRPr="00050A97">
        <w:rPr>
          <w:color w:val="000000" w:themeColor="text1"/>
        </w:rPr>
        <w:t xml:space="preserve"> / gazikiem</w:t>
      </w:r>
    </w:p>
    <w:p w14:paraId="013A1C46" w14:textId="77777777" w:rsidR="00C44EED" w:rsidRDefault="00C44EED" w:rsidP="00C44EED">
      <w:pPr>
        <w:pStyle w:val="Akapitzlist"/>
        <w:autoSpaceDE w:val="0"/>
        <w:autoSpaceDN w:val="0"/>
        <w:adjustRightInd w:val="0"/>
        <w:spacing w:after="0" w:line="240" w:lineRule="auto"/>
        <w:ind w:left="0"/>
        <w:jc w:val="both"/>
      </w:pPr>
      <w:r>
        <w:lastRenderedPageBreak/>
        <w:t>Dodaj 9-krotność ciężaru zwilżonego narzędzia wymazowego, przygotowanego zgodnie z punktem 9.2, bulionu pół-Frasera (patrz EN ISO 11290-1) do plastikowej torebki zawierającej narzędzie wymazowe, które musi być całkowicie namoczone w bulionie.</w:t>
      </w:r>
    </w:p>
    <w:p w14:paraId="2D5B6C0B" w14:textId="77777777" w:rsidR="00C44EED" w:rsidRDefault="00C44EED" w:rsidP="00C44EED">
      <w:pPr>
        <w:pStyle w:val="Akapitzlist"/>
        <w:autoSpaceDE w:val="0"/>
        <w:autoSpaceDN w:val="0"/>
        <w:adjustRightInd w:val="0"/>
        <w:spacing w:after="0" w:line="240" w:lineRule="auto"/>
        <w:ind w:left="0"/>
        <w:jc w:val="both"/>
      </w:pPr>
      <w:r>
        <w:t>Zastosuj homogenizator perystaltyczny (7.6) przez 1 minutę do wymieszania zawartość torebki.</w:t>
      </w:r>
    </w:p>
    <w:p w14:paraId="274CA7D5" w14:textId="77777777" w:rsidR="00C44EED" w:rsidRDefault="00C44EED" w:rsidP="00C44EED">
      <w:pPr>
        <w:pStyle w:val="Akapitzlist"/>
        <w:autoSpaceDE w:val="0"/>
        <w:autoSpaceDN w:val="0"/>
        <w:adjustRightInd w:val="0"/>
        <w:spacing w:after="0" w:line="240" w:lineRule="auto"/>
        <w:ind w:left="0"/>
        <w:jc w:val="both"/>
      </w:pPr>
      <w:r>
        <w:t xml:space="preserve">Następnie należy wykonać wykrywanie </w:t>
      </w:r>
      <w:r w:rsidRPr="001A6E2C">
        <w:rPr>
          <w:i/>
        </w:rPr>
        <w:t xml:space="preserve">L. </w:t>
      </w:r>
      <w:proofErr w:type="spellStart"/>
      <w:r w:rsidRPr="001A6E2C">
        <w:rPr>
          <w:i/>
        </w:rPr>
        <w:t>monocytogenes</w:t>
      </w:r>
      <w:proofErr w:type="spellEnd"/>
      <w:r>
        <w:t xml:space="preserve"> zgodnie z metodą standardową EN ISO 11290-1 lub </w:t>
      </w:r>
      <w:proofErr w:type="spellStart"/>
      <w:r>
        <w:t>zwalidowaną</w:t>
      </w:r>
      <w:proofErr w:type="spellEnd"/>
      <w:r>
        <w:t xml:space="preserve"> metodą alternatywną.</w:t>
      </w:r>
    </w:p>
    <w:p w14:paraId="42CF6072" w14:textId="77777777" w:rsidR="00C44EED" w:rsidRDefault="00C44EED" w:rsidP="00C44EED">
      <w:pPr>
        <w:pStyle w:val="Akapitzlist"/>
        <w:autoSpaceDE w:val="0"/>
        <w:autoSpaceDN w:val="0"/>
        <w:adjustRightInd w:val="0"/>
        <w:spacing w:after="0" w:line="240" w:lineRule="auto"/>
        <w:ind w:left="0"/>
        <w:jc w:val="both"/>
      </w:pPr>
    </w:p>
    <w:p w14:paraId="28B3D13E" w14:textId="77777777" w:rsidR="001A6E2C" w:rsidRPr="001A6E2C" w:rsidRDefault="001A6E2C" w:rsidP="00C44EED">
      <w:pPr>
        <w:pStyle w:val="Akapitzlist"/>
        <w:numPr>
          <w:ilvl w:val="0"/>
          <w:numId w:val="1"/>
        </w:numPr>
        <w:autoSpaceDE w:val="0"/>
        <w:autoSpaceDN w:val="0"/>
        <w:adjustRightInd w:val="0"/>
        <w:spacing w:after="0" w:line="240" w:lineRule="auto"/>
        <w:ind w:left="0" w:firstLine="0"/>
        <w:jc w:val="both"/>
        <w:rPr>
          <w:b/>
          <w:color w:val="000000" w:themeColor="text1"/>
        </w:rPr>
      </w:pPr>
      <w:r w:rsidRPr="001A6E2C">
        <w:rPr>
          <w:b/>
        </w:rPr>
        <w:t>Wyrażanie wyników</w:t>
      </w:r>
    </w:p>
    <w:p w14:paraId="156EEED3" w14:textId="77777777" w:rsidR="00C44EED" w:rsidRPr="00152D59" w:rsidRDefault="001A6E2C" w:rsidP="001A6E2C">
      <w:pPr>
        <w:pStyle w:val="Akapitzlist"/>
        <w:autoSpaceDE w:val="0"/>
        <w:autoSpaceDN w:val="0"/>
        <w:adjustRightInd w:val="0"/>
        <w:spacing w:after="0" w:line="240" w:lineRule="auto"/>
        <w:ind w:left="0"/>
        <w:jc w:val="both"/>
        <w:rPr>
          <w:color w:val="000000" w:themeColor="text1"/>
        </w:rPr>
      </w:pPr>
      <w:r>
        <w:t xml:space="preserve">Wyniki należy podawać jako: obecność lub brak </w:t>
      </w:r>
      <w:r w:rsidRPr="001A6E2C">
        <w:rPr>
          <w:i/>
        </w:rPr>
        <w:t xml:space="preserve">L. </w:t>
      </w:r>
      <w:proofErr w:type="spellStart"/>
      <w:r w:rsidRPr="001A6E2C">
        <w:rPr>
          <w:i/>
        </w:rPr>
        <w:t>monocytogenes</w:t>
      </w:r>
      <w:proofErr w:type="spellEnd"/>
      <w:r>
        <w:t xml:space="preserve"> w miejscu pobierania próbek. Należy podać, jeśli jest znany, rozmiar obszaru objętego próbą.</w:t>
      </w:r>
    </w:p>
    <w:sectPr w:rsidR="00C44EED" w:rsidRPr="00152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C7D1A"/>
    <w:multiLevelType w:val="multilevel"/>
    <w:tmpl w:val="AA4A89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0921EDB"/>
    <w:multiLevelType w:val="multilevel"/>
    <w:tmpl w:val="AA4A89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4CB1CA7"/>
    <w:multiLevelType w:val="hybridMultilevel"/>
    <w:tmpl w:val="DE34F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42795D"/>
    <w:multiLevelType w:val="multilevel"/>
    <w:tmpl w:val="AA4A89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E4C3A68"/>
    <w:multiLevelType w:val="multilevel"/>
    <w:tmpl w:val="AA4A89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7763F71"/>
    <w:multiLevelType w:val="hybridMultilevel"/>
    <w:tmpl w:val="40BE246A"/>
    <w:lvl w:ilvl="0" w:tplc="A0D808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0109657">
    <w:abstractNumId w:val="4"/>
  </w:num>
  <w:num w:numId="2" w16cid:durableId="109595193">
    <w:abstractNumId w:val="3"/>
  </w:num>
  <w:num w:numId="3" w16cid:durableId="800194873">
    <w:abstractNumId w:val="0"/>
  </w:num>
  <w:num w:numId="4" w16cid:durableId="160896575">
    <w:abstractNumId w:val="5"/>
  </w:num>
  <w:num w:numId="5" w16cid:durableId="258294763">
    <w:abstractNumId w:val="1"/>
  </w:num>
  <w:num w:numId="6" w16cid:durableId="81998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723"/>
    <w:rsid w:val="000E35EA"/>
    <w:rsid w:val="00111EE4"/>
    <w:rsid w:val="0012050C"/>
    <w:rsid w:val="00152D59"/>
    <w:rsid w:val="001604A8"/>
    <w:rsid w:val="00190723"/>
    <w:rsid w:val="001A6E2C"/>
    <w:rsid w:val="001B435F"/>
    <w:rsid w:val="001F784E"/>
    <w:rsid w:val="00303E0A"/>
    <w:rsid w:val="00315844"/>
    <w:rsid w:val="003572EE"/>
    <w:rsid w:val="00385426"/>
    <w:rsid w:val="003D4ADB"/>
    <w:rsid w:val="00406AF8"/>
    <w:rsid w:val="004615F4"/>
    <w:rsid w:val="00475391"/>
    <w:rsid w:val="00475BF7"/>
    <w:rsid w:val="004B5C5B"/>
    <w:rsid w:val="00554365"/>
    <w:rsid w:val="005D30EE"/>
    <w:rsid w:val="005E638C"/>
    <w:rsid w:val="005F3415"/>
    <w:rsid w:val="0070093F"/>
    <w:rsid w:val="0077117C"/>
    <w:rsid w:val="00783E3A"/>
    <w:rsid w:val="0086310A"/>
    <w:rsid w:val="00866D3F"/>
    <w:rsid w:val="008D14B7"/>
    <w:rsid w:val="008F5644"/>
    <w:rsid w:val="009527E4"/>
    <w:rsid w:val="0098260B"/>
    <w:rsid w:val="009A04E7"/>
    <w:rsid w:val="009E0113"/>
    <w:rsid w:val="009F1370"/>
    <w:rsid w:val="00A004D8"/>
    <w:rsid w:val="00A364A8"/>
    <w:rsid w:val="00AA7912"/>
    <w:rsid w:val="00C44EED"/>
    <w:rsid w:val="00CB14A7"/>
    <w:rsid w:val="00CC1C64"/>
    <w:rsid w:val="00D466E5"/>
    <w:rsid w:val="00DD4B17"/>
    <w:rsid w:val="00F31C97"/>
    <w:rsid w:val="00FB1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284C"/>
  <w15:docId w15:val="{ADABF9C7-2809-4451-9DC1-16C965E7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90723"/>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Domylnaczcionkaakapitu"/>
    <w:rsid w:val="005E638C"/>
  </w:style>
  <w:style w:type="character" w:styleId="Uwydatnienie">
    <w:name w:val="Emphasis"/>
    <w:basedOn w:val="Domylnaczcionkaakapitu"/>
    <w:uiPriority w:val="20"/>
    <w:qFormat/>
    <w:rsid w:val="005E638C"/>
    <w:rPr>
      <w:i/>
      <w:iCs/>
    </w:rPr>
  </w:style>
  <w:style w:type="paragraph" w:styleId="Akapitzlist">
    <w:name w:val="List Paragraph"/>
    <w:basedOn w:val="Normalny"/>
    <w:uiPriority w:val="34"/>
    <w:qFormat/>
    <w:rsid w:val="009F1370"/>
    <w:pPr>
      <w:ind w:left="720"/>
      <w:contextualSpacing/>
    </w:pPr>
  </w:style>
  <w:style w:type="paragraph" w:styleId="Bezodstpw">
    <w:name w:val="No Spacing"/>
    <w:uiPriority w:val="1"/>
    <w:qFormat/>
    <w:rsid w:val="00406A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2489</Words>
  <Characters>14938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Kaluza</dc:creator>
  <cp:lastModifiedBy>Bartosz Piątkowski</cp:lastModifiedBy>
  <cp:revision>4</cp:revision>
  <dcterms:created xsi:type="dcterms:W3CDTF">2019-06-27T06:42:00Z</dcterms:created>
  <dcterms:modified xsi:type="dcterms:W3CDTF">2022-05-16T08:53:00Z</dcterms:modified>
</cp:coreProperties>
</file>