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0" w:rsidRPr="00C02E53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OGŁOSZENIE O NABORZE WNIOSKÓW nr </w:t>
      </w:r>
      <w:r w:rsidR="000C6C0D">
        <w:rPr>
          <w:rFonts w:asciiTheme="minorHAnsi" w:hAnsiTheme="minorHAnsi" w:cs="Arial"/>
          <w:b/>
          <w:bCs/>
          <w:sz w:val="28"/>
          <w:szCs w:val="24"/>
          <w:lang w:eastAsia="pl-PL"/>
        </w:rPr>
        <w:t>12</w:t>
      </w:r>
      <w:r w:rsidR="008A2ED5">
        <w:rPr>
          <w:rFonts w:asciiTheme="minorHAnsi" w:hAnsiTheme="minorHAnsi" w:cs="Arial"/>
          <w:b/>
          <w:bCs/>
          <w:sz w:val="28"/>
          <w:szCs w:val="24"/>
          <w:lang w:eastAsia="pl-PL"/>
        </w:rPr>
        <w:t>/2019</w:t>
      </w:r>
      <w:r w:rsidR="00EC7765">
        <w:rPr>
          <w:rFonts w:asciiTheme="minorHAnsi" w:hAnsiTheme="minorHAnsi" w:cs="Arial"/>
          <w:b/>
          <w:bCs/>
          <w:sz w:val="28"/>
          <w:szCs w:val="24"/>
          <w:lang w:eastAsia="pl-PL"/>
        </w:rPr>
        <w:t>/FAMI</w:t>
      </w:r>
    </w:p>
    <w:p w:rsidR="00125F70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OTWARTY KONKURS W RAMACH FUNDUSZU AZYLU, MIGRACJI I INTEGRACJI</w:t>
      </w:r>
    </w:p>
    <w:p w:rsidR="008A2ED5" w:rsidRPr="00C02E53" w:rsidRDefault="008A2ED5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</w:p>
    <w:p w:rsidR="00533956" w:rsidRDefault="00533956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MINISTERSTWO SPRAW WEWNĘTRZNYCH I ADMIN</w:t>
      </w:r>
      <w:r w:rsidR="00B305A5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I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STRACJI</w:t>
      </w:r>
    </w:p>
    <w:p w:rsidR="008A2ED5" w:rsidRPr="00C02E53" w:rsidRDefault="008A2ED5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8"/>
          <w:szCs w:val="24"/>
          <w:lang w:eastAsia="pl-PL"/>
        </w:rPr>
        <w:t>DEPARTAMENT FUNDUSZY EUROPEJSKICH</w:t>
      </w:r>
    </w:p>
    <w:p w:rsidR="00533956" w:rsidRPr="00C02E53" w:rsidRDefault="00533956" w:rsidP="004E46A1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(</w:t>
      </w:r>
      <w:r w:rsidR="00125F70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ORGAN ODPOWIEDZIALNY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)</w:t>
      </w:r>
    </w:p>
    <w:p w:rsidR="00125F70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OGŁASZA NABÓR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C02E53">
        <w:rPr>
          <w:rFonts w:asciiTheme="minorHAnsi" w:hAnsiTheme="minorHAnsi" w:cs="Arial"/>
          <w:sz w:val="28"/>
          <w:szCs w:val="24"/>
          <w:lang w:eastAsia="pl-PL"/>
        </w:rPr>
        <w:br/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na kwotę </w:t>
      </w:r>
      <w:r w:rsidR="00F12114">
        <w:rPr>
          <w:rFonts w:asciiTheme="minorHAnsi" w:hAnsiTheme="minorHAnsi" w:cs="Arial"/>
          <w:b/>
          <w:sz w:val="28"/>
          <w:szCs w:val="24"/>
          <w:lang w:eastAsia="pl-PL"/>
        </w:rPr>
        <w:t>6 978 042,43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EUR</w:t>
      </w:r>
      <w:r w:rsidR="00EB3143"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–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0C6C0D">
        <w:rPr>
          <w:rFonts w:asciiTheme="minorHAnsi" w:hAnsiTheme="minorHAnsi" w:cs="Arial"/>
          <w:b/>
          <w:sz w:val="28"/>
          <w:szCs w:val="24"/>
          <w:lang w:eastAsia="pl-PL"/>
        </w:rPr>
        <w:t>30 000 000 PLN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*</w:t>
      </w:r>
    </w:p>
    <w:p w:rsidR="005927C4" w:rsidRDefault="005927C4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/>
          <w:b/>
        </w:rPr>
      </w:pPr>
      <w:r w:rsidRPr="005927C4">
        <w:rPr>
          <w:rFonts w:asciiTheme="minorHAnsi" w:hAnsiTheme="minorHAnsi"/>
          <w:b/>
          <w:sz w:val="28"/>
          <w:szCs w:val="24"/>
        </w:rPr>
        <w:t>*</w:t>
      </w:r>
      <w:r w:rsidRPr="003D2275">
        <w:rPr>
          <w:rFonts w:asciiTheme="minorHAnsi" w:hAnsiTheme="minorHAnsi"/>
          <w:b/>
        </w:rPr>
        <w:t>liczone wg średniego miesięcznego kursu publikowanego w serii C Oficjalnego Dziennika Unii Europejskie</w:t>
      </w:r>
      <w:r w:rsidR="00DD0421">
        <w:rPr>
          <w:rFonts w:asciiTheme="minorHAnsi" w:hAnsiTheme="minorHAnsi"/>
          <w:b/>
        </w:rPr>
        <w:t>j</w:t>
      </w:r>
      <w:r w:rsidRPr="003D2275">
        <w:rPr>
          <w:rFonts w:asciiTheme="minorHAnsi" w:hAnsiTheme="minorHAnsi"/>
          <w:b/>
        </w:rPr>
        <w:t xml:space="preserve">, liczonego dla 6 miesięcznego okresu sprzed miesiąca publikacji ogłoszenia, tj. 1 EUR = </w:t>
      </w:r>
      <w:r w:rsidR="00DD0421">
        <w:rPr>
          <w:rFonts w:asciiTheme="minorHAnsi" w:hAnsiTheme="minorHAnsi"/>
          <w:b/>
        </w:rPr>
        <w:t>4,2992</w:t>
      </w:r>
      <w:r w:rsidR="00F01281" w:rsidRPr="003D2275">
        <w:rPr>
          <w:rFonts w:asciiTheme="minorHAnsi" w:hAnsiTheme="minorHAnsi"/>
          <w:b/>
        </w:rPr>
        <w:t xml:space="preserve"> </w:t>
      </w:r>
      <w:r w:rsidRPr="003D2275">
        <w:rPr>
          <w:rFonts w:asciiTheme="minorHAnsi" w:hAnsiTheme="minorHAnsi"/>
          <w:b/>
        </w:rPr>
        <w:t>PLN</w:t>
      </w:r>
      <w:r w:rsidR="000C6C0D">
        <w:rPr>
          <w:rFonts w:asciiTheme="minorHAnsi" w:hAnsiTheme="minorHAnsi"/>
          <w:b/>
        </w:rPr>
        <w:t>. Organ Odpowiedzialny</w:t>
      </w:r>
      <w:r w:rsidR="000C6C0D" w:rsidRPr="000C6C0D">
        <w:rPr>
          <w:rFonts w:asciiTheme="minorHAnsi" w:hAnsiTheme="minorHAnsi"/>
          <w:b/>
        </w:rPr>
        <w:t xml:space="preserve"> zastrzega sobie prawo do zwiększenia dostępnego dofinansowania w przypadku otrzymania dużej liczby wysokiej jakości wniosków.</w:t>
      </w:r>
    </w:p>
    <w:p w:rsidR="000C6C0D" w:rsidRDefault="000C6C0D" w:rsidP="00554414">
      <w:pPr>
        <w:spacing w:before="100" w:beforeAutospacing="1" w:after="100" w:afterAutospacing="1" w:line="336" w:lineRule="atLeast"/>
        <w:ind w:left="40"/>
        <w:jc w:val="center"/>
        <w:rPr>
          <w:lang w:eastAsia="pl-PL"/>
        </w:rPr>
      </w:pPr>
      <w:r>
        <w:rPr>
          <w:rFonts w:cs="Arial"/>
          <w:color w:val="010101"/>
          <w:sz w:val="24"/>
          <w:szCs w:val="24"/>
          <w:lang w:eastAsia="pl-PL"/>
        </w:rPr>
        <w:t xml:space="preserve">Kwota dofinansowania została </w:t>
      </w:r>
      <w:r w:rsidRPr="000C6C0D">
        <w:rPr>
          <w:rFonts w:cs="Arial"/>
          <w:color w:val="010101"/>
          <w:sz w:val="24"/>
          <w:szCs w:val="24"/>
          <w:lang w:eastAsia="pl-PL"/>
        </w:rPr>
        <w:t>podzielona na 16 województw w następujący sposób</w:t>
      </w:r>
      <w:r>
        <w:rPr>
          <w:rFonts w:cs="Arial"/>
          <w:color w:val="010101"/>
          <w:sz w:val="24"/>
          <w:szCs w:val="24"/>
          <w:lang w:eastAsia="pl-PL"/>
        </w:rPr>
        <w:t>:</w:t>
      </w:r>
      <w:r>
        <w:rPr>
          <w:rFonts w:cs="Arial"/>
          <w:color w:val="010101"/>
          <w:sz w:val="24"/>
          <w:szCs w:val="24"/>
          <w:lang w:eastAsia="pl-PL"/>
        </w:rPr>
        <w:fldChar w:fldCharType="begin"/>
      </w:r>
      <w:r>
        <w:rPr>
          <w:rFonts w:cs="Arial"/>
          <w:color w:val="010101"/>
          <w:sz w:val="24"/>
          <w:szCs w:val="24"/>
          <w:lang w:eastAsia="pl-PL"/>
        </w:rPr>
        <w:instrText xml:space="preserve"> LINK Excel.Sheet.12 "\\\\192.168.0.99\\fami_fbw\\FAMI\\Nabory\\Nabór 12 (5-bis)\\Podział kwoty między województwa.xlsx" "Arkusz1!W5K2:W20K13" \a \f 5 \h  \* MERGEFORMAT </w:instrText>
      </w:r>
      <w:r>
        <w:rPr>
          <w:rFonts w:cs="Arial"/>
          <w:color w:val="010101"/>
          <w:sz w:val="24"/>
          <w:szCs w:val="24"/>
          <w:lang w:eastAsia="pl-PL"/>
        </w:rPr>
        <w:fldChar w:fldCharType="separate"/>
      </w:r>
    </w:p>
    <w:tbl>
      <w:tblPr>
        <w:tblStyle w:val="Tabela-Siatka"/>
        <w:tblW w:w="6091" w:type="dxa"/>
        <w:tblLook w:val="04A0" w:firstRow="1" w:lastRow="0" w:firstColumn="1" w:lastColumn="0" w:noHBand="0" w:noVBand="1"/>
      </w:tblPr>
      <w:tblGrid>
        <w:gridCol w:w="3681"/>
        <w:gridCol w:w="2410"/>
      </w:tblGrid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 w:line="240" w:lineRule="auto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2 405 000,00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1 366 000,00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1 566 000,00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1 544 000,00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1 996 000,00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2 258 000,00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5 503 000,00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1 245 000,00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1 037 000,00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1 065 000,00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1 807 000,00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2 204 000,00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1 035 000,00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997 000,00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2 475 000,00 zł</w:t>
            </w:r>
          </w:p>
        </w:tc>
      </w:tr>
      <w:tr w:rsidR="00C326D1" w:rsidRPr="000C6C0D" w:rsidTr="00155772">
        <w:trPr>
          <w:trHeight w:val="20"/>
        </w:trPr>
        <w:tc>
          <w:tcPr>
            <w:tcW w:w="3681" w:type="dxa"/>
            <w:noWrap/>
            <w:hideMark/>
          </w:tcPr>
          <w:p w:rsidR="00C326D1" w:rsidRPr="000C6C0D" w:rsidRDefault="00C326D1" w:rsidP="00155772">
            <w:pPr>
              <w:spacing w:after="0" w:line="336" w:lineRule="atLeast"/>
              <w:ind w:left="40"/>
              <w:rPr>
                <w:rFonts w:cs="Arial"/>
                <w:color w:val="010101"/>
                <w:sz w:val="24"/>
                <w:szCs w:val="24"/>
                <w:lang w:eastAsia="pl-PL"/>
              </w:rPr>
            </w:pPr>
            <w:r w:rsidRPr="000C6C0D">
              <w:rPr>
                <w:rFonts w:cs="Arial"/>
                <w:color w:val="010101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2410" w:type="dxa"/>
            <w:noWrap/>
            <w:vAlign w:val="bottom"/>
            <w:hideMark/>
          </w:tcPr>
          <w:p w:rsidR="00C326D1" w:rsidRPr="00155772" w:rsidRDefault="00C326D1" w:rsidP="00155772">
            <w:pPr>
              <w:spacing w:after="0"/>
              <w:jc w:val="right"/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</w:pPr>
            <w:r w:rsidRPr="00155772">
              <w:rPr>
                <w:rFonts w:cs="Arial"/>
                <w:b/>
                <w:color w:val="010101"/>
                <w:sz w:val="24"/>
                <w:szCs w:val="24"/>
                <w:lang w:eastAsia="pl-PL"/>
              </w:rPr>
              <w:t>1 497 000,00 zł</w:t>
            </w:r>
          </w:p>
        </w:tc>
      </w:tr>
    </w:tbl>
    <w:p w:rsidR="000C6C0D" w:rsidRPr="00C02E53" w:rsidRDefault="000C6C0D" w:rsidP="00155772">
      <w:pPr>
        <w:tabs>
          <w:tab w:val="center" w:pos="4556"/>
          <w:tab w:val="left" w:pos="6495"/>
        </w:tabs>
        <w:spacing w:after="0" w:line="336" w:lineRule="atLeast"/>
        <w:ind w:left="40"/>
        <w:rPr>
          <w:rFonts w:asciiTheme="minorHAnsi" w:hAnsiTheme="minorHAnsi"/>
          <w:b/>
          <w:sz w:val="28"/>
          <w:szCs w:val="24"/>
        </w:rPr>
      </w:pPr>
      <w:r>
        <w:rPr>
          <w:rFonts w:cs="Arial"/>
          <w:color w:val="010101"/>
          <w:sz w:val="24"/>
          <w:szCs w:val="24"/>
          <w:lang w:eastAsia="pl-PL"/>
        </w:rPr>
        <w:fldChar w:fldCharType="end"/>
      </w:r>
    </w:p>
    <w:p w:rsidR="00125F70" w:rsidRPr="00C02E53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Szczegółowy zakres naboru nr </w:t>
      </w:r>
      <w:r w:rsidR="000C6C0D">
        <w:rPr>
          <w:rFonts w:asciiTheme="minorHAnsi" w:hAnsiTheme="minorHAnsi" w:cs="Arial"/>
          <w:b/>
          <w:sz w:val="24"/>
          <w:szCs w:val="24"/>
          <w:lang w:eastAsia="pl-PL"/>
        </w:rPr>
        <w:t>12</w:t>
      </w:r>
      <w:r w:rsidR="008A2ED5">
        <w:rPr>
          <w:rFonts w:asciiTheme="minorHAnsi" w:hAnsiTheme="minorHAnsi" w:cs="Arial"/>
          <w:b/>
          <w:sz w:val="24"/>
          <w:szCs w:val="24"/>
          <w:lang w:eastAsia="pl-PL"/>
        </w:rPr>
        <w:t>/2019/FAMI</w:t>
      </w:r>
    </w:p>
    <w:p w:rsidR="000C6C0D" w:rsidRPr="00FF51D5" w:rsidRDefault="000C6C0D" w:rsidP="000C6C0D">
      <w:pPr>
        <w:spacing w:after="120" w:line="312" w:lineRule="atLeast"/>
        <w:ind w:left="40"/>
        <w:outlineLvl w:val="2"/>
        <w:rPr>
          <w:rFonts w:asciiTheme="minorHAnsi" w:hAnsiTheme="minorHAnsi" w:cs="Arial"/>
          <w:b/>
          <w:bCs/>
          <w:sz w:val="24"/>
          <w:szCs w:val="29"/>
          <w:lang w:eastAsia="pl-PL"/>
        </w:rPr>
      </w:pPr>
      <w:r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>Cel szczegółowy: Integracja/legalna migracja</w:t>
      </w:r>
    </w:p>
    <w:p w:rsidR="000C6C0D" w:rsidRPr="00FF51D5" w:rsidRDefault="000C6C0D" w:rsidP="000C6C0D">
      <w:pPr>
        <w:spacing w:after="120" w:line="312" w:lineRule="atLeast"/>
        <w:ind w:left="40"/>
        <w:outlineLvl w:val="2"/>
        <w:rPr>
          <w:rFonts w:asciiTheme="minorHAnsi" w:hAnsiTheme="minorHAnsi" w:cs="Arial"/>
          <w:b/>
          <w:bCs/>
          <w:sz w:val="24"/>
          <w:szCs w:val="29"/>
          <w:lang w:eastAsia="pl-PL"/>
        </w:rPr>
      </w:pPr>
      <w:r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 xml:space="preserve">Cel krajowy: </w:t>
      </w:r>
      <w:r w:rsidR="00C326D1"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 xml:space="preserve">2.2 </w:t>
      </w:r>
      <w:r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 xml:space="preserve">Integracja oraz (uzupełniająco) </w:t>
      </w:r>
      <w:r w:rsidR="00C326D1"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 xml:space="preserve">2.3 </w:t>
      </w:r>
      <w:r w:rsidRPr="00FF51D5">
        <w:rPr>
          <w:rFonts w:asciiTheme="minorHAnsi" w:hAnsiTheme="minorHAnsi" w:cs="Arial"/>
          <w:b/>
          <w:bCs/>
          <w:sz w:val="24"/>
          <w:szCs w:val="29"/>
          <w:lang w:eastAsia="pl-PL"/>
        </w:rPr>
        <w:t>Zdolności</w:t>
      </w:r>
    </w:p>
    <w:p w:rsidR="00132364" w:rsidRPr="009112D9" w:rsidRDefault="00125F70" w:rsidP="00132364">
      <w:pPr>
        <w:jc w:val="both"/>
      </w:pPr>
      <w:r w:rsidRPr="00132364">
        <w:rPr>
          <w:rFonts w:asciiTheme="minorHAnsi" w:hAnsiTheme="minorHAnsi" w:cs="Arial"/>
          <w:bCs/>
          <w:sz w:val="24"/>
          <w:szCs w:val="24"/>
          <w:lang w:eastAsia="pl-PL"/>
        </w:rPr>
        <w:lastRenderedPageBreak/>
        <w:t>Zakres naboru,</w:t>
      </w:r>
      <w:r w:rsidRPr="00132364">
        <w:rPr>
          <w:rFonts w:asciiTheme="minorHAnsi" w:hAnsiTheme="minorHAnsi" w:cs="Arial"/>
          <w:sz w:val="24"/>
          <w:szCs w:val="24"/>
          <w:lang w:eastAsia="pl-PL"/>
        </w:rPr>
        <w:t xml:space="preserve"> stanowi katalog zamknięty działań kwalifikujących się do dofinansowania w naborze nr </w:t>
      </w:r>
      <w:r w:rsidR="000C6C0D" w:rsidRPr="00132364">
        <w:rPr>
          <w:rFonts w:asciiTheme="minorHAnsi" w:hAnsiTheme="minorHAnsi" w:cs="Arial"/>
          <w:sz w:val="24"/>
          <w:szCs w:val="24"/>
          <w:lang w:eastAsia="pl-PL"/>
        </w:rPr>
        <w:t>12</w:t>
      </w:r>
      <w:r w:rsidR="008A2ED5" w:rsidRPr="00132364">
        <w:rPr>
          <w:rFonts w:asciiTheme="minorHAnsi" w:hAnsiTheme="minorHAnsi" w:cs="Arial"/>
          <w:sz w:val="24"/>
          <w:szCs w:val="24"/>
          <w:lang w:eastAsia="pl-PL"/>
        </w:rPr>
        <w:t>/2019/FAMI</w:t>
      </w:r>
      <w:r w:rsidR="00132364" w:rsidRPr="00132364">
        <w:rPr>
          <w:rFonts w:asciiTheme="minorHAnsi" w:hAnsiTheme="minorHAnsi" w:cs="Arial"/>
          <w:sz w:val="24"/>
          <w:szCs w:val="24"/>
          <w:lang w:eastAsia="pl-PL"/>
        </w:rPr>
        <w:t xml:space="preserve">. </w:t>
      </w:r>
      <w:r w:rsidR="00132364" w:rsidRPr="009112D9">
        <w:t>UWAGA: Projekty muszą zawierać WSZYSTKIE elementy przedstawione poniżej w punktach 1 - 7. Elementy te mogą być realizowane w formie wybranej przez wnioskodawcę.</w:t>
      </w:r>
    </w:p>
    <w:p w:rsidR="00C326D1" w:rsidRPr="006D37C1" w:rsidRDefault="00C326D1" w:rsidP="00C326D1">
      <w:pPr>
        <w:ind w:left="567"/>
        <w:jc w:val="both"/>
        <w:rPr>
          <w:b/>
          <w:sz w:val="24"/>
          <w:szCs w:val="24"/>
        </w:rPr>
      </w:pPr>
      <w:r w:rsidRPr="006D37C1">
        <w:rPr>
          <w:b/>
          <w:sz w:val="24"/>
          <w:szCs w:val="24"/>
        </w:rPr>
        <w:t>Cel krajowy 2.2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1. Zapewnianie doradztwa i pomocy w kwestiach legalizacji pobytu, administracyjnych i prawnych, przysługujących praw pracowniczych, doradztwa i pomocy integracyjnej, opieki zdrowotnej, psychologicznej i socjalnej, opieki nad dziećmi oraz łączenia rodzin;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2. Działania i środki ukierunkowane na kształcenie dzieci, młodzieży oraz dorosłych z grup cudzoziemskich obecnych na terenie województwa/miasta (w tym np. zajęcia wyrównawcze, zajęcia sportowe i inne rozwijające umiejętności i podnoszące samoocenę, wycieczki, zajęcia przedszkolne i świetlicowe), działania wspierające studentów cudzoziemskich odbywających naukę w Polsce;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3. Nauka języka polskiego na różnych poziomach (w tym kursy specjalistyczne);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 xml:space="preserve">4. Działania zwiększające kompetencje cudzoziemców </w:t>
      </w:r>
      <w:r>
        <w:rPr>
          <w:sz w:val="24"/>
          <w:szCs w:val="24"/>
        </w:rPr>
        <w:t xml:space="preserve">i świadomość </w:t>
      </w:r>
      <w:r w:rsidRPr="006D37C1">
        <w:rPr>
          <w:sz w:val="24"/>
          <w:szCs w:val="24"/>
        </w:rPr>
        <w:t>prawną mające na celu ułatwienie dostępu do rynku pracy, kursy dla cudzoziemców dotyczące wartości i praw obowiązujących w Polsce, warunków życia w Polsce, umiejętności postępowania w codziennych sytuacjach życiowych;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5. Działania wspierające usamodzielnienie się i samowystarczalność, w tym aktywizacja zawodowa, badanie i ocena kompetencji, doradztwo zawodowe, uzupełnianie kompetencji (UWAGA: szkolenia zawodowe i staże nie są kwalifikowalne w ramach FAMI);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6. Realizacja działań zwiększających kontakt i integrację ze społeczeństwem polskim oraz działań kierowanych do społeczeństwa przyjmującego, promujących integrację cudzoziemców i wzajemne zrozumienie, w formie np. wydarzeń kulturalnych, edukacyjnych i innych w zależności od sytuacji w danym regionie;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rStyle w:val="tlid-translation"/>
          <w:sz w:val="24"/>
          <w:szCs w:val="24"/>
        </w:rPr>
        <w:t>7. Kampania informacyjna w celu informowania o oferowanych usługach. Głównym narzędziem będą ulotki informa</w:t>
      </w:r>
      <w:r>
        <w:rPr>
          <w:rStyle w:val="tlid-translation"/>
          <w:sz w:val="24"/>
          <w:szCs w:val="24"/>
        </w:rPr>
        <w:t xml:space="preserve">cyjne, strona internetowa, </w:t>
      </w:r>
      <w:r w:rsidRPr="006D37C1">
        <w:rPr>
          <w:rStyle w:val="tlid-translation"/>
          <w:sz w:val="24"/>
          <w:szCs w:val="24"/>
        </w:rPr>
        <w:t>stron</w:t>
      </w:r>
      <w:r>
        <w:rPr>
          <w:rStyle w:val="tlid-translation"/>
          <w:sz w:val="24"/>
          <w:szCs w:val="24"/>
        </w:rPr>
        <w:t>y</w:t>
      </w:r>
      <w:r w:rsidRPr="006D37C1">
        <w:rPr>
          <w:rStyle w:val="tlid-translation"/>
          <w:sz w:val="24"/>
          <w:szCs w:val="24"/>
        </w:rPr>
        <w:t xml:space="preserve"> innych aktorów integracji i inne </w:t>
      </w:r>
      <w:r>
        <w:rPr>
          <w:rStyle w:val="tlid-translation"/>
          <w:sz w:val="24"/>
          <w:szCs w:val="24"/>
        </w:rPr>
        <w:t xml:space="preserve">formy </w:t>
      </w:r>
      <w:r w:rsidRPr="006D37C1">
        <w:rPr>
          <w:rStyle w:val="tlid-translation"/>
          <w:sz w:val="24"/>
          <w:szCs w:val="24"/>
        </w:rPr>
        <w:t>promocji medialnej projektu. Przedmiotem kampanii może być jedynie promowanie usług i działań projektu. Nie może to być działanie w celu promowania projektu, co finansowane jest w ramach kosztów pośrednich.</w:t>
      </w:r>
    </w:p>
    <w:p w:rsidR="00C326D1" w:rsidRPr="006D37C1" w:rsidRDefault="00C326D1" w:rsidP="00C326D1">
      <w:pPr>
        <w:ind w:left="567"/>
        <w:jc w:val="both"/>
        <w:rPr>
          <w:b/>
          <w:sz w:val="24"/>
          <w:szCs w:val="24"/>
        </w:rPr>
      </w:pPr>
      <w:r w:rsidRPr="006D37C1">
        <w:rPr>
          <w:b/>
          <w:sz w:val="24"/>
          <w:szCs w:val="24"/>
        </w:rPr>
        <w:t xml:space="preserve">Poniższe działania mogą być realizowane po zakończeniu analogicznych działań na terenie danego województwa realizowanych </w:t>
      </w:r>
      <w:r w:rsidRPr="006D37C1">
        <w:rPr>
          <w:rFonts w:cs="Arial"/>
          <w:b/>
          <w:color w:val="010101"/>
          <w:sz w:val="24"/>
          <w:szCs w:val="24"/>
          <w:lang w:eastAsia="pl-PL"/>
        </w:rPr>
        <w:t>w ramach konkursu 8/2017/OG-FAMI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1. Tworzenie, rozwijanie lub aktualizacja spójnej strategii integracyjnej na terenie województwa lub głównych ośrodków miejskich województwa.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lastRenderedPageBreak/>
        <w:t>Budowanie trwałych struktur organizacyjnych na rzecz integracji w województwie/mieście, współpraca pomiędzy zainteresowanymi stronami pozwalająca na wymianę doświadczeń i najlepszych praktyk, łączenie zasobów w celu świadczenia usług na rzecz obywateli państw trzecich</w:t>
      </w:r>
      <w:r>
        <w:rPr>
          <w:sz w:val="24"/>
          <w:szCs w:val="24"/>
        </w:rPr>
        <w:t>.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Zapewnienie specjalistycznych szkoleń dla personelu pracującego z obywatelami państw trzecich</w:t>
      </w:r>
      <w:r>
        <w:rPr>
          <w:sz w:val="24"/>
          <w:szCs w:val="24"/>
        </w:rPr>
        <w:t>.</w:t>
      </w:r>
    </w:p>
    <w:p w:rsidR="00C326D1" w:rsidRPr="006D37C1" w:rsidRDefault="00C326D1" w:rsidP="00C326D1">
      <w:pPr>
        <w:ind w:left="567"/>
        <w:jc w:val="both"/>
        <w:rPr>
          <w:sz w:val="24"/>
          <w:szCs w:val="24"/>
        </w:rPr>
      </w:pPr>
      <w:r w:rsidRPr="006D37C1">
        <w:rPr>
          <w:sz w:val="24"/>
          <w:szCs w:val="24"/>
        </w:rPr>
        <w:t>2. Działania zmierzające do (lepszego) wykorzystania struktur pomocy społecznej i/lub innych instytucji (np. powiatowych urzędów pracy) i organizacji w celu integracji cudzoziemców, a także wsparcie konkretnej współpracy między nimi mającej na celu pomoc w integracji obywateli państw trzecich oraz rozwój wolontariatu wspierającego integrację obywateli państw trzecich. Np. spotkanie pomiędzy PCPR-ami i UP z danego województwa, próba standaryzacji działań związanych z obsługą cudzoziemców</w:t>
      </w:r>
      <w:r>
        <w:rPr>
          <w:sz w:val="24"/>
          <w:szCs w:val="24"/>
        </w:rPr>
        <w:t>.</w:t>
      </w:r>
    </w:p>
    <w:p w:rsidR="005500AC" w:rsidRPr="00C02E53" w:rsidRDefault="005500AC" w:rsidP="004164CA">
      <w:pPr>
        <w:spacing w:after="0" w:line="336" w:lineRule="atLeast"/>
        <w:ind w:right="240"/>
        <w:jc w:val="both"/>
        <w:rPr>
          <w:rFonts w:asciiTheme="minorHAnsi" w:hAnsiTheme="minorHAnsi"/>
          <w:sz w:val="24"/>
          <w:szCs w:val="24"/>
        </w:rPr>
      </w:pPr>
    </w:p>
    <w:p w:rsidR="00125F70" w:rsidRPr="00AF1CA8" w:rsidRDefault="00125F70" w:rsidP="00192F9F">
      <w:pPr>
        <w:spacing w:after="0" w:line="336" w:lineRule="atLeast"/>
        <w:ind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UWAGA!</w:t>
      </w:r>
    </w:p>
    <w:p w:rsidR="00155772" w:rsidRPr="00AF1CA8" w:rsidRDefault="00155772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Projekt może obejmować teren tylko 1 województwa.</w:t>
      </w:r>
    </w:p>
    <w:p w:rsidR="00155772" w:rsidRPr="00AF1CA8" w:rsidRDefault="00155772" w:rsidP="009E282C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Przed złożeniem wniosku wnioskodawca musi zapoznać się z projektem realizowanym przez odpowiedni Urząd Wojewódzki w ramach konkursu 8/2017/OG-FAMI. Działania winny uzupełniać realizowany już projekt. Należy unikać zbędnego powielania podobnych działań, choć dopuszczalne jest świadczenie tych samych lub podobnych usług, jeżeli wnioskodawca stwierdza, że jest na nie zapotrzebowanie.</w:t>
      </w:r>
    </w:p>
    <w:p w:rsidR="00155772" w:rsidRPr="00AF1CA8" w:rsidRDefault="00125F70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W ramach naboru nr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>12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/201</w:t>
      </w:r>
      <w:r w:rsidR="008A2ED5" w:rsidRPr="00AF1CA8">
        <w:rPr>
          <w:rFonts w:asciiTheme="minorHAnsi" w:hAnsiTheme="minorHAnsi" w:cs="Arial"/>
          <w:bCs/>
          <w:sz w:val="24"/>
          <w:szCs w:val="24"/>
          <w:lang w:eastAsia="pl-PL"/>
        </w:rPr>
        <w:t>9/FAMI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wnioskodawca może złożyć </w:t>
      </w:r>
      <w:r w:rsidR="002017AE">
        <w:rPr>
          <w:rFonts w:asciiTheme="minorHAnsi" w:hAnsiTheme="minorHAnsi" w:cs="Arial"/>
          <w:bCs/>
          <w:sz w:val="24"/>
          <w:szCs w:val="24"/>
          <w:lang w:eastAsia="pl-PL"/>
        </w:rPr>
        <w:t>tylko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 1 wniosek w województwie, maksymalnie w 3 różnych województwach. Jednocześnie organizacja może figurować jako partner tylko w 3 projektach innych organizacji/instytucji.</w:t>
      </w:r>
    </w:p>
    <w:p w:rsidR="00125F70" w:rsidRPr="00AF1CA8" w:rsidRDefault="00DB3C52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Minimalna całkowita wartość takiego projektu musi wynieść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>3</w:t>
      </w:r>
      <w:r w:rsidR="00E062BA" w:rsidRPr="00AF1CA8">
        <w:rPr>
          <w:rFonts w:asciiTheme="minorHAnsi" w:hAnsiTheme="minorHAnsi" w:cs="Arial"/>
          <w:bCs/>
          <w:sz w:val="24"/>
          <w:szCs w:val="24"/>
          <w:lang w:eastAsia="pl-PL"/>
        </w:rPr>
        <w:t>0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0 000 PLN</w:t>
      </w:r>
      <w:r w:rsidR="00CE3746" w:rsidRPr="00AF1CA8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AF1CA8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sz w:val="24"/>
          <w:szCs w:val="24"/>
          <w:lang w:eastAsia="pl-PL"/>
        </w:rPr>
        <w:t xml:space="preserve">Redukcja wartości projektu podczas oceny wniosków do kwoty poniżej </w:t>
      </w:r>
      <w:r w:rsidR="00155772" w:rsidRPr="00AF1CA8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AF1CA8">
        <w:rPr>
          <w:rFonts w:asciiTheme="minorHAnsi" w:hAnsiTheme="minorHAnsi" w:cs="Arial"/>
          <w:sz w:val="24"/>
          <w:szCs w:val="24"/>
          <w:lang w:eastAsia="pl-PL"/>
        </w:rPr>
        <w:t>00 000 PLN nie spowoduje odrzucenia wniosku.</w:t>
      </w:r>
    </w:p>
    <w:p w:rsidR="00155772" w:rsidRPr="00AF1CA8" w:rsidRDefault="00155772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sz w:val="24"/>
          <w:szCs w:val="24"/>
          <w:lang w:eastAsia="pl-PL"/>
        </w:rPr>
        <w:t xml:space="preserve">W przypadku wykorzystania jedynie części środków dla danego województwa ich reszta może zostać wykorzystana w innych województwach na finansowanie projektów o najwyższej punktacji, z zastrzeżeniem iż dofinansowanie faktycznie przyznane projektowi nie może być niższe niż 50% wartości dofinansowania zaakceptowanej przez </w:t>
      </w:r>
      <w:r w:rsidR="009E282C" w:rsidRPr="00AF1CA8">
        <w:rPr>
          <w:rFonts w:asciiTheme="minorHAnsi" w:hAnsiTheme="minorHAnsi" w:cs="Arial"/>
          <w:sz w:val="24"/>
          <w:szCs w:val="24"/>
          <w:lang w:eastAsia="pl-PL"/>
        </w:rPr>
        <w:t xml:space="preserve">Międzyresortowy Zespół ds. Europejskich Funduszy Spraw Wewnętrznych (dalej: Międzyresortowy </w:t>
      </w:r>
      <w:r w:rsidRPr="00AF1CA8">
        <w:rPr>
          <w:rFonts w:asciiTheme="minorHAnsi" w:hAnsiTheme="minorHAnsi" w:cs="Arial"/>
          <w:sz w:val="24"/>
          <w:szCs w:val="24"/>
          <w:lang w:eastAsia="pl-PL"/>
        </w:rPr>
        <w:t>Zespół</w:t>
      </w:r>
      <w:r w:rsidR="009E282C" w:rsidRPr="00AF1CA8">
        <w:rPr>
          <w:rFonts w:asciiTheme="minorHAnsi" w:hAnsiTheme="minorHAnsi" w:cs="Arial"/>
          <w:sz w:val="24"/>
          <w:szCs w:val="24"/>
          <w:lang w:eastAsia="pl-PL"/>
        </w:rPr>
        <w:t>)</w:t>
      </w:r>
      <w:r w:rsidRPr="00AF1CA8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AF1CA8" w:rsidRPr="00C42891" w:rsidRDefault="00AF1CA8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cs="Arial"/>
          <w:color w:val="010101"/>
          <w:sz w:val="24"/>
          <w:szCs w:val="24"/>
          <w:lang w:eastAsia="pl-PL"/>
        </w:rPr>
        <w:t>Podmioty uprawnione do ubiegania się o dofinansowanie: podmioty publiczne lub prywatne (z wyłączeniem osób fizycznych oraz osób fizycznych prowadzących działalność gospodarczą) prowadzące działalność zarejestrowaną w jednym z państw członkowskich Unii Europejskiej, organizacje międzynarodowe lub Międzynarodowy Komitet Czerwonego Krzyża („MKCK”) lub Międzynarodowa Federacja Krajowych Stowarzyszeń Czerwonego Krzyża i Czerwonego Półksiężyca.</w:t>
      </w:r>
    </w:p>
    <w:p w:rsidR="00C42891" w:rsidRPr="00AF1CA8" w:rsidRDefault="00C42891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cs="Arial"/>
          <w:color w:val="010101"/>
          <w:sz w:val="24"/>
          <w:szCs w:val="24"/>
          <w:lang w:eastAsia="pl-PL"/>
        </w:rPr>
        <w:lastRenderedPageBreak/>
        <w:t>W przypadku składania wniosku w partnerstwie należy wypełnić, dodatkowo, oddzielną zakładkę w budżecie z szacunkowymi kosztami każdego członka partnerstwa.</w:t>
      </w:r>
    </w:p>
    <w:p w:rsidR="00125F70" w:rsidRPr="00C02E53" w:rsidRDefault="00125F70" w:rsidP="003171E7">
      <w:pPr>
        <w:spacing w:after="0" w:line="336" w:lineRule="atLeast"/>
        <w:ind w:right="240"/>
        <w:rPr>
          <w:rFonts w:asciiTheme="minorHAnsi" w:hAnsiTheme="minorHAnsi" w:cs="Arial"/>
          <w:sz w:val="24"/>
          <w:szCs w:val="24"/>
          <w:lang w:eastAsia="pl-PL"/>
        </w:rPr>
      </w:pPr>
    </w:p>
    <w:p w:rsidR="00125F70" w:rsidRPr="00C02E53" w:rsidRDefault="00125F70" w:rsidP="00554414">
      <w:pPr>
        <w:numPr>
          <w:ilvl w:val="0"/>
          <w:numId w:val="6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Wartość dofinansowania</w:t>
      </w:r>
    </w:p>
    <w:p w:rsidR="00125F70" w:rsidRPr="00C02E53" w:rsidRDefault="00125F70" w:rsidP="001A673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 projektów wybranych w otwartym naborze, w tym projektów organizacji pozarządowych, dofinansowanie z Funduszu nie przekroczy 75% całkowitych kosztów kwalifikowanych projektu. Pozostałe dofinansowanie projektów musi być zapewnione przez beneficjentów/partnerów projektów. Organizacje pozarządowe mogą wnioskować o dodatkowe dofinansowanie z budżetu państwa w wysokości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10%.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Wydatki kwalifikowane i niekwalifikowane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Dokładny katalog i opis wydatków kwalifikowalnych zawiera Podręcznik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Kwalifikowalne są poniższe kategorie wydatków: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personelu (z wyłączeniem kosztów zarządzania projektem)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transportu, podróży i utrzymania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sprzęt i wyposażenie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nieruchomości (zakup, budowa, remont, najem, usługi ogólne)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towary zużywające się i zaopatrzenie, inne wydatki drobne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usługi zewnętrzne (podwykonawstwo)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informacje, publikacje i promocja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inne koszy bezpośrednie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niestanowiące podstawy obliczenia kosztów pośrednich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Koszty pośrednie</w:t>
      </w:r>
    </w:p>
    <w:p w:rsidR="00125F70" w:rsidRPr="00C02E53" w:rsidRDefault="00125F70" w:rsidP="009E282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Kalkulację kosztów pośrednich w projektach dokonuje się w sposób określony w rozdziale 3.12 Podręcznika dla Beneficjenta.</w:t>
      </w:r>
    </w:p>
    <w:p w:rsidR="00125F70" w:rsidRPr="00C02E53" w:rsidRDefault="00125F70" w:rsidP="00554414">
      <w:pPr>
        <w:numPr>
          <w:ilvl w:val="0"/>
          <w:numId w:val="8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System przepływów finansowych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 jest szczegółowo opisany w rozdziale 4.1 </w:t>
      </w:r>
      <w:r w:rsidR="009E282C" w:rsidRPr="00C02E53">
        <w:rPr>
          <w:rFonts w:asciiTheme="minorHAnsi" w:hAnsiTheme="minorHAnsi" w:cs="Arial"/>
          <w:sz w:val="24"/>
          <w:szCs w:val="24"/>
          <w:lang w:eastAsia="pl-PL"/>
        </w:rPr>
        <w:t>Podręcznika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Państwowe Jednostki Budżetowe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Wydatki państwowych jednostek budżetowych objęte zostaną w całości prefinansowaniem z budżetu państwa.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Podmioty niebędące państwowymi jednostkami budżetowymi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lastRenderedPageBreak/>
        <w:t>Pierwsza płatność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Beneficjent składa wniosek o pierwszą zaliczkę do Organu Delegowanego w terminach określonych w zawartej Umowie.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Druga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raporcie kwartalnym za pierwszy kwartał realizacji Projektu min. 70% wydatków planowanych w pierwszym kwartale. 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Trzecia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raportach kwartalnych za drugi i trzeci kwartał realizacji Projektu min. 70% wydatków planowanych w tych kwartałach.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w kwartałach drugim i trzecim.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Czwarta i następne płatności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czwarta i następne płatności zaliczki wypłacane 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:rsidR="00125F70" w:rsidRPr="00C02E53" w:rsidRDefault="00125F70" w:rsidP="00554414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Okres kwalifikowalności wydatków w naborze</w:t>
      </w:r>
    </w:p>
    <w:p w:rsidR="00125F70" w:rsidRPr="00C02E53" w:rsidRDefault="00125F70" w:rsidP="00F555D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Początkowa data kwalifikowalności wydatków to 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1 września 2019 r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>.</w:t>
      </w:r>
      <w:r w:rsidR="00763E4B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Pr="00686BCA">
        <w:rPr>
          <w:rFonts w:asciiTheme="minorHAnsi" w:hAnsiTheme="minorHAnsi" w:cs="Arial"/>
          <w:sz w:val="24"/>
          <w:szCs w:val="24"/>
          <w:lang w:eastAsia="pl-PL"/>
        </w:rPr>
        <w:t xml:space="preserve">Końcowa data kwalifikowalności wydatków nie może wykraczać poza dzień 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3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0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września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20</w:t>
      </w:r>
      <w:r w:rsidR="0023503D" w:rsidRPr="00686BCA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r.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Maksymalny czas realizacji projekt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 dla tego naboru to </w:t>
      </w:r>
      <w:r w:rsidR="009E282C">
        <w:rPr>
          <w:rFonts w:asciiTheme="minorHAnsi" w:hAnsiTheme="minorHAnsi" w:cs="Arial"/>
          <w:b/>
          <w:bCs/>
          <w:sz w:val="24"/>
          <w:szCs w:val="24"/>
          <w:lang w:eastAsia="pl-PL"/>
        </w:rPr>
        <w:t>36 miesięcy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554414">
      <w:pPr>
        <w:numPr>
          <w:ilvl w:val="0"/>
          <w:numId w:val="10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projektów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formalna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Wnioski o dofinansowanie podlegają ocenie formalnej niezwłocznie po ich złożeniu do </w:t>
      </w:r>
      <w:r w:rsidR="0023503D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ekspertów </w:t>
      </w:r>
      <w:r w:rsidR="0023503D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D8258C" w:rsidRPr="00C02E53">
        <w:rPr>
          <w:rFonts w:asciiTheme="minorHAnsi" w:hAnsiTheme="minorHAnsi"/>
          <w:sz w:val="24"/>
          <w:szCs w:val="24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przy użyciu Arkusza oceny formalnej,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 stwierdzeniu braków lub błędów formalnych podlegających procedurze uzupełnień, wskazanych w pkt</w:t>
      </w:r>
      <w:r w:rsidR="00763E4B" w:rsidRPr="00C02E53">
        <w:rPr>
          <w:rFonts w:asciiTheme="minorHAnsi" w:hAnsiTheme="minorHAnsi" w:cs="Arial"/>
          <w:sz w:val="24"/>
          <w:szCs w:val="24"/>
          <w:lang w:eastAsia="pl-PL"/>
        </w:rPr>
        <w:t>. V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niniejszego ogłoszenia, do wnioskodawcy wysyłane jest pismo z prośbą o korektę wniosku. Przesłana przez wnioskodawcę korekta nie może powodować zmiany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merytorycznej zawartości wniosku. Wprowadzenie we wniosku zmian wykraczających poza prośbę o korektę skierowaną do wnioskodawcy może zostać potraktowane, jako niedopuszczalna modyfikacja wniosku i skutkować jego odrzuceniem.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Jeżeli uzupełnienie wniosku nie zmieni ogólnego układu dokumentu należy przysyłać jedynie zmienioną część wniosku.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 terminie określonym w piśmie do wnioskodawcy korekta nie zostanie przesłana wniosek zostanie odrzucony. W przypadku przesyłania poprawionych dokumentów pocztą, o dochowaniu terminu decyduje data stempla pocztowego.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Odwołanie od oceny formalnej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ma prawo do złożenia odwołania na tym etapie oceny.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Odwołanie będzie rozpatrywane przez eksperta wybranego w drodze losowania z puli ekspertów wybranych do oceny projektów dla przedmiotowego naboru.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 celu rozpatrzenia odwołania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COPE 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analizuje wniosek pod względem kryteriów formalnych, biorąc pod uwagę argumentację Wnioskodawcy zawartą w odwołaniu. 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Odwołanie powinno zostać złożone do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ciągu 10 dni kalendarzowych od daty otrzymania przez Wnioskodawcę pisma zawiadamiającego o odrzuceniu wniosku na etapie oceny formalnej.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merytoryczna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BA7961">
        <w:rPr>
          <w:rFonts w:asciiTheme="minorHAnsi" w:hAnsiTheme="minorHAnsi" w:cs="Arial"/>
          <w:sz w:val="24"/>
          <w:szCs w:val="24"/>
          <w:lang w:eastAsia="pl-PL"/>
        </w:rPr>
        <w:t>Oceny merytorycznej projektów dokonuj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 xml:space="preserve">ą eksperci </w:t>
      </w:r>
      <w:r w:rsidR="00AF1CA8" w:rsidRPr="00BA7961">
        <w:rPr>
          <w:rFonts w:asciiTheme="minorHAnsi" w:hAnsiTheme="minorHAnsi" w:cs="Arial"/>
          <w:sz w:val="24"/>
          <w:szCs w:val="24"/>
          <w:lang w:eastAsia="pl-PL"/>
        </w:rPr>
        <w:t xml:space="preserve">wyznaczeni przez 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>Organ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Odpowiedzialn</w:t>
      </w:r>
      <w:r w:rsidR="00AF1CA8" w:rsidRPr="00BA7961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(Departament 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>Funduszy Europejskich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Ministerstwa Spraw </w:t>
      </w:r>
      <w:r w:rsidR="00D8258C" w:rsidRPr="00BA7961">
        <w:rPr>
          <w:rFonts w:asciiTheme="minorHAnsi" w:hAnsiTheme="minorHAnsi"/>
          <w:sz w:val="24"/>
          <w:szCs w:val="24"/>
        </w:rPr>
        <w:t>Wewnętrznych i Administracji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merytoryczna odbywa się w ciągu maks. 45 dni po zakończeniu oceny formalnej. Osoby oceniające zobowiązują się do przestrzegania zasad bezstronności i poufności.</w:t>
      </w:r>
    </w:p>
    <w:p w:rsidR="00125F70" w:rsidRPr="00C02E53" w:rsidRDefault="001A053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Organ Odpowiedzialny </w:t>
      </w:r>
      <w:r w:rsidR="00125F70" w:rsidRPr="00C02E53">
        <w:rPr>
          <w:rFonts w:asciiTheme="minorHAnsi" w:hAnsiTheme="minorHAnsi" w:cs="Arial"/>
          <w:sz w:val="24"/>
          <w:szCs w:val="24"/>
          <w:lang w:eastAsia="pl-PL"/>
        </w:rPr>
        <w:t>losuje osoby oceniające poszczególne projekty.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 przypadku, gdy rozbieżność punktowa między osobami oceniającymi dany wniosek wynosi min. 30 punktów lub gdy ogólna punktacja przyznana przez jednego z oceniających jest poniżej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progu kwalifikującego do dofinansowania, zaś punktacja przyznana przez drugiego z oceniających jest powyżej progu kwalifikującego do dofinansowania (pod warunkiem, że w żadnej z kategorii B, C lub D obaj oceniający jednocześnie nie zdyskwalifikowali wniosku) wniosek podlega dodatkowej ocenie przez trzeciego oceniającego, wyznaczanego przez Przewodniczącego K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omitetu Oceny Projektów (KOP)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takiej sytuacji ostateczną oceną wniosku jest ocena trzeciego oceniającego oraz tego z pierwotnych oceniających, którego ocena jest bliższa punktowo ocenie trzeciego oceniającego. W przypadku, gdy ocena trzeciego oceniającego jest punktowo jednakowo oddalona od ocen obu pierwotnych oceniających pod uwagę bierze się ocenę z większą liczbą punktów.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Wybór wniosków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Na podstawie rekomendacji KOP, wyboru wniosków dokonuje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Międzyresortowy Zespół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Decyzja Międzyresortowego Zespołu jest ostateczna.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Akceptację Międzyresortowego Zespołu mogą uzyskać jedynie wnioski, które otrzymały co najmniej 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:rsidR="00125F70" w:rsidRPr="00C02E53" w:rsidRDefault="00125F70" w:rsidP="00554414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Kryteria wyboru projektów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formalne dla naboru wniosków są następujące: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lang w:eastAsia="pl-PL"/>
        </w:rPr>
        <w:t>KRYTERIA OCENY FORMALNEJ NIEPODLEGAJĄCE TRYBOWI UZUPEŁNIEŃ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Wniosek wpłynął do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wyznaczonym terminie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Wniosek został przygotowany na odpowiednim formularzu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jest uprawniony do ubiegania się o dofinansowanie w ramach Funduszu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Czas real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izacji projektu nie przekracza </w:t>
      </w:r>
      <w:r w:rsidR="00B5766B">
        <w:rPr>
          <w:rFonts w:asciiTheme="minorHAnsi" w:hAnsiTheme="minorHAnsi" w:cs="Arial"/>
          <w:sz w:val="24"/>
          <w:szCs w:val="24"/>
          <w:lang w:eastAsia="pl-PL"/>
        </w:rPr>
        <w:t>36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miesięcy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Wartość projektu nie jest niższa niż minimalna wartość projektu określona w naborze 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Daty rozpoczęcia i zakończenia projektu nie wykraczają poza dopuszczalny termin kwalifikowalności wydatków ustalony dla naboru 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OCENY FORMALNEJ PODLEGAJĄCE PROCEDURZE UZUPEŁNIEŃ W TRYBIE 3 DNI ROBOCZYCH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Złożono 2 wymagane egzemplarze wniosku 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w formie pisemnej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(dwa oryginały albo jeden oryginał i kopia potwier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dzona za zgodność z oryginałem) 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dokumen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wszystkie obowiązkowe załączniki w 2 egzemplarzach w formie p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isemnej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dokumentom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Złożono płytę CD/DVD </w:t>
      </w:r>
      <w:r w:rsidR="00B5766B">
        <w:rPr>
          <w:rFonts w:asciiTheme="minorHAnsi" w:hAnsiTheme="minorHAnsi" w:cs="Arial"/>
          <w:sz w:val="24"/>
          <w:szCs w:val="24"/>
          <w:lang w:eastAsia="pl-PL"/>
        </w:rPr>
        <w:t xml:space="preserve">lub pendrive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zawierającą edytowalną wersję wniosku i wszystkich obowiązkowych załączników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,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B5766B">
        <w:rPr>
          <w:rFonts w:asciiTheme="minorHAnsi" w:hAnsiTheme="minorHAnsi"/>
          <w:spacing w:val="-2"/>
          <w:sz w:val="24"/>
        </w:rPr>
        <w:t xml:space="preserve">tj. załączników </w:t>
      </w:r>
      <w:r w:rsidR="005F556C" w:rsidRPr="00C02E53">
        <w:rPr>
          <w:rFonts w:asciiTheme="minorHAnsi" w:hAnsiTheme="minorHAnsi"/>
          <w:spacing w:val="-2"/>
          <w:sz w:val="24"/>
        </w:rPr>
        <w:t>A, B1, B2, i C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zadeklarował identyczność wersji papierowej z elektronicz</w:t>
      </w:r>
      <w:r w:rsidR="00B5766B">
        <w:rPr>
          <w:rFonts w:asciiTheme="minorHAnsi" w:hAnsiTheme="minorHAnsi" w:cs="Arial"/>
          <w:sz w:val="24"/>
          <w:szCs w:val="24"/>
          <w:lang w:eastAsia="pl-PL"/>
        </w:rPr>
        <w:t>ną wersją złożonej dokumentacji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MERYTORYCZNE dla naboru wniosków są następujące: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jest zgodny z zakresem ogłoszonego konkursu? TAK/NIE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Sytuacja i wymogi w Państwie Członkowskim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projekt jest spójny w zakresie celów, oczekiwanych rezultatów, uzasadnienia, opisu działań, harmonogramu, budżetu 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>i formularza wskaźników? –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Wnioskodawca przedstawił projekt w sposób wyczerpując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8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stanowi kompleksową odpowiedź na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zidentyfikowane problemy?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14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odpowiada na istniejące problemy i przyczynia się do polepszenia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sytuacji grupy docelowej?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8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lub nadużyć w tym zakresie, ofiary handlu ludźmi oraz osoby potrzebujące natychmiastowej opieki i niezb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ędnego leczenia chorób?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5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Efektywność kosztowa i trwałość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ogólny stosunek między szacowanymi kosztami a oczekiwanymi rezultatami jest zadowalający?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7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poszczególne wydatki (w tym ich wysokość) są konieczne i adekwatne do realizacji działań przewidzianych w projekcie?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12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zawiera obiektywnie sprawdzalne i możliwe do osiągnięcia wskaźniki dla zakładanych celów?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Czy projekt spełnia kryterium trwałości rezultatów (czy rezultaty będą miały długofalowy wpływ na grupę docelową i/lub spo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łeczeństwo przyjmujące)?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Doświadczenie, wiedza fachowa, wiarygodność i wkład finansowy wnioskodawcy i partnera/ów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doświadczenie wnioskodawcy oraz partnerów w zarządzaniu projektami o tematyce odpowiadającej przedmiotowemu projekt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owi jest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 xml:space="preserve"> 1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kompetencje merytoryczne wnioskodawcy oraz partnerów, a także zaproponowana kadra specjalistów zaangażowanych w projekt są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zasoby techniczne i rzeczowe wnioskodawcy oraz partnerów umożliwiają realizację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źródła finansowania wnioskodawcy oraz partnerów zapewniają ciągłość realizacji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3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Zapewnienie widoczności finansowania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przyczyni się do rozpowszechnienia i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nformacji na temat FAMI?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Zakres, w jakim projekt uzupełnia inne działania finansowane z budżetu Unii Europejskiej lub stanowi część programów krajowych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proponowane działania są kompatybilne z innymi działaniami na poziomie regionalnym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, krajowym i/lub unijnym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?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Projekty, które uzyskają co najmniej 65 punktów 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w wyniku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ocen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merytorycznej (w tym minimum 50% punktacji w ramach kategorii B, C i D) zostaną umieszczone na liście rankingowej. Projekty, które ze względu na niewystarczającą ilość środków nie uzyskały dofinansowania, będą umieszczone na liście rezerwowej.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Karty oceny formalnej i merytorycznej zawierające kryteria wyboru projektów znajdują się w załączniku do ogłoszenia.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Ostatecznej rekomendacji projektów do dofinansowania dokonuje </w:t>
      </w:r>
      <w:r w:rsidRPr="00F84506">
        <w:rPr>
          <w:rFonts w:asciiTheme="minorHAnsi" w:hAnsiTheme="minorHAnsi" w:cs="Arial"/>
          <w:b/>
          <w:bCs/>
          <w:iCs/>
          <w:sz w:val="24"/>
          <w:szCs w:val="24"/>
          <w:lang w:eastAsia="pl-PL"/>
        </w:rPr>
        <w:t>Międzyresortowy Zespół</w:t>
      </w:r>
      <w:r w:rsidRPr="00F84506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Termin, miejsce i sposób składania wniosków o dofinansowanie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Nabór projektów odbywa się w 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okresie od dnia </w:t>
      </w:r>
      <w:r w:rsidR="00680A82">
        <w:rPr>
          <w:rFonts w:asciiTheme="minorHAnsi" w:hAnsiTheme="minorHAnsi" w:cs="Arial"/>
          <w:b/>
          <w:bCs/>
          <w:sz w:val="24"/>
          <w:szCs w:val="24"/>
          <w:lang w:eastAsia="pl-PL"/>
        </w:rPr>
        <w:t>25.03.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 do dnia </w:t>
      </w:r>
      <w:r w:rsidR="00263602">
        <w:rPr>
          <w:rFonts w:asciiTheme="minorHAnsi" w:hAnsiTheme="minorHAnsi" w:cs="Arial"/>
          <w:b/>
          <w:bCs/>
          <w:sz w:val="24"/>
          <w:szCs w:val="24"/>
          <w:lang w:eastAsia="pl-PL"/>
        </w:rPr>
        <w:t>17.05</w:t>
      </w:r>
      <w:bookmarkStart w:id="0" w:name="_GoBack"/>
      <w:bookmarkEnd w:id="0"/>
      <w:r w:rsidR="00F5131D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  <w:r w:rsidR="00E831CA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r., do godz. 1</w:t>
      </w:r>
      <w:r w:rsidR="009E282C">
        <w:rPr>
          <w:rFonts w:asciiTheme="minorHAnsi" w:hAnsiTheme="minorHAnsi" w:cs="Arial"/>
          <w:b/>
          <w:bCs/>
          <w:sz w:val="24"/>
          <w:szCs w:val="24"/>
          <w:lang w:eastAsia="pl-PL"/>
        </w:rPr>
        <w:t>5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.00.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2 komplety dokumentów w języku polskim (dwa oryginały albo jeden oryginał i kopia potwierdzona za zgodność z oryginałem) w wersji papierowej wraz z 2 egzemplarzami załączników oraz wersjami edytowalnymi Wniosku i załączników obowiązkowych na płycie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CD/DVD 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lub </w:t>
      </w:r>
      <w:r w:rsidR="00AF1CA8">
        <w:rPr>
          <w:rFonts w:asciiTheme="minorHAnsi" w:hAnsiTheme="minorHAnsi" w:cs="Arial"/>
          <w:sz w:val="24"/>
          <w:szCs w:val="24"/>
          <w:lang w:eastAsia="pl-PL"/>
        </w:rPr>
        <w:t>pendrive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powinny być dostarczone w kopercie lub paczce, drogą pocztową, przesyłką kurierską (w tych przypadkach decyduje data stempla pocztowego lub dowodu nadania) lub osobiście do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MSWiA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na adres:</w:t>
      </w:r>
    </w:p>
    <w:p w:rsidR="005500AC" w:rsidRPr="00C02E53" w:rsidRDefault="00E831CA" w:rsidP="00554414">
      <w:pPr>
        <w:spacing w:before="100" w:beforeAutospacing="1" w:after="100" w:afterAutospacing="1" w:line="336" w:lineRule="atLeast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Centrum Obsługi Projektów Europejskich Ministerstwa</w:t>
      </w:r>
      <w:r w:rsidR="001C2E94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Spraw Wewnętrznych</w:t>
      </w:r>
      <w:r w:rsidR="004A39AE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i Administracji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ul. 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Puławska 99A</w:t>
      </w:r>
      <w:r w:rsidR="00763E4B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, 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02-</w:t>
      </w:r>
      <w:r w:rsidR="00554414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59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Warszawa</w:t>
      </w:r>
    </w:p>
    <w:p w:rsidR="00880F7B" w:rsidRPr="00C02E53" w:rsidRDefault="00125F70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Koperta lub paczka zawierająca kompletną dokumentację aplikacyjną powinna być opatrzona następującymi sformułowaniami:</w:t>
      </w:r>
    </w:p>
    <w:p w:rsidR="00125F70" w:rsidRPr="00C02E53" w:rsidRDefault="008A2ED5" w:rsidP="00061875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Fundusz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Azylu, Migracji i Integracji 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- w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niosek o dofinansowanie projektu w ramach naboru nr </w:t>
      </w:r>
      <w:r w:rsidR="00AF1CA8">
        <w:rPr>
          <w:rFonts w:asciiTheme="minorHAnsi" w:hAnsiTheme="minorHAnsi" w:cs="Arial"/>
          <w:b/>
          <w:bCs/>
          <w:sz w:val="24"/>
          <w:szCs w:val="24"/>
          <w:lang w:eastAsia="pl-PL"/>
        </w:rPr>
        <w:t>12</w:t>
      </w:r>
      <w:r w:rsidR="00E831C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pełna nazwa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adres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tytuł projektu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Termin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dostarczenia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wniosku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nie może być późniejszy niż 10 dni kalendarzowych następujących po 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dniu zakończenia naboru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. O dochowaniu terminu decyduje data stempla pocztowego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Dodatkowe informacje dot. naboru udzielane są w formie pisemnej.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Korespondencja w sprawie złożonych wniosków przekazywana jest wnioskodawcy przez </w:t>
      </w:r>
      <w:r w:rsidR="00E831CA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COPE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AF1CA8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faksem lub pocztą elektroniczną – zgodnie z danymi podanymi przez wnioskodawcę we wniosku aplikacyjnym. 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Terminy liczone są od terminu przekazania wnioskodawcy informacji faksem (data liczona od potwierdzenia przesłania faksu) lub terminu przesłania wiadomości pocztą elektroniczną za potwierdzeniem odbioru.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Odpowiedź na zapytanie wnioskodawcy przekazywana jest w terminie 5 dni roboczych.</w:t>
      </w:r>
    </w:p>
    <w:p w:rsidR="00125F70" w:rsidRPr="00C02E53" w:rsidRDefault="00125F70" w:rsidP="00763E4B">
      <w:pPr>
        <w:spacing w:before="100" w:beforeAutospacing="1" w:after="100" w:afterAutospacing="1" w:line="336" w:lineRule="atLeast"/>
        <w:jc w:val="both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Zapytania należy kierować na adres poczty elektronicznej: </w:t>
      </w:r>
      <w:hyperlink r:id="rId8" w:history="1">
        <w:r w:rsidRPr="00C02E53">
          <w:rPr>
            <w:rFonts w:asciiTheme="minorHAnsi" w:hAnsiTheme="minorHAnsi" w:cs="Arial"/>
            <w:b/>
            <w:bCs/>
            <w:sz w:val="24"/>
            <w:szCs w:val="24"/>
            <w:u w:val="single"/>
            <w:lang w:eastAsia="pl-PL"/>
          </w:rPr>
          <w:t>fundusze.kontakt@MSWiA.gov.pl</w:t>
        </w:r>
      </w:hyperlink>
    </w:p>
    <w:sectPr w:rsidR="00125F70" w:rsidRPr="00C02E53" w:rsidSect="00DE0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2F" w:rsidRDefault="0042492F" w:rsidP="009F1EE2">
      <w:pPr>
        <w:spacing w:after="0" w:line="240" w:lineRule="auto"/>
      </w:pPr>
      <w:r>
        <w:separator/>
      </w:r>
    </w:p>
  </w:endnote>
  <w:endnote w:type="continuationSeparator" w:id="0">
    <w:p w:rsidR="0042492F" w:rsidRDefault="0042492F" w:rsidP="009F1EE2">
      <w:pPr>
        <w:spacing w:after="0" w:line="240" w:lineRule="auto"/>
      </w:pPr>
      <w:r>
        <w:continuationSeparator/>
      </w:r>
    </w:p>
  </w:endnote>
  <w:endnote w:type="continuationNotice" w:id="1">
    <w:p w:rsidR="0042492F" w:rsidRDefault="00424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45860"/>
      <w:docPartObj>
        <w:docPartGallery w:val="Page Numbers (Bottom of Page)"/>
        <w:docPartUnique/>
      </w:docPartObj>
    </w:sdtPr>
    <w:sdtEndPr/>
    <w:sdtContent>
      <w:p w:rsidR="00EB3143" w:rsidRDefault="00EB31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B3143" w:rsidRDefault="00EB3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2F" w:rsidRDefault="0042492F" w:rsidP="009F1EE2">
      <w:pPr>
        <w:spacing w:after="0" w:line="240" w:lineRule="auto"/>
      </w:pPr>
      <w:r>
        <w:separator/>
      </w:r>
    </w:p>
  </w:footnote>
  <w:footnote w:type="continuationSeparator" w:id="0">
    <w:p w:rsidR="0042492F" w:rsidRDefault="0042492F" w:rsidP="009F1EE2">
      <w:pPr>
        <w:spacing w:after="0" w:line="240" w:lineRule="auto"/>
      </w:pPr>
      <w:r>
        <w:continuationSeparator/>
      </w:r>
    </w:p>
  </w:footnote>
  <w:footnote w:type="continuationNotice" w:id="1">
    <w:p w:rsidR="0042492F" w:rsidRDefault="004249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 w15:restartNumberingAfterBreak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70641"/>
    <w:multiLevelType w:val="singleLevel"/>
    <w:tmpl w:val="5F30BB1E"/>
    <w:lvl w:ilvl="0">
      <w:start w:val="3"/>
      <w:numFmt w:val="decimal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snapToGrid/>
        <w:spacing w:val="-1"/>
        <w:sz w:val="24"/>
        <w:szCs w:val="24"/>
      </w:rPr>
    </w:lvl>
  </w:abstractNum>
  <w:abstractNum w:abstractNumId="2" w15:restartNumberingAfterBreak="0">
    <w:nsid w:val="068C5D8A"/>
    <w:multiLevelType w:val="multilevel"/>
    <w:tmpl w:val="90F4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155E0"/>
    <w:multiLevelType w:val="singleLevel"/>
    <w:tmpl w:val="6BBCE99D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rFonts w:cs="Times New Roman"/>
        <w:snapToGrid/>
        <w:spacing w:val="-2"/>
        <w:sz w:val="24"/>
        <w:szCs w:val="24"/>
      </w:rPr>
    </w:lvl>
  </w:abstractNum>
  <w:abstractNum w:abstractNumId="4" w15:restartNumberingAfterBreak="0">
    <w:nsid w:val="0AA10232"/>
    <w:multiLevelType w:val="hybridMultilevel"/>
    <w:tmpl w:val="DFE8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9E674A"/>
    <w:multiLevelType w:val="hybridMultilevel"/>
    <w:tmpl w:val="A930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D7F8B"/>
    <w:multiLevelType w:val="hybridMultilevel"/>
    <w:tmpl w:val="BDAC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B31"/>
    <w:multiLevelType w:val="multilevel"/>
    <w:tmpl w:val="12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730AD"/>
    <w:multiLevelType w:val="hybridMultilevel"/>
    <w:tmpl w:val="23302F5E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FB2CA9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1C6A91"/>
    <w:multiLevelType w:val="hybridMultilevel"/>
    <w:tmpl w:val="9C4C8E54"/>
    <w:lvl w:ilvl="0" w:tplc="5D480C06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942676C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6735A"/>
    <w:multiLevelType w:val="multilevel"/>
    <w:tmpl w:val="176A8B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46CD"/>
    <w:multiLevelType w:val="hybridMultilevel"/>
    <w:tmpl w:val="E6E686B8"/>
    <w:lvl w:ilvl="0" w:tplc="EB98D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F8042E"/>
    <w:multiLevelType w:val="multilevel"/>
    <w:tmpl w:val="0F5A6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CD5F13"/>
    <w:multiLevelType w:val="multilevel"/>
    <w:tmpl w:val="5F78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36BEA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DE7829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A630C5"/>
    <w:multiLevelType w:val="multilevel"/>
    <w:tmpl w:val="72A8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112F7F"/>
    <w:multiLevelType w:val="hybridMultilevel"/>
    <w:tmpl w:val="9A2026EE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D3572D5"/>
    <w:multiLevelType w:val="hybridMultilevel"/>
    <w:tmpl w:val="5B3C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61ED"/>
    <w:multiLevelType w:val="hybridMultilevel"/>
    <w:tmpl w:val="E340B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3AB4"/>
    <w:multiLevelType w:val="multilevel"/>
    <w:tmpl w:val="8954FA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FD6C94"/>
    <w:multiLevelType w:val="multilevel"/>
    <w:tmpl w:val="576E9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B5065D"/>
    <w:multiLevelType w:val="hybridMultilevel"/>
    <w:tmpl w:val="7D746D3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947465"/>
    <w:multiLevelType w:val="multilevel"/>
    <w:tmpl w:val="1C7405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39198F"/>
    <w:multiLevelType w:val="hybridMultilevel"/>
    <w:tmpl w:val="FF2C05D0"/>
    <w:lvl w:ilvl="0" w:tplc="A8A67A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781A54F0"/>
    <w:multiLevelType w:val="hybridMultilevel"/>
    <w:tmpl w:val="B5783452"/>
    <w:lvl w:ilvl="0" w:tplc="55DC3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0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03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0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3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2BFC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1"/>
  </w:num>
  <w:num w:numId="5">
    <w:abstractNumId w:val="24"/>
  </w:num>
  <w:num w:numId="6">
    <w:abstractNumId w:val="11"/>
  </w:num>
  <w:num w:numId="7">
    <w:abstractNumId w:val="38"/>
  </w:num>
  <w:num w:numId="8">
    <w:abstractNumId w:val="29"/>
  </w:num>
  <w:num w:numId="9">
    <w:abstractNumId w:val="5"/>
  </w:num>
  <w:num w:numId="10">
    <w:abstractNumId w:val="7"/>
  </w:num>
  <w:num w:numId="11">
    <w:abstractNumId w:val="33"/>
  </w:num>
  <w:num w:numId="12">
    <w:abstractNumId w:val="16"/>
  </w:num>
  <w:num w:numId="13">
    <w:abstractNumId w:val="16"/>
    <w:lvlOverride w:ilvl="0"/>
    <w:lvlOverride w:ilvl="1">
      <w:startOverride w:val="1"/>
    </w:lvlOverride>
  </w:num>
  <w:num w:numId="14">
    <w:abstractNumId w:val="30"/>
  </w:num>
  <w:num w:numId="15">
    <w:abstractNumId w:val="0"/>
  </w:num>
  <w:num w:numId="16">
    <w:abstractNumId w:val="17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584" w:hanging="432"/>
        </w:pPr>
        <w:rPr>
          <w:rFonts w:cs="Times New Roman"/>
          <w:snapToGrid/>
          <w:spacing w:val="-2"/>
          <w:sz w:val="24"/>
          <w:szCs w:val="24"/>
        </w:rPr>
      </w:lvl>
    </w:lvlOverride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34"/>
  </w:num>
  <w:num w:numId="27">
    <w:abstractNumId w:val="3"/>
  </w:num>
  <w:num w:numId="28">
    <w:abstractNumId w:val="9"/>
  </w:num>
  <w:num w:numId="29">
    <w:abstractNumId w:val="26"/>
  </w:num>
  <w:num w:numId="30">
    <w:abstractNumId w:val="35"/>
  </w:num>
  <w:num w:numId="31">
    <w:abstractNumId w:val="12"/>
  </w:num>
  <w:num w:numId="32">
    <w:abstractNumId w:val="27"/>
  </w:num>
  <w:num w:numId="33">
    <w:abstractNumId w:val="25"/>
  </w:num>
  <w:num w:numId="34">
    <w:abstractNumId w:val="37"/>
  </w:num>
  <w:num w:numId="35">
    <w:abstractNumId w:val="4"/>
  </w:num>
  <w:num w:numId="36">
    <w:abstractNumId w:val="10"/>
  </w:num>
  <w:num w:numId="37">
    <w:abstractNumId w:val="18"/>
  </w:num>
  <w:num w:numId="38">
    <w:abstractNumId w:val="6"/>
  </w:num>
  <w:num w:numId="39">
    <w:abstractNumId w:val="36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0065BC"/>
    <w:rsid w:val="000067C9"/>
    <w:rsid w:val="00025E5B"/>
    <w:rsid w:val="000470D3"/>
    <w:rsid w:val="00061875"/>
    <w:rsid w:val="000631D0"/>
    <w:rsid w:val="000928AE"/>
    <w:rsid w:val="000A2A1D"/>
    <w:rsid w:val="000A5D12"/>
    <w:rsid w:val="000A62EC"/>
    <w:rsid w:val="000C090F"/>
    <w:rsid w:val="000C6807"/>
    <w:rsid w:val="000C6C0D"/>
    <w:rsid w:val="000E43BC"/>
    <w:rsid w:val="000F5BD5"/>
    <w:rsid w:val="001077C1"/>
    <w:rsid w:val="00116064"/>
    <w:rsid w:val="001177C1"/>
    <w:rsid w:val="00125F70"/>
    <w:rsid w:val="00132364"/>
    <w:rsid w:val="00132931"/>
    <w:rsid w:val="001555AD"/>
    <w:rsid w:val="00155772"/>
    <w:rsid w:val="0015746A"/>
    <w:rsid w:val="00176D76"/>
    <w:rsid w:val="00177115"/>
    <w:rsid w:val="00192F9F"/>
    <w:rsid w:val="001A0535"/>
    <w:rsid w:val="001A673C"/>
    <w:rsid w:val="001C2E94"/>
    <w:rsid w:val="001C4A7B"/>
    <w:rsid w:val="001E3989"/>
    <w:rsid w:val="002017AE"/>
    <w:rsid w:val="00202F11"/>
    <w:rsid w:val="00230E16"/>
    <w:rsid w:val="0023503D"/>
    <w:rsid w:val="00255C76"/>
    <w:rsid w:val="00256D89"/>
    <w:rsid w:val="00263602"/>
    <w:rsid w:val="002C364C"/>
    <w:rsid w:val="002C55DD"/>
    <w:rsid w:val="002F4697"/>
    <w:rsid w:val="002F5A29"/>
    <w:rsid w:val="003171E7"/>
    <w:rsid w:val="00332B66"/>
    <w:rsid w:val="00337910"/>
    <w:rsid w:val="003431AA"/>
    <w:rsid w:val="00364B64"/>
    <w:rsid w:val="00372B60"/>
    <w:rsid w:val="00384D13"/>
    <w:rsid w:val="003852E5"/>
    <w:rsid w:val="0039203D"/>
    <w:rsid w:val="00394538"/>
    <w:rsid w:val="003A37FB"/>
    <w:rsid w:val="003B5E03"/>
    <w:rsid w:val="003D0C51"/>
    <w:rsid w:val="003D2275"/>
    <w:rsid w:val="003D5835"/>
    <w:rsid w:val="003E0C79"/>
    <w:rsid w:val="00402A58"/>
    <w:rsid w:val="00405DB6"/>
    <w:rsid w:val="004140CA"/>
    <w:rsid w:val="004164CA"/>
    <w:rsid w:val="0042492F"/>
    <w:rsid w:val="00426F28"/>
    <w:rsid w:val="00432557"/>
    <w:rsid w:val="00432CF8"/>
    <w:rsid w:val="00441653"/>
    <w:rsid w:val="004A19AB"/>
    <w:rsid w:val="004A39AE"/>
    <w:rsid w:val="004A430C"/>
    <w:rsid w:val="004C2FE4"/>
    <w:rsid w:val="004C46E2"/>
    <w:rsid w:val="004D518C"/>
    <w:rsid w:val="004E21FB"/>
    <w:rsid w:val="004E46A1"/>
    <w:rsid w:val="004F1089"/>
    <w:rsid w:val="004F2521"/>
    <w:rsid w:val="004F7D3B"/>
    <w:rsid w:val="00504D08"/>
    <w:rsid w:val="00523F2F"/>
    <w:rsid w:val="00532529"/>
    <w:rsid w:val="00533956"/>
    <w:rsid w:val="00543FED"/>
    <w:rsid w:val="00544B72"/>
    <w:rsid w:val="00546BFA"/>
    <w:rsid w:val="005500AC"/>
    <w:rsid w:val="00554414"/>
    <w:rsid w:val="00580B98"/>
    <w:rsid w:val="005927C4"/>
    <w:rsid w:val="005B0F2E"/>
    <w:rsid w:val="005C7977"/>
    <w:rsid w:val="005F2172"/>
    <w:rsid w:val="005F556C"/>
    <w:rsid w:val="006115E3"/>
    <w:rsid w:val="00617784"/>
    <w:rsid w:val="00630448"/>
    <w:rsid w:val="00634A61"/>
    <w:rsid w:val="0065429F"/>
    <w:rsid w:val="006632BE"/>
    <w:rsid w:val="00667595"/>
    <w:rsid w:val="00671BF4"/>
    <w:rsid w:val="00680600"/>
    <w:rsid w:val="00680A82"/>
    <w:rsid w:val="00686BCA"/>
    <w:rsid w:val="006878BC"/>
    <w:rsid w:val="006B67AB"/>
    <w:rsid w:val="006C7EB9"/>
    <w:rsid w:val="006D427E"/>
    <w:rsid w:val="006E390F"/>
    <w:rsid w:val="006F7F27"/>
    <w:rsid w:val="007214A5"/>
    <w:rsid w:val="00725DF4"/>
    <w:rsid w:val="0075566E"/>
    <w:rsid w:val="00763E4B"/>
    <w:rsid w:val="00767510"/>
    <w:rsid w:val="00767B7D"/>
    <w:rsid w:val="0077126A"/>
    <w:rsid w:val="007B4DDD"/>
    <w:rsid w:val="007C3145"/>
    <w:rsid w:val="007C38E9"/>
    <w:rsid w:val="007F7A0A"/>
    <w:rsid w:val="00801CC3"/>
    <w:rsid w:val="00825653"/>
    <w:rsid w:val="00833397"/>
    <w:rsid w:val="00843CA9"/>
    <w:rsid w:val="00851C3C"/>
    <w:rsid w:val="008549E6"/>
    <w:rsid w:val="008550DB"/>
    <w:rsid w:val="0086048C"/>
    <w:rsid w:val="00863EFC"/>
    <w:rsid w:val="00871E78"/>
    <w:rsid w:val="00880F7B"/>
    <w:rsid w:val="008A1EE8"/>
    <w:rsid w:val="008A208E"/>
    <w:rsid w:val="008A2ED5"/>
    <w:rsid w:val="008E5BD8"/>
    <w:rsid w:val="008F295F"/>
    <w:rsid w:val="00900C62"/>
    <w:rsid w:val="009214DB"/>
    <w:rsid w:val="00944742"/>
    <w:rsid w:val="0094662F"/>
    <w:rsid w:val="0095065E"/>
    <w:rsid w:val="00962B33"/>
    <w:rsid w:val="009675DA"/>
    <w:rsid w:val="00967D2D"/>
    <w:rsid w:val="00980A21"/>
    <w:rsid w:val="00986C85"/>
    <w:rsid w:val="00991E96"/>
    <w:rsid w:val="009D1047"/>
    <w:rsid w:val="009D3018"/>
    <w:rsid w:val="009E282C"/>
    <w:rsid w:val="009F0000"/>
    <w:rsid w:val="009F1EE2"/>
    <w:rsid w:val="00A25FE7"/>
    <w:rsid w:val="00A36508"/>
    <w:rsid w:val="00A43C95"/>
    <w:rsid w:val="00A5246C"/>
    <w:rsid w:val="00A611A6"/>
    <w:rsid w:val="00A62D13"/>
    <w:rsid w:val="00A6651B"/>
    <w:rsid w:val="00A7742E"/>
    <w:rsid w:val="00A81CC7"/>
    <w:rsid w:val="00A90EF6"/>
    <w:rsid w:val="00A92061"/>
    <w:rsid w:val="00AA6A08"/>
    <w:rsid w:val="00AB02D2"/>
    <w:rsid w:val="00AC0C69"/>
    <w:rsid w:val="00AF1CA8"/>
    <w:rsid w:val="00AF24DE"/>
    <w:rsid w:val="00B15833"/>
    <w:rsid w:val="00B25103"/>
    <w:rsid w:val="00B305A5"/>
    <w:rsid w:val="00B44147"/>
    <w:rsid w:val="00B461D2"/>
    <w:rsid w:val="00B5766B"/>
    <w:rsid w:val="00B63D62"/>
    <w:rsid w:val="00B6596F"/>
    <w:rsid w:val="00B8273C"/>
    <w:rsid w:val="00B95CE5"/>
    <w:rsid w:val="00B95D35"/>
    <w:rsid w:val="00BA7961"/>
    <w:rsid w:val="00BB3450"/>
    <w:rsid w:val="00BC4451"/>
    <w:rsid w:val="00BC5A73"/>
    <w:rsid w:val="00BD35B5"/>
    <w:rsid w:val="00BE36FE"/>
    <w:rsid w:val="00C02E53"/>
    <w:rsid w:val="00C326D1"/>
    <w:rsid w:val="00C37A17"/>
    <w:rsid w:val="00C42891"/>
    <w:rsid w:val="00C47924"/>
    <w:rsid w:val="00C52B3C"/>
    <w:rsid w:val="00C82DA2"/>
    <w:rsid w:val="00C8347C"/>
    <w:rsid w:val="00C9344B"/>
    <w:rsid w:val="00CC616A"/>
    <w:rsid w:val="00CD0F21"/>
    <w:rsid w:val="00CE0476"/>
    <w:rsid w:val="00CE08D6"/>
    <w:rsid w:val="00CE3746"/>
    <w:rsid w:val="00CE668F"/>
    <w:rsid w:val="00CE66A6"/>
    <w:rsid w:val="00CF115C"/>
    <w:rsid w:val="00CF6474"/>
    <w:rsid w:val="00D04DDD"/>
    <w:rsid w:val="00D07089"/>
    <w:rsid w:val="00D33469"/>
    <w:rsid w:val="00D47ECB"/>
    <w:rsid w:val="00D7404A"/>
    <w:rsid w:val="00D818A5"/>
    <w:rsid w:val="00D8258C"/>
    <w:rsid w:val="00D90E80"/>
    <w:rsid w:val="00D95154"/>
    <w:rsid w:val="00D9705D"/>
    <w:rsid w:val="00D97892"/>
    <w:rsid w:val="00DA11F5"/>
    <w:rsid w:val="00DB00A4"/>
    <w:rsid w:val="00DB3C52"/>
    <w:rsid w:val="00DD0421"/>
    <w:rsid w:val="00DD431E"/>
    <w:rsid w:val="00DE02E7"/>
    <w:rsid w:val="00DF0765"/>
    <w:rsid w:val="00E062BA"/>
    <w:rsid w:val="00E162EE"/>
    <w:rsid w:val="00E2433C"/>
    <w:rsid w:val="00E24CFC"/>
    <w:rsid w:val="00E43DFC"/>
    <w:rsid w:val="00E61F26"/>
    <w:rsid w:val="00E7665B"/>
    <w:rsid w:val="00E831CA"/>
    <w:rsid w:val="00E906F9"/>
    <w:rsid w:val="00EA2EAB"/>
    <w:rsid w:val="00EB3143"/>
    <w:rsid w:val="00EB731C"/>
    <w:rsid w:val="00EC388A"/>
    <w:rsid w:val="00EC7765"/>
    <w:rsid w:val="00ED158C"/>
    <w:rsid w:val="00EE1236"/>
    <w:rsid w:val="00EE5661"/>
    <w:rsid w:val="00F01281"/>
    <w:rsid w:val="00F061AB"/>
    <w:rsid w:val="00F12114"/>
    <w:rsid w:val="00F26A6A"/>
    <w:rsid w:val="00F5131D"/>
    <w:rsid w:val="00F555DE"/>
    <w:rsid w:val="00F63A33"/>
    <w:rsid w:val="00F67659"/>
    <w:rsid w:val="00F84506"/>
    <w:rsid w:val="00F8561A"/>
    <w:rsid w:val="00F94627"/>
    <w:rsid w:val="00F96BE7"/>
    <w:rsid w:val="00FF0DB7"/>
    <w:rsid w:val="00FF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577CB52-306C-49E6-9241-73F71B7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31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1EE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611A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7C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A611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165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qFormat/>
    <w:rsid w:val="00A611A6"/>
    <w:pPr>
      <w:ind w:left="720"/>
      <w:contextualSpacing/>
    </w:pPr>
  </w:style>
  <w:style w:type="paragraph" w:customStyle="1" w:styleId="Default">
    <w:name w:val="Default"/>
    <w:rsid w:val="00332B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6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852E5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A6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202F11"/>
    <w:pPr>
      <w:tabs>
        <w:tab w:val="left" w:pos="1417"/>
        <w:tab w:val="left" w:pos="2126"/>
        <w:tab w:val="left" w:pos="2835"/>
      </w:tabs>
      <w:spacing w:after="120" w:line="240" w:lineRule="auto"/>
      <w:ind w:left="709" w:hanging="709"/>
      <w:jc w:val="both"/>
    </w:pPr>
    <w:rPr>
      <w:rFonts w:ascii="Arial Narrow" w:eastAsia="Times New Roman" w:hAnsi="Arial Narrow"/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2F11"/>
    <w:rPr>
      <w:rFonts w:ascii="Arial Narrow" w:eastAsia="Times New Roman" w:hAnsi="Arial Narrow"/>
      <w:color w:val="000000"/>
      <w:szCs w:val="20"/>
    </w:rPr>
  </w:style>
  <w:style w:type="paragraph" w:customStyle="1" w:styleId="pytania">
    <w:name w:val="pytania"/>
    <w:basedOn w:val="Normalny"/>
    <w:rsid w:val="00202F11"/>
    <w:pPr>
      <w:widowControl w:val="0"/>
      <w:autoSpaceDE w:val="0"/>
      <w:autoSpaceDN w:val="0"/>
      <w:adjustRightInd w:val="0"/>
      <w:spacing w:before="80" w:after="120" w:line="240" w:lineRule="auto"/>
      <w:jc w:val="both"/>
    </w:pPr>
    <w:rPr>
      <w:rFonts w:ascii="Tahoma" w:eastAsia="Arial Unicode MS" w:hAnsi="Tahoma"/>
      <w:b/>
      <w:sz w:val="18"/>
      <w:szCs w:val="18"/>
      <w:lang w:eastAsia="pl-PL"/>
    </w:rPr>
  </w:style>
  <w:style w:type="table" w:styleId="Tabela-Siatka">
    <w:name w:val="Table Grid"/>
    <w:basedOn w:val="Standardowy"/>
    <w:locked/>
    <w:rsid w:val="008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2B60"/>
    <w:rPr>
      <w:color w:val="0000FF" w:themeColor="hyperlink"/>
      <w:u w:val="single"/>
    </w:rPr>
  </w:style>
  <w:style w:type="character" w:customStyle="1" w:styleId="tlid-translation">
    <w:name w:val="tlid-translation"/>
    <w:basedOn w:val="Domylnaczcionkaakapitu"/>
    <w:rsid w:val="00C3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3BA4-4AA0-4EC8-A45E-F18998FC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2714</Words>
  <Characters>18199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nr 2/2016</vt:lpstr>
    </vt:vector>
  </TitlesOfParts>
  <Company>MSWIA</Company>
  <LinksUpToDate>false</LinksUpToDate>
  <CharactersWithSpaces>20872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nr 2/2016</dc:title>
  <dc:creator>Majewska Marta</dc:creator>
  <cp:lastModifiedBy>Dargiel Katarzyna</cp:lastModifiedBy>
  <cp:revision>2</cp:revision>
  <cp:lastPrinted>2019-01-09T13:43:00Z</cp:lastPrinted>
  <dcterms:created xsi:type="dcterms:W3CDTF">2019-04-23T11:32:00Z</dcterms:created>
  <dcterms:modified xsi:type="dcterms:W3CDTF">2019-04-23T11:32:00Z</dcterms:modified>
</cp:coreProperties>
</file>