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A61D" w14:textId="77777777" w:rsidR="00825811" w:rsidRDefault="00825811" w:rsidP="00497161">
      <w:pPr>
        <w:spacing w:before="120"/>
        <w:ind w:left="709" w:hanging="567"/>
        <w:jc w:val="center"/>
        <w:outlineLvl w:val="1"/>
        <w:rPr>
          <w:rFonts w:ascii="Cambria" w:hAnsi="Cambria" w:cs="Arial"/>
          <w:b/>
          <w:bCs/>
          <w:sz w:val="28"/>
          <w:szCs w:val="28"/>
        </w:rPr>
      </w:pPr>
      <w:r w:rsidRPr="00497161">
        <w:rPr>
          <w:rFonts w:ascii="Cambria" w:hAnsi="Cambria" w:cs="Arial"/>
          <w:b/>
          <w:bCs/>
          <w:sz w:val="28"/>
          <w:szCs w:val="28"/>
        </w:rPr>
        <w:t>Zasady ogólne realizacji przedmiotu zamówienia.</w:t>
      </w:r>
    </w:p>
    <w:p w14:paraId="748B7CC6" w14:textId="7D6FE0EA" w:rsidR="00452F33" w:rsidRPr="00452F33" w:rsidRDefault="00AA1456" w:rsidP="00452F33">
      <w:pPr>
        <w:spacing w:before="120"/>
        <w:jc w:val="center"/>
        <w:rPr>
          <w:rFonts w:ascii="Cambria" w:hAnsi="Cambria" w:cs="Arial"/>
          <w:sz w:val="28"/>
          <w:szCs w:val="28"/>
          <w:lang w:eastAsia="en-US"/>
        </w:rPr>
      </w:pPr>
      <w:r w:rsidRPr="00AA1456">
        <w:rPr>
          <w:rFonts w:ascii="Cambria" w:hAnsi="Cambria" w:cs="Arial"/>
          <w:bCs/>
          <w:sz w:val="28"/>
          <w:szCs w:val="28"/>
          <w:lang w:eastAsia="pl-PL"/>
        </w:rPr>
        <w:t>„Wycięcie drzewostanów pod obwodnicę Kołbieli DK50 na terenie leśnictwa Siennica Nadleśnictwo Mińsk”</w:t>
      </w:r>
    </w:p>
    <w:p w14:paraId="263EBAC2" w14:textId="77777777" w:rsidR="00452F33" w:rsidRPr="00497161" w:rsidRDefault="00452F33" w:rsidP="00497161">
      <w:pPr>
        <w:spacing w:before="120"/>
        <w:ind w:left="709" w:hanging="567"/>
        <w:jc w:val="center"/>
        <w:outlineLvl w:val="1"/>
        <w:rPr>
          <w:rFonts w:ascii="Cambria" w:hAnsi="Cambria" w:cs="Arial"/>
          <w:b/>
          <w:bCs/>
          <w:sz w:val="28"/>
          <w:szCs w:val="28"/>
        </w:rPr>
      </w:pPr>
    </w:p>
    <w:p w14:paraId="4F8F5DA5" w14:textId="77777777" w:rsidR="00825811" w:rsidRPr="008F00EE" w:rsidRDefault="00825811" w:rsidP="00073B32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F00EE">
        <w:rPr>
          <w:rFonts w:ascii="Cambria" w:hAnsi="Cambria" w:cs="Arial"/>
          <w:bCs/>
          <w:sz w:val="22"/>
          <w:szCs w:val="22"/>
        </w:rPr>
        <w:t xml:space="preserve">Wykonawca będzie wykonywał przedmiot zamówienia na podstawie pisemnych zleceń przekazywanych przez Przedstawicieli Zamawiającego („Zlecenie”). Treść Zlecenia określa umowa. </w:t>
      </w:r>
      <w:r w:rsidR="00AF6ACF" w:rsidRPr="008F00EE">
        <w:rPr>
          <w:rFonts w:ascii="Cambria" w:hAnsi="Cambria" w:cs="Arial"/>
          <w:bCs/>
          <w:sz w:val="22"/>
          <w:szCs w:val="22"/>
        </w:rPr>
        <w:t>Zamawiający określa maksymalny czas na wykonanie zadania – 60 dni.</w:t>
      </w:r>
    </w:p>
    <w:p w14:paraId="4A08737C" w14:textId="77777777" w:rsidR="00073B32" w:rsidRPr="00073B32" w:rsidRDefault="00073B32" w:rsidP="00497161">
      <w:pPr>
        <w:pStyle w:val="Akapitzlist"/>
        <w:numPr>
          <w:ilvl w:val="0"/>
          <w:numId w:val="1"/>
        </w:numPr>
        <w:tabs>
          <w:tab w:val="left" w:pos="1418"/>
        </w:tabs>
        <w:autoSpaceDE w:val="0"/>
        <w:jc w:val="both"/>
        <w:rPr>
          <w:rStyle w:val="Hipercze"/>
          <w:rFonts w:ascii="Cambria" w:hAnsi="Cambria"/>
          <w:i/>
          <w:sz w:val="22"/>
          <w:szCs w:val="22"/>
        </w:rPr>
      </w:pPr>
      <w:r w:rsidRPr="00497161">
        <w:rPr>
          <w:rFonts w:ascii="Cambria" w:hAnsi="Cambria" w:cs="Arial"/>
          <w:sz w:val="22"/>
          <w:szCs w:val="22"/>
        </w:rPr>
        <w:t xml:space="preserve">Wykonawca obowiązany będzie przestrzegać przy realizacji przedmiotu zamówienia warunki techniczne na surowiec drzewny zgodnie z zarządzeniem nr 51 Dyrektora Generalnego Lasów Państwowych z dnia 30 września 2019 r. w sprawie wprowadzenia warunków technicznych stosowanych w obrocie surowcem drzewnym w Państwowym Gospodarstwie Leśnym Lasy Państwowe (znak: ZM.800.8.2019) - </w:t>
      </w:r>
      <w:hyperlink r:id="rId5" w:history="1">
        <w:r w:rsidRPr="00497161">
          <w:rPr>
            <w:rStyle w:val="Hipercze"/>
            <w:rFonts w:ascii="Cambria" w:hAnsi="Cambria"/>
            <w:i/>
            <w:color w:val="auto"/>
            <w:sz w:val="22"/>
            <w:szCs w:val="22"/>
          </w:rPr>
          <w:t>http://drewno.zilp.lasy.gov.pl/drewno/Normy/</w:t>
        </w:r>
      </w:hyperlink>
      <w:r w:rsidRPr="00073B32">
        <w:rPr>
          <w:rStyle w:val="Hipercze"/>
          <w:rFonts w:ascii="Cambria" w:hAnsi="Cambria"/>
          <w:i/>
          <w:sz w:val="22"/>
          <w:szCs w:val="22"/>
        </w:rPr>
        <w:t>.</w:t>
      </w:r>
    </w:p>
    <w:p w14:paraId="41432F25" w14:textId="77777777" w:rsidR="00825811" w:rsidRDefault="00073B32" w:rsidP="00497161">
      <w:pPr>
        <w:ind w:left="709" w:hanging="42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825811">
        <w:rPr>
          <w:rFonts w:ascii="Cambria" w:hAnsi="Cambria" w:cs="Arial"/>
          <w:bCs/>
          <w:sz w:val="22"/>
          <w:szCs w:val="22"/>
        </w:rPr>
        <w:t>)</w:t>
      </w:r>
      <w:r w:rsidR="00825811">
        <w:rPr>
          <w:rFonts w:ascii="Cambria" w:hAnsi="Cambria" w:cs="Arial"/>
          <w:bCs/>
          <w:sz w:val="22"/>
          <w:szCs w:val="22"/>
        </w:rPr>
        <w:tab/>
      </w:r>
      <w:r w:rsidR="00825811">
        <w:rPr>
          <w:rFonts w:ascii="Cambria" w:hAnsi="Cambria" w:cs="Arial"/>
          <w:sz w:val="22"/>
          <w:szCs w:val="22"/>
        </w:rPr>
        <w:t xml:space="preserve">Wykonawca będzie zobowiązany do uprzątnięcia pozostałości po pracach </w:t>
      </w:r>
      <w:proofErr w:type="spellStart"/>
      <w:r w:rsidR="00825811">
        <w:rPr>
          <w:rFonts w:ascii="Cambria" w:hAnsi="Cambria" w:cs="Arial"/>
          <w:sz w:val="22"/>
          <w:szCs w:val="22"/>
        </w:rPr>
        <w:t>pozyskaniowych</w:t>
      </w:r>
      <w:proofErr w:type="spellEnd"/>
      <w:r w:rsidR="00825811">
        <w:rPr>
          <w:rFonts w:ascii="Cambria" w:hAnsi="Cambria" w:cs="Arial"/>
          <w:sz w:val="22"/>
          <w:szCs w:val="22"/>
        </w:rPr>
        <w:t xml:space="preserve"> z dróg, linii podziału powierzchniowego, rowów, itp. obiektów oraz pozostałych odpadów po działalności własnej (śmieci, pustych opakowań, zużytych elementów maszyn, itp.).</w:t>
      </w:r>
    </w:p>
    <w:p w14:paraId="497462C7" w14:textId="77777777" w:rsidR="00825811" w:rsidRDefault="00073B32" w:rsidP="00497161">
      <w:pPr>
        <w:ind w:left="709" w:hanging="42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</w:t>
      </w:r>
      <w:r w:rsidR="00825811">
        <w:rPr>
          <w:rFonts w:ascii="Cambria" w:hAnsi="Cambria" w:cs="Arial"/>
          <w:sz w:val="22"/>
          <w:szCs w:val="22"/>
        </w:rPr>
        <w:t>)</w:t>
      </w:r>
      <w:r w:rsidR="00825811">
        <w:rPr>
          <w:rFonts w:ascii="Cambria" w:hAnsi="Cambria" w:cs="Arial"/>
          <w:sz w:val="22"/>
          <w:szCs w:val="22"/>
        </w:rPr>
        <w:tab/>
        <w:t>Wykonawca będzie zobowiązany do stosowania oleju biodegradowalnego do smarowania układów tnących w eksploatowanych piłach łańcuchowych i głowicach tnących oraz zestawów do pochłaniania oleju w urządzeniach eksploatowanych na terenie lasów.</w:t>
      </w:r>
    </w:p>
    <w:p w14:paraId="10FE38F3" w14:textId="77777777" w:rsidR="00825811" w:rsidRPr="0062371D" w:rsidRDefault="00073B32" w:rsidP="00497161">
      <w:pPr>
        <w:ind w:left="709" w:hanging="42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="00825811">
        <w:rPr>
          <w:rFonts w:ascii="Cambria" w:hAnsi="Cambria" w:cs="Arial"/>
          <w:sz w:val="22"/>
          <w:szCs w:val="22"/>
        </w:rPr>
        <w:t>)</w:t>
      </w:r>
      <w:r w:rsidR="00825811">
        <w:rPr>
          <w:rFonts w:ascii="Cambria" w:hAnsi="Cambria" w:cs="Arial"/>
          <w:sz w:val="22"/>
          <w:szCs w:val="22"/>
        </w:rPr>
        <w:tab/>
        <w:t xml:space="preserve">Do smarowania układów tnących w eksploatowanych piłach łańcuchowych i głowicach tnących Wykonawca będzie zobowiązany stosować olej biodegradowalny o parametrze biodegradacji nie gorszym niż 60%. Wymagane jest określenie biodegradowalności zgodnie z metodyką badań opisaną w </w:t>
      </w:r>
      <w:r w:rsidR="00825811" w:rsidRPr="009F0F72">
        <w:rPr>
          <w:rFonts w:ascii="Cambria" w:hAnsi="Cambria" w:cs="Arial"/>
          <w:sz w:val="22"/>
          <w:szCs w:val="22"/>
        </w:rPr>
        <w:t xml:space="preserve">Rozporządzeniu Komisji (WE) NR 440/2008 z dnia 30 maja 2008 r. w metodzie: OECD 301B lub OECD 301C lub OECD 301F, ustalająca metody badań zgodnie z rozporządzeniem (WE) nr 1907/2006 Parlamentu Europejskiego i </w:t>
      </w:r>
      <w:r w:rsidR="00825811" w:rsidRPr="00361F98">
        <w:rPr>
          <w:rFonts w:ascii="Cambria" w:hAnsi="Cambria" w:cs="Arial"/>
          <w:sz w:val="22"/>
          <w:szCs w:val="22"/>
        </w:rPr>
        <w:t>Rady w sprawie rejestracji, oceny, udzielania zezwoleń i stosowanych ogranicz</w:t>
      </w:r>
      <w:r w:rsidR="00825811" w:rsidRPr="00614FC4">
        <w:rPr>
          <w:rFonts w:ascii="Cambria" w:hAnsi="Cambria" w:cs="Arial"/>
          <w:sz w:val="22"/>
          <w:szCs w:val="22"/>
        </w:rPr>
        <w:t>eń w zakresie chemikaliów (REACH).</w:t>
      </w:r>
    </w:p>
    <w:p w14:paraId="03DB6ECA" w14:textId="77777777" w:rsidR="00825811" w:rsidRDefault="00073B32" w:rsidP="00825811">
      <w:pPr>
        <w:spacing w:before="120"/>
        <w:ind w:left="709" w:hanging="42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6</w:t>
      </w:r>
      <w:r w:rsidR="00825811" w:rsidRPr="009F0F72">
        <w:rPr>
          <w:rFonts w:ascii="Cambria" w:hAnsi="Cambria" w:cs="Arial"/>
          <w:sz w:val="22"/>
          <w:szCs w:val="22"/>
        </w:rPr>
        <w:t>)</w:t>
      </w:r>
      <w:r w:rsidR="00825811" w:rsidRPr="009F0F72">
        <w:rPr>
          <w:rFonts w:ascii="Cambria" w:hAnsi="Cambria" w:cs="Arial"/>
          <w:sz w:val="22"/>
          <w:szCs w:val="22"/>
        </w:rPr>
        <w:tab/>
        <w:t>Wykonawca zobowiązany jest do wyposażenia wszystkich maszyn, ciągników i urządzeń pracujących na powierzchniach leśnych w zestawy (sorbenty, maty sorpcyjne itp.) o chłonności umożliwiającej pochłonięcie rozlanego paliwa lub oleju oraz innych płynów technologicznych używanych w maszynach, ciągnikach, pilarkach i innych urządzeniach pracujących w lesie oraz użycia tych środków w sytuacjach wymagających zastosowania (awarie, naprawy, tankowania itp.) – w celu zapobieżenia skażeniu środowiska. Dopuszcza się posiadanie i używanie przez pilarzy kanistrów z bezpiecznymi końcówkami (dozownikami), uniemożliwiającymi rozlanie (przelanie) oleju i mieszanki paliwowej podczas tankowania pilarki (zastępczo za maty pochłaniające olej i paliwo).</w:t>
      </w:r>
    </w:p>
    <w:p w14:paraId="1435EAD1" w14:textId="77777777" w:rsidR="00FF27CA" w:rsidRDefault="00073B32" w:rsidP="00825811">
      <w:pPr>
        <w:ind w:left="709" w:hanging="42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825811" w:rsidRPr="009F0F72">
        <w:rPr>
          <w:rFonts w:ascii="Cambria" w:hAnsi="Cambria" w:cs="Arial"/>
          <w:sz w:val="22"/>
          <w:szCs w:val="22"/>
        </w:rPr>
        <w:t>)</w:t>
      </w:r>
      <w:r w:rsidR="00825811" w:rsidRPr="009F0F72">
        <w:rPr>
          <w:rFonts w:ascii="Cambria" w:hAnsi="Cambria" w:cs="Arial"/>
          <w:sz w:val="22"/>
          <w:szCs w:val="22"/>
        </w:rPr>
        <w:tab/>
        <w:t xml:space="preserve">Wykonawca obowiązany jest w trakcie realizacji przedmiotu zamówienia dokonać oznakowania pozycji zakazem wstępu zgodnie z art. 26 </w:t>
      </w:r>
      <w:r w:rsidR="00825811">
        <w:rPr>
          <w:rFonts w:ascii="Cambria" w:hAnsi="Cambria" w:cs="Arial"/>
          <w:sz w:val="22"/>
          <w:szCs w:val="22"/>
        </w:rPr>
        <w:t>U</w:t>
      </w:r>
      <w:r w:rsidR="00825811" w:rsidRPr="009F0F72">
        <w:rPr>
          <w:rFonts w:ascii="Cambria" w:hAnsi="Cambria" w:cs="Arial"/>
          <w:sz w:val="22"/>
          <w:szCs w:val="22"/>
        </w:rPr>
        <w:t>stawy o lasach. W szczególności Wykonawca jest zobowiązany do właściwego oznaczenia tablicami ostrzegawczymi powierzchni, na których wykonywane będą prace obejm</w:t>
      </w:r>
      <w:r w:rsidR="00940DFF">
        <w:rPr>
          <w:rFonts w:ascii="Cambria" w:hAnsi="Cambria" w:cs="Arial"/>
          <w:sz w:val="22"/>
          <w:szCs w:val="22"/>
        </w:rPr>
        <w:t>ujące pozyskanie, zrywkę drewna.</w:t>
      </w:r>
    </w:p>
    <w:p w14:paraId="737E0693" w14:textId="77777777" w:rsidR="00073B32" w:rsidRDefault="00073B32" w:rsidP="00825811">
      <w:pPr>
        <w:ind w:left="709" w:hanging="425"/>
        <w:jc w:val="both"/>
        <w:rPr>
          <w:rFonts w:ascii="Cambria" w:hAnsi="Cambria" w:cs="Arial"/>
          <w:sz w:val="22"/>
          <w:szCs w:val="22"/>
        </w:rPr>
      </w:pPr>
    </w:p>
    <w:p w14:paraId="44CF2D83" w14:textId="77777777" w:rsidR="00073B32" w:rsidRDefault="00073B32" w:rsidP="00497161">
      <w:pPr>
        <w:spacing w:line="276" w:lineRule="auto"/>
        <w:ind w:left="426" w:firstLine="42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trakcie realizacji przedmiotu zamówienia, oprócz przepisów prawa obowiązujących na terenie Rzeczypospolitej Polskiej, Wykonawca będzie obowiązany do stosowania i przestrzegania obowiązków i zasad wynikających z niżej wymienionych dokumentów:</w:t>
      </w:r>
    </w:p>
    <w:p w14:paraId="5B11DB05" w14:textId="77777777" w:rsidR="00073B32" w:rsidRDefault="00073B32" w:rsidP="00497161">
      <w:pPr>
        <w:autoSpaceDE w:val="0"/>
        <w:spacing w:before="120" w:line="276" w:lineRule="auto"/>
        <w:ind w:left="567" w:hanging="141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„Instrukcja bezpieczeństwa i higieny pracy przy wykonywaniu podstawowych prac z zakresu gospodarki leśnej” – wprowadzona zarządzeniem nr 36 Dyrektora Generalnego Lasów Państwowych z dnia 20 kwietnia 2012 r., </w:t>
      </w:r>
    </w:p>
    <w:p w14:paraId="570C4640" w14:textId="77777777" w:rsidR="00073B32" w:rsidRDefault="00073B32" w:rsidP="00497161">
      <w:pPr>
        <w:autoSpaceDE w:val="0"/>
        <w:spacing w:line="276" w:lineRule="auto"/>
        <w:ind w:left="567" w:hanging="141"/>
        <w:jc w:val="both"/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</w:r>
      <w:r w:rsidRPr="005311B9">
        <w:rPr>
          <w:rFonts w:ascii="Cambria" w:hAnsi="Cambria" w:cs="Arial"/>
          <w:bCs/>
          <w:sz w:val="22"/>
          <w:szCs w:val="22"/>
          <w:shd w:val="clear" w:color="auto" w:fill="FFFFFF"/>
        </w:rPr>
        <w:t>„Instrukcja ochrony przeciwpożarowej lasu” - wprowadzona zarządzeniem nr 81 Dyrektora Generalnego Lasów Państwowych z dnia 23 grudnia 2019 r.,</w:t>
      </w:r>
    </w:p>
    <w:p w14:paraId="0CEFF39F" w14:textId="77777777" w:rsidR="00073B32" w:rsidRDefault="00073B32" w:rsidP="00497161">
      <w:pPr>
        <w:autoSpaceDE w:val="0"/>
        <w:spacing w:line="276" w:lineRule="auto"/>
        <w:ind w:left="567" w:hanging="141"/>
        <w:jc w:val="both"/>
        <w:rPr>
          <w:rFonts w:ascii="Cambria" w:hAnsi="Cambria" w:cs="Arial"/>
          <w:sz w:val="22"/>
          <w:szCs w:val="22"/>
        </w:rPr>
      </w:pPr>
      <w:r>
        <w:t>-</w:t>
      </w:r>
      <w:r>
        <w:tab/>
      </w:r>
      <w:r>
        <w:rPr>
          <w:rFonts w:ascii="Cambria" w:hAnsi="Cambria" w:cs="Arial"/>
          <w:sz w:val="22"/>
          <w:szCs w:val="22"/>
        </w:rPr>
        <w:t>Zarządzenie nr 40 Dyrektora Generalnego Lasów Państwowych z dnia 6 października 2011 r. w sprawie wprowadzenia ramowego wykazu prac wykonywanych przez co najmniej dwie osoby (</w:t>
      </w:r>
      <w:proofErr w:type="spellStart"/>
      <w:r>
        <w:rPr>
          <w:rFonts w:ascii="Cambria" w:hAnsi="Cambria" w:cs="Arial"/>
          <w:sz w:val="22"/>
          <w:szCs w:val="22"/>
        </w:rPr>
        <w:t>zn</w:t>
      </w:r>
      <w:proofErr w:type="spellEnd"/>
      <w:r>
        <w:rPr>
          <w:rFonts w:ascii="Cambria" w:hAnsi="Cambria" w:cs="Arial"/>
          <w:sz w:val="22"/>
          <w:szCs w:val="22"/>
        </w:rPr>
        <w:t xml:space="preserve">. </w:t>
      </w:r>
      <w:proofErr w:type="spellStart"/>
      <w:r>
        <w:rPr>
          <w:rFonts w:ascii="Cambria" w:hAnsi="Cambria" w:cs="Arial"/>
          <w:sz w:val="22"/>
          <w:szCs w:val="22"/>
        </w:rPr>
        <w:t>spr</w:t>
      </w:r>
      <w:proofErr w:type="spellEnd"/>
      <w:r>
        <w:rPr>
          <w:rFonts w:ascii="Cambria" w:hAnsi="Cambria" w:cs="Arial"/>
          <w:sz w:val="22"/>
          <w:szCs w:val="22"/>
        </w:rPr>
        <w:t>. GB-021-2/2011),</w:t>
      </w:r>
    </w:p>
    <w:p w14:paraId="6C61E397" w14:textId="77777777" w:rsidR="00073B32" w:rsidRDefault="00497161" w:rsidP="00497161">
      <w:pPr>
        <w:spacing w:line="276" w:lineRule="auto"/>
        <w:ind w:left="567" w:hanging="141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Z</w:t>
      </w:r>
      <w:r w:rsidR="00073B32">
        <w:rPr>
          <w:rFonts w:ascii="Cambria" w:hAnsi="Cambria" w:cs="Arial"/>
          <w:sz w:val="22"/>
          <w:szCs w:val="22"/>
        </w:rPr>
        <w:t>arządzenie nr 66 Dyrektora Generalnego Lasów Państwowych z dnia 7 listopada 2019 r. w sprawie wprowadzenia wytycznych pod nazwą „Zasady Użytkowania Lasu” w jednostkach organizacyjnych Lasów  Pańs</w:t>
      </w:r>
      <w:r w:rsidR="00452F33">
        <w:rPr>
          <w:rFonts w:ascii="Cambria" w:hAnsi="Cambria" w:cs="Arial"/>
          <w:sz w:val="22"/>
          <w:szCs w:val="22"/>
        </w:rPr>
        <w:t>twowych (znak: ZM.7603.13.2019).</w:t>
      </w:r>
    </w:p>
    <w:p w14:paraId="026506FA" w14:textId="77777777" w:rsidR="00452F33" w:rsidRDefault="00452F33" w:rsidP="00497161">
      <w:pPr>
        <w:spacing w:line="276" w:lineRule="auto"/>
        <w:ind w:left="567" w:hanging="141"/>
        <w:jc w:val="both"/>
        <w:rPr>
          <w:rFonts w:ascii="Cambria" w:hAnsi="Cambria" w:cs="Arial"/>
          <w:sz w:val="22"/>
          <w:szCs w:val="22"/>
        </w:rPr>
      </w:pPr>
    </w:p>
    <w:p w14:paraId="78C966AE" w14:textId="77777777" w:rsidR="00452F33" w:rsidRDefault="00452F33" w:rsidP="00497161">
      <w:pPr>
        <w:spacing w:line="276" w:lineRule="auto"/>
        <w:ind w:left="567" w:hanging="141"/>
        <w:jc w:val="both"/>
        <w:rPr>
          <w:rFonts w:ascii="Cambria" w:hAnsi="Cambria" w:cs="Arial"/>
          <w:sz w:val="22"/>
          <w:szCs w:val="22"/>
        </w:rPr>
      </w:pPr>
    </w:p>
    <w:p w14:paraId="61751474" w14:textId="77777777" w:rsidR="00940DFF" w:rsidRDefault="00940DFF" w:rsidP="00497161">
      <w:pPr>
        <w:spacing w:line="276" w:lineRule="auto"/>
        <w:ind w:left="567" w:hanging="141"/>
        <w:jc w:val="both"/>
      </w:pPr>
    </w:p>
    <w:sectPr w:rsidR="00940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85526"/>
    <w:multiLevelType w:val="hybridMultilevel"/>
    <w:tmpl w:val="D144B866"/>
    <w:lvl w:ilvl="0" w:tplc="CFE4DF32">
      <w:start w:val="1"/>
      <w:numFmt w:val="decimal"/>
      <w:lvlText w:val="%1)"/>
      <w:lvlJc w:val="left"/>
      <w:pPr>
        <w:ind w:left="704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811"/>
    <w:rsid w:val="00073B32"/>
    <w:rsid w:val="00386951"/>
    <w:rsid w:val="00452F33"/>
    <w:rsid w:val="00497161"/>
    <w:rsid w:val="00825811"/>
    <w:rsid w:val="008F00EE"/>
    <w:rsid w:val="00940DFF"/>
    <w:rsid w:val="009A07CD"/>
    <w:rsid w:val="00AA1456"/>
    <w:rsid w:val="00AF6ACF"/>
    <w:rsid w:val="00C8787F"/>
    <w:rsid w:val="00FF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D42F"/>
  <w15:chartTrackingRefBased/>
  <w15:docId w15:val="{2A46382A-1FF8-4762-88DF-5E234B8C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8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3B32"/>
    <w:pPr>
      <w:ind w:left="720"/>
      <w:contextualSpacing/>
    </w:pPr>
  </w:style>
  <w:style w:type="character" w:styleId="Hipercze">
    <w:name w:val="Hyperlink"/>
    <w:rsid w:val="00073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1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rewno.zilp.lasy.gov.pl/drewno/Nor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Mińsk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Wąsowski</dc:creator>
  <cp:keywords/>
  <dc:description/>
  <cp:lastModifiedBy>Jacek</cp:lastModifiedBy>
  <cp:revision>8</cp:revision>
  <dcterms:created xsi:type="dcterms:W3CDTF">2023-02-22T07:36:00Z</dcterms:created>
  <dcterms:modified xsi:type="dcterms:W3CDTF">2024-09-26T07:26:00Z</dcterms:modified>
</cp:coreProperties>
</file>