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E474" w14:textId="572E6815" w:rsidR="006064C2" w:rsidRPr="00B5109F" w:rsidRDefault="006064C2">
      <w:pPr>
        <w:tabs>
          <w:tab w:val="left" w:leader="dot" w:pos="8045"/>
        </w:tabs>
        <w:spacing w:before="53" w:after="0" w:line="408" w:lineRule="exact"/>
        <w:ind w:left="4320"/>
        <w:jc w:val="right"/>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Załącznik nr 1 do Umowy nr</w:t>
      </w:r>
      <w:r w:rsidRPr="00B5109F">
        <w:rPr>
          <w:rFonts w:ascii="Arial" w:eastAsia="Calibri" w:hAnsi="Arial" w:cs="Arial"/>
          <w:b/>
          <w:bCs/>
          <w:kern w:val="0"/>
          <w:sz w:val="24"/>
          <w:szCs w:val="24"/>
          <w14:ligatures w14:val="none"/>
        </w:rPr>
        <w:tab/>
        <w:t>z dnia ...</w:t>
      </w:r>
    </w:p>
    <w:p w14:paraId="074AF349" w14:textId="77777777" w:rsidR="006064C2" w:rsidRPr="00B5109F" w:rsidRDefault="006064C2">
      <w:pPr>
        <w:spacing w:after="0" w:line="240" w:lineRule="exact"/>
        <w:ind w:right="2957" w:firstLine="2530"/>
        <w:rPr>
          <w:rFonts w:ascii="Arial" w:eastAsia="Calibri" w:hAnsi="Arial" w:cs="Arial"/>
          <w:kern w:val="0"/>
          <w:sz w:val="24"/>
          <w:szCs w:val="24"/>
          <w14:ligatures w14:val="none"/>
        </w:rPr>
      </w:pPr>
    </w:p>
    <w:p w14:paraId="60D54F9E" w14:textId="77777777" w:rsidR="00F502D0" w:rsidRDefault="006064C2" w:rsidP="00A334BA">
      <w:pPr>
        <w:spacing w:before="226" w:after="0" w:line="538" w:lineRule="exact"/>
        <w:ind w:right="139"/>
        <w:jc w:val="center"/>
        <w:rPr>
          <w:rFonts w:ascii="Arial" w:eastAsia="Calibri" w:hAnsi="Arial" w:cs="Arial"/>
          <w:b/>
          <w:bCs/>
          <w:kern w:val="0"/>
          <w:sz w:val="24"/>
          <w:szCs w:val="24"/>
          <w14:ligatures w14:val="none"/>
        </w:rPr>
      </w:pPr>
      <w:r w:rsidRPr="00B5109F">
        <w:rPr>
          <w:rFonts w:ascii="Arial" w:eastAsia="Calibri" w:hAnsi="Arial" w:cs="Arial"/>
          <w:b/>
          <w:bCs/>
          <w:kern w:val="0"/>
          <w:sz w:val="24"/>
          <w:szCs w:val="24"/>
          <w14:ligatures w14:val="none"/>
        </w:rPr>
        <w:t>OPIS</w:t>
      </w:r>
      <w:r w:rsidR="00B5109F">
        <w:rPr>
          <w:rFonts w:ascii="Arial" w:eastAsia="Calibri" w:hAnsi="Arial" w:cs="Arial"/>
          <w:b/>
          <w:bCs/>
          <w:kern w:val="0"/>
          <w:sz w:val="24"/>
          <w:szCs w:val="24"/>
          <w14:ligatures w14:val="none"/>
        </w:rPr>
        <w:t> </w:t>
      </w:r>
      <w:r w:rsidRPr="00B5109F">
        <w:rPr>
          <w:rFonts w:ascii="Arial" w:eastAsia="Calibri" w:hAnsi="Arial" w:cs="Arial"/>
          <w:b/>
          <w:bCs/>
          <w:kern w:val="0"/>
          <w:sz w:val="24"/>
          <w:szCs w:val="24"/>
          <w14:ligatures w14:val="none"/>
        </w:rPr>
        <w:t>PRZEDMIOTU</w:t>
      </w:r>
      <w:r w:rsidR="00B5109F">
        <w:rPr>
          <w:rFonts w:ascii="Arial" w:eastAsia="Calibri" w:hAnsi="Arial" w:cs="Arial"/>
          <w:b/>
          <w:bCs/>
          <w:kern w:val="0"/>
          <w:sz w:val="24"/>
          <w:szCs w:val="24"/>
          <w14:ligatures w14:val="none"/>
        </w:rPr>
        <w:t> ZAM</w:t>
      </w:r>
      <w:r w:rsidRPr="00B5109F">
        <w:rPr>
          <w:rFonts w:ascii="Arial" w:eastAsia="Calibri" w:hAnsi="Arial" w:cs="Arial"/>
          <w:b/>
          <w:bCs/>
          <w:kern w:val="0"/>
          <w:sz w:val="24"/>
          <w:szCs w:val="24"/>
          <w14:ligatures w14:val="none"/>
        </w:rPr>
        <w:t>ÓWIE</w:t>
      </w:r>
      <w:r w:rsidR="00B5109F">
        <w:rPr>
          <w:rFonts w:ascii="Arial" w:eastAsia="Calibri" w:hAnsi="Arial" w:cs="Arial"/>
          <w:b/>
          <w:bCs/>
          <w:kern w:val="0"/>
          <w:sz w:val="24"/>
          <w:szCs w:val="24"/>
          <w14:ligatures w14:val="none"/>
        </w:rPr>
        <w:t>NIA</w:t>
      </w:r>
    </w:p>
    <w:p w14:paraId="6163F363" w14:textId="17317EAC" w:rsidR="006064C2" w:rsidRPr="00B5109F" w:rsidRDefault="006064C2" w:rsidP="00A334BA">
      <w:pPr>
        <w:spacing w:before="226" w:after="0" w:line="538" w:lineRule="exact"/>
        <w:ind w:right="-2"/>
        <w:jc w:val="center"/>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Rozdział I - Ogólne warunki realizacji zamówienia.</w:t>
      </w:r>
    </w:p>
    <w:p w14:paraId="527CFBD3" w14:textId="4AA81240"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Przedmiotem umowy jest </w:t>
      </w:r>
      <w:r w:rsidR="00F732D9" w:rsidRPr="00B5109F">
        <w:rPr>
          <w:rFonts w:ascii="Arial" w:eastAsia="Calibri" w:hAnsi="Arial" w:cs="Arial"/>
          <w:kern w:val="0"/>
          <w:sz w:val="24"/>
          <w:szCs w:val="24"/>
          <w14:ligatures w14:val="none"/>
        </w:rPr>
        <w:t>rozbudowa posiadanej i eksploatowanej infrastruktury serwerowej w</w:t>
      </w:r>
      <w:r w:rsidR="00AE1C3E" w:rsidRPr="00B5109F">
        <w:rPr>
          <w:rFonts w:ascii="Arial" w:eastAsia="Calibri" w:hAnsi="Arial" w:cs="Arial"/>
          <w:kern w:val="0"/>
          <w:sz w:val="24"/>
          <w:szCs w:val="24"/>
          <w14:ligatures w14:val="none"/>
        </w:rPr>
        <w:t> </w:t>
      </w:r>
      <w:r w:rsidR="00F732D9" w:rsidRPr="00B5109F">
        <w:rPr>
          <w:rFonts w:ascii="Arial" w:eastAsia="Calibri" w:hAnsi="Arial" w:cs="Arial"/>
          <w:kern w:val="0"/>
          <w:sz w:val="24"/>
          <w:szCs w:val="24"/>
          <w14:ligatures w14:val="none"/>
        </w:rPr>
        <w:t xml:space="preserve">formie </w:t>
      </w:r>
      <w:r w:rsidRPr="00B5109F">
        <w:rPr>
          <w:rFonts w:ascii="Arial" w:eastAsia="Calibri" w:hAnsi="Arial" w:cs="Arial"/>
          <w:kern w:val="0"/>
          <w:sz w:val="24"/>
          <w:szCs w:val="24"/>
          <w14:ligatures w14:val="none"/>
        </w:rPr>
        <w:t>dostaw</w:t>
      </w:r>
      <w:r w:rsidR="00F732D9" w:rsidRPr="00B5109F">
        <w:rPr>
          <w:rFonts w:ascii="Arial" w:eastAsia="Calibri" w:hAnsi="Arial" w:cs="Arial"/>
          <w:kern w:val="0"/>
          <w:sz w:val="24"/>
          <w:szCs w:val="24"/>
          <w14:ligatures w14:val="none"/>
        </w:rPr>
        <w:t>y</w:t>
      </w:r>
      <w:r w:rsidRPr="00B5109F">
        <w:rPr>
          <w:rFonts w:ascii="Arial" w:eastAsia="Calibri" w:hAnsi="Arial" w:cs="Arial"/>
          <w:kern w:val="0"/>
          <w:sz w:val="24"/>
          <w:szCs w:val="24"/>
          <w14:ligatures w14:val="none"/>
        </w:rPr>
        <w:t xml:space="preserve"> </w:t>
      </w:r>
      <w:r w:rsidR="00047902" w:rsidRPr="00B5109F">
        <w:rPr>
          <w:rFonts w:ascii="Arial" w:eastAsia="Calibri" w:hAnsi="Arial" w:cs="Arial"/>
          <w:kern w:val="0"/>
          <w:sz w:val="24"/>
          <w:szCs w:val="24"/>
          <w14:ligatures w14:val="none"/>
        </w:rPr>
        <w:t xml:space="preserve">nowych </w:t>
      </w:r>
      <w:r w:rsidRPr="00B5109F">
        <w:rPr>
          <w:rFonts w:ascii="Arial" w:eastAsia="Calibri" w:hAnsi="Arial" w:cs="Arial"/>
          <w:kern w:val="0"/>
          <w:sz w:val="24"/>
          <w:szCs w:val="24"/>
          <w14:ligatures w14:val="none"/>
        </w:rPr>
        <w:t>urządzeń, o których mowa poniżej, wraz</w:t>
      </w:r>
      <w:r w:rsidR="00F732D9"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z ich rozmieszczeniem i</w:t>
      </w:r>
      <w:r w:rsidR="0004790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 xml:space="preserve">instalacją, co obejmuje ich montaż (instalację fizyczną), konfigurację i uruchomienie, aktywację oprogramowania wewnętrznego firmware, przeprowadzenie testów i opracowanie dokumentacji technicznej, zgodnie z wymaganiami opisanymi w Rozdział III </w:t>
      </w:r>
      <w:r w:rsidR="00047902"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Specyfikacja Techniczna.</w:t>
      </w:r>
    </w:p>
    <w:p w14:paraId="1FD5A5D8" w14:textId="089C8B67" w:rsidR="006064C2" w:rsidRPr="000C18E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Termin realizacji zamówienia </w:t>
      </w:r>
      <w:r w:rsidRPr="000C18EF">
        <w:rPr>
          <w:rFonts w:ascii="Arial" w:eastAsia="Calibri" w:hAnsi="Arial" w:cs="Arial"/>
          <w:kern w:val="0"/>
          <w:sz w:val="24"/>
          <w:szCs w:val="24"/>
          <w14:ligatures w14:val="none"/>
        </w:rPr>
        <w:t xml:space="preserve">wynosi </w:t>
      </w:r>
      <w:r w:rsidR="0088798A" w:rsidRPr="000C18EF">
        <w:rPr>
          <w:rFonts w:ascii="Arial" w:eastAsia="Calibri" w:hAnsi="Arial" w:cs="Arial"/>
          <w:kern w:val="0"/>
          <w:sz w:val="24"/>
          <w:szCs w:val="24"/>
          <w14:ligatures w14:val="none"/>
        </w:rPr>
        <w:t>60</w:t>
      </w:r>
      <w:r w:rsidRPr="000C18EF">
        <w:rPr>
          <w:rFonts w:ascii="Arial" w:eastAsia="Calibri" w:hAnsi="Arial" w:cs="Arial"/>
          <w:kern w:val="0"/>
          <w:sz w:val="24"/>
          <w:szCs w:val="24"/>
          <w14:ligatures w14:val="none"/>
        </w:rPr>
        <w:t xml:space="preserve"> dni od dnia zawarcia Umowy.</w:t>
      </w:r>
    </w:p>
    <w:p w14:paraId="6248214A" w14:textId="0CB61376" w:rsidR="006064C2" w:rsidRPr="000C18E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0C18EF">
        <w:rPr>
          <w:rFonts w:ascii="Arial" w:eastAsia="Calibri" w:hAnsi="Arial" w:cs="Arial"/>
          <w:kern w:val="0"/>
          <w:sz w:val="24"/>
          <w:szCs w:val="24"/>
          <w14:ligatures w14:val="none"/>
        </w:rPr>
        <w:t xml:space="preserve">Wykonawca udzieli gwarancji na infrastrukturę oraz oprogramowanie dostarczone przez Wykonawcę zgodnie z Rozdziałami I </w:t>
      </w:r>
      <w:proofErr w:type="spellStart"/>
      <w:r w:rsidRPr="000C18EF">
        <w:rPr>
          <w:rFonts w:ascii="Arial" w:eastAsia="Calibri" w:hAnsi="Arial" w:cs="Arial"/>
          <w:kern w:val="0"/>
          <w:sz w:val="24"/>
          <w:szCs w:val="24"/>
          <w14:ligatures w14:val="none"/>
        </w:rPr>
        <w:t>i</w:t>
      </w:r>
      <w:proofErr w:type="spellEnd"/>
      <w:r w:rsidRPr="000C18EF">
        <w:rPr>
          <w:rFonts w:ascii="Arial" w:eastAsia="Calibri" w:hAnsi="Arial" w:cs="Arial"/>
          <w:kern w:val="0"/>
          <w:sz w:val="24"/>
          <w:szCs w:val="24"/>
          <w14:ligatures w14:val="none"/>
        </w:rPr>
        <w:t xml:space="preserve"> III na okres </w:t>
      </w:r>
      <w:r w:rsidR="0088798A" w:rsidRPr="000C18EF">
        <w:rPr>
          <w:rFonts w:ascii="Arial" w:eastAsia="Calibri" w:hAnsi="Arial" w:cs="Arial"/>
          <w:kern w:val="0"/>
          <w:sz w:val="24"/>
          <w:szCs w:val="24"/>
          <w14:ligatures w14:val="none"/>
        </w:rPr>
        <w:t>4</w:t>
      </w:r>
      <w:r w:rsidR="000C18EF" w:rsidRPr="000C18EF">
        <w:rPr>
          <w:rFonts w:ascii="Arial" w:eastAsia="Calibri" w:hAnsi="Arial" w:cs="Arial"/>
          <w:kern w:val="0"/>
          <w:sz w:val="24"/>
          <w:szCs w:val="24"/>
          <w14:ligatures w14:val="none"/>
        </w:rPr>
        <w:t>6</w:t>
      </w:r>
      <w:r w:rsidRPr="000C18EF">
        <w:rPr>
          <w:rFonts w:ascii="Arial" w:eastAsia="Calibri" w:hAnsi="Arial" w:cs="Arial"/>
          <w:kern w:val="0"/>
          <w:sz w:val="24"/>
          <w:szCs w:val="24"/>
          <w14:ligatures w14:val="none"/>
        </w:rPr>
        <w:t xml:space="preserve"> </w:t>
      </w:r>
      <w:r w:rsidR="005D6FD6" w:rsidRPr="000C18EF">
        <w:rPr>
          <w:rFonts w:ascii="Arial" w:eastAsia="Calibri" w:hAnsi="Arial" w:cs="Arial"/>
          <w:kern w:val="0"/>
          <w:sz w:val="24"/>
          <w:szCs w:val="24"/>
          <w14:ligatures w14:val="none"/>
        </w:rPr>
        <w:t>miesięcy</w:t>
      </w:r>
      <w:r w:rsidRPr="000C18EF">
        <w:rPr>
          <w:rFonts w:ascii="Arial" w:eastAsia="Calibri" w:hAnsi="Arial" w:cs="Arial"/>
          <w:kern w:val="0"/>
          <w:sz w:val="24"/>
          <w:szCs w:val="24"/>
          <w14:ligatures w14:val="none"/>
        </w:rPr>
        <w:t xml:space="preserve"> </w:t>
      </w:r>
      <w:r w:rsidR="00AE1C3E" w:rsidRPr="000C18EF">
        <w:rPr>
          <w:rFonts w:ascii="Arial" w:eastAsia="Calibri" w:hAnsi="Arial" w:cs="Arial"/>
          <w:kern w:val="0"/>
          <w:sz w:val="24"/>
          <w:szCs w:val="24"/>
          <w14:ligatures w14:val="none"/>
        </w:rPr>
        <w:t xml:space="preserve">od </w:t>
      </w:r>
      <w:r w:rsidRPr="000C18EF">
        <w:rPr>
          <w:rFonts w:ascii="Arial" w:eastAsia="Calibri" w:hAnsi="Arial" w:cs="Arial"/>
          <w:kern w:val="0"/>
          <w:sz w:val="24"/>
          <w:szCs w:val="24"/>
          <w14:ligatures w14:val="none"/>
        </w:rPr>
        <w:t>dnia podpisania bez zastrzeżeń przez Zamawiającego Protokołu Odbioru Jakościowego Urządzeń, stanowiącego załącznik nr 2 do Umowy.</w:t>
      </w:r>
    </w:p>
    <w:p w14:paraId="0431FB37" w14:textId="44FAACEB"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Miejscem realizacji przedmiotu </w:t>
      </w:r>
      <w:r w:rsidR="00047902" w:rsidRPr="00B5109F">
        <w:rPr>
          <w:rFonts w:ascii="Arial" w:eastAsia="Calibri" w:hAnsi="Arial" w:cs="Arial"/>
          <w:kern w:val="0"/>
          <w:sz w:val="24"/>
          <w:szCs w:val="24"/>
          <w14:ligatures w14:val="none"/>
        </w:rPr>
        <w:t>umowy</w:t>
      </w:r>
      <w:r w:rsidRPr="00B5109F">
        <w:rPr>
          <w:rFonts w:ascii="Arial" w:eastAsia="Calibri" w:hAnsi="Arial" w:cs="Arial"/>
          <w:kern w:val="0"/>
          <w:sz w:val="24"/>
          <w:szCs w:val="24"/>
          <w14:ligatures w14:val="none"/>
        </w:rPr>
        <w:t xml:space="preserve"> </w:t>
      </w:r>
      <w:r w:rsidR="00AE1C3E" w:rsidRPr="00B5109F">
        <w:rPr>
          <w:rFonts w:ascii="Arial" w:eastAsia="Calibri" w:hAnsi="Arial" w:cs="Arial"/>
          <w:kern w:val="0"/>
          <w:sz w:val="24"/>
          <w:szCs w:val="24"/>
          <w14:ligatures w14:val="none"/>
        </w:rPr>
        <w:t>są</w:t>
      </w:r>
      <w:r w:rsidRPr="00B5109F">
        <w:rPr>
          <w:rFonts w:ascii="Arial" w:eastAsia="Calibri" w:hAnsi="Arial" w:cs="Arial"/>
          <w:kern w:val="0"/>
          <w:sz w:val="24"/>
          <w:szCs w:val="24"/>
          <w14:ligatures w14:val="none"/>
        </w:rPr>
        <w:t xml:space="preserve"> obiekt</w:t>
      </w:r>
      <w:r w:rsidR="00AE1C3E" w:rsidRPr="00B5109F">
        <w:rPr>
          <w:rFonts w:ascii="Arial" w:eastAsia="Calibri" w:hAnsi="Arial" w:cs="Arial"/>
          <w:kern w:val="0"/>
          <w:sz w:val="24"/>
          <w:szCs w:val="24"/>
          <w14:ligatures w14:val="none"/>
        </w:rPr>
        <w:t>y</w:t>
      </w:r>
      <w:r w:rsidRPr="00B5109F">
        <w:rPr>
          <w:rFonts w:ascii="Arial" w:eastAsia="Calibri" w:hAnsi="Arial" w:cs="Arial"/>
          <w:kern w:val="0"/>
          <w:sz w:val="24"/>
          <w:szCs w:val="24"/>
          <w14:ligatures w14:val="none"/>
        </w:rPr>
        <w:t xml:space="preserve"> zlokalizowan</w:t>
      </w:r>
      <w:r w:rsidR="00AE1C3E" w:rsidRPr="00B5109F">
        <w:rPr>
          <w:rFonts w:ascii="Arial" w:eastAsia="Calibri" w:hAnsi="Arial" w:cs="Arial"/>
          <w:kern w:val="0"/>
          <w:sz w:val="24"/>
          <w:szCs w:val="24"/>
          <w14:ligatures w14:val="none"/>
        </w:rPr>
        <w:t>e</w:t>
      </w:r>
      <w:r w:rsidRPr="00B5109F">
        <w:rPr>
          <w:rFonts w:ascii="Arial" w:eastAsia="Calibri" w:hAnsi="Arial" w:cs="Arial"/>
          <w:kern w:val="0"/>
          <w:sz w:val="24"/>
          <w:szCs w:val="24"/>
          <w14:ligatures w14:val="none"/>
        </w:rPr>
        <w:t xml:space="preserve"> na terenie </w:t>
      </w:r>
      <w:r w:rsidR="00AE1C3E" w:rsidRPr="00B5109F">
        <w:rPr>
          <w:rFonts w:ascii="Arial" w:eastAsia="Calibri" w:hAnsi="Arial" w:cs="Arial"/>
          <w:kern w:val="0"/>
          <w:sz w:val="24"/>
          <w:szCs w:val="24"/>
          <w14:ligatures w14:val="none"/>
        </w:rPr>
        <w:t>miasta Warszawa</w:t>
      </w:r>
      <w:r w:rsidRPr="00B5109F">
        <w:rPr>
          <w:rFonts w:ascii="Arial" w:eastAsia="Calibri" w:hAnsi="Arial" w:cs="Arial"/>
          <w:kern w:val="0"/>
          <w:sz w:val="24"/>
          <w:szCs w:val="24"/>
          <w14:ligatures w14:val="none"/>
        </w:rPr>
        <w:t>. Zamawiający, w formie pisemnej lub w formie elektronicznej, wskaże miejsca, po podpisaniu umowy. Dostawa jest realizowana na koszt Wykonawcy.</w:t>
      </w:r>
    </w:p>
    <w:p w14:paraId="0C7F0C9B" w14:textId="3C5309C3"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zastrzega sobie prawo zmiany lokalizacji dostarczonej infrastruktury w trakcie trwania Umowy, wynikające ze zmian organizacyjnych Zamawiającego, w tym m.in. w związku ze zmianą siedziby Zamawiającego lub zmianą miejsca realizacji przedmiotu zamówienia, po pisemnym zawiadomieniu Wykonawcy o zmianie lokalizacji, z co najmniej 5 dniowym wyprzedzeniem, bez utraty gwarancji.</w:t>
      </w:r>
      <w:r w:rsidR="00AE1C3E" w:rsidRPr="00B5109F">
        <w:rPr>
          <w:rFonts w:ascii="Arial" w:eastAsia="Calibri" w:hAnsi="Arial" w:cs="Arial"/>
          <w:kern w:val="0"/>
          <w:sz w:val="24"/>
          <w:szCs w:val="24"/>
          <w14:ligatures w14:val="none"/>
        </w:rPr>
        <w:t xml:space="preserve"> </w:t>
      </w:r>
    </w:p>
    <w:p w14:paraId="01133C74" w14:textId="77777777"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Komunikacja oraz wszelka korespondencja pomiędzy Stronami będzie odbywała się w języku polskim.</w:t>
      </w:r>
    </w:p>
    <w:p w14:paraId="5A02CCB6" w14:textId="77777777"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zapewni w ramach udzielonej gwarancji, o której mowa w pkt 3, zgłaszanie wszystkich problemów technicznych, awarii oraz konsultacji technicznych, zwanych dalej zgłoszeniami.</w:t>
      </w:r>
    </w:p>
    <w:p w14:paraId="1F457754" w14:textId="6742CEE3"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będzie przyjmował zgłoszenia w ramach realizacji gwarancji przez 24 godziny na dobę, 7 dni w tygodniu, 365 dni w roku, za pomocą zgłoszenia telefonicznego, z</w:t>
      </w:r>
      <w:r w:rsidR="00F732D9"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 xml:space="preserve">wykorzystaniem serwisu www udostępnionego przez Wykonawcę, za pomocą poczty elektronicznej </w:t>
      </w:r>
      <w:r w:rsidR="00AE1C3E"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szczegółowe zasady dot. zgłoszeń Wykonawca przedstawi Zamawiającemu w sposób opisany w</w:t>
      </w:r>
      <w:r w:rsidR="0004790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pkt 11. W przypadku dokonania zgłoszenia telefonicznego, Zamawiający potwierdzi je w wymienionej formie elektronicznej.</w:t>
      </w:r>
    </w:p>
    <w:p w14:paraId="4A4ECF2F" w14:textId="77777777" w:rsidR="00AE1C3E"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jest zobowiązany do potwierdzenia przyjęcia zgłoszenia w terminie do 15 minut od jego zgłoszenia w następujące sposoby:</w:t>
      </w:r>
    </w:p>
    <w:p w14:paraId="5843E067" w14:textId="5ED91D88" w:rsidR="006064C2" w:rsidRPr="00B5109F" w:rsidRDefault="006064C2" w:rsidP="0008169B">
      <w:pPr>
        <w:numPr>
          <w:ilvl w:val="1"/>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lastRenderedPageBreak/>
        <w:t>na numer (22) 39 76 111 lub na adres poczty elektronicznej:</w:t>
      </w:r>
      <w:hyperlink r:id="rId11" w:history="1">
        <w:r w:rsidRPr="00B5109F">
          <w:rPr>
            <w:rFonts w:ascii="Arial" w:eastAsia="Calibri" w:hAnsi="Arial" w:cs="Arial"/>
            <w:color w:val="0066CC"/>
            <w:kern w:val="0"/>
            <w:sz w:val="24"/>
            <w:szCs w:val="24"/>
            <w:u w:val="single"/>
            <w:lang w:eastAsia="en-US"/>
            <w14:ligatures w14:val="none"/>
          </w:rPr>
          <w:t xml:space="preserve"> popd@ms.gov.pl</w:t>
        </w:r>
      </w:hyperlink>
    </w:p>
    <w:p w14:paraId="3F04BD0A" w14:textId="77777777" w:rsidR="006064C2" w:rsidRPr="00B5109F" w:rsidRDefault="006064C2" w:rsidP="00AE1C3E">
      <w:pPr>
        <w:spacing w:after="0" w:line="276" w:lineRule="auto"/>
        <w:ind w:left="792"/>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lub</w:t>
      </w:r>
    </w:p>
    <w:p w14:paraId="33D4F882" w14:textId="78C869F2" w:rsidR="006064C2" w:rsidRPr="00B5109F" w:rsidRDefault="006064C2" w:rsidP="0008169B">
      <w:pPr>
        <w:numPr>
          <w:ilvl w:val="1"/>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telefonicznie </w:t>
      </w:r>
      <w:r w:rsidR="00AE1C3E"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na numer podany podczas rejestracji zgłoszenia;</w:t>
      </w:r>
    </w:p>
    <w:p w14:paraId="0C4E5ED5" w14:textId="41757904" w:rsidR="006064C2" w:rsidRPr="00B5109F" w:rsidRDefault="006064C2" w:rsidP="0008169B">
      <w:pPr>
        <w:numPr>
          <w:ilvl w:val="1"/>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w przypadku braku potwierdzenia, po upływie 15 minut od zgłoszenia, Zamawiając wdroży procedurę eskalacji zgłoszenia, opisaną w pkt. 11 </w:t>
      </w:r>
      <w:proofErr w:type="spellStart"/>
      <w:r w:rsidRPr="00B5109F">
        <w:rPr>
          <w:rFonts w:ascii="Arial" w:eastAsia="Calibri" w:hAnsi="Arial" w:cs="Arial"/>
          <w:kern w:val="0"/>
          <w:sz w:val="24"/>
          <w:szCs w:val="24"/>
          <w14:ligatures w14:val="none"/>
        </w:rPr>
        <w:t>ppkt</w:t>
      </w:r>
      <w:proofErr w:type="spellEnd"/>
      <w:r w:rsidRPr="00B5109F">
        <w:rPr>
          <w:rFonts w:ascii="Arial" w:eastAsia="Calibri" w:hAnsi="Arial" w:cs="Arial"/>
          <w:kern w:val="0"/>
          <w:sz w:val="24"/>
          <w:szCs w:val="24"/>
          <w14:ligatures w14:val="none"/>
        </w:rPr>
        <w:t xml:space="preserve"> </w:t>
      </w:r>
      <w:r w:rsidR="004126A0">
        <w:rPr>
          <w:rFonts w:ascii="Arial" w:eastAsia="Calibri" w:hAnsi="Arial" w:cs="Arial"/>
          <w:kern w:val="0"/>
          <w:sz w:val="24"/>
          <w:szCs w:val="24"/>
          <w14:ligatures w14:val="none"/>
        </w:rPr>
        <w:t>3</w:t>
      </w:r>
      <w:r w:rsidRPr="00B5109F">
        <w:rPr>
          <w:rFonts w:ascii="Arial" w:eastAsia="Calibri" w:hAnsi="Arial" w:cs="Arial"/>
          <w:kern w:val="0"/>
          <w:sz w:val="24"/>
          <w:szCs w:val="24"/>
          <w14:ligatures w14:val="none"/>
        </w:rPr>
        <w:t>).</w:t>
      </w:r>
    </w:p>
    <w:p w14:paraId="3598CF6C" w14:textId="36ABD054"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wymaga realizacji zgłoszeń awarii w miejscach określonym w pkt 4, z</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zastrzeżeniem pkt 5.</w:t>
      </w:r>
    </w:p>
    <w:p w14:paraId="50DB6D37" w14:textId="77777777" w:rsidR="00B116F1"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w terminie 20 dni roboczych od dnia zawarcia Umowy, ma obowiązek przekazać Zamawiającemu w formie pisemnej dokument „Instrukcja zgłaszania, obsługi i eskalacji zgłoszeń serwisowych", zawierający:</w:t>
      </w:r>
    </w:p>
    <w:p w14:paraId="117D5879" w14:textId="160A726B" w:rsidR="006064C2" w:rsidRPr="00B5109F" w:rsidRDefault="00B116F1" w:rsidP="0008169B">
      <w:pPr>
        <w:numPr>
          <w:ilvl w:val="1"/>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i</w:t>
      </w:r>
      <w:r w:rsidR="006064C2" w:rsidRPr="00B5109F">
        <w:rPr>
          <w:rFonts w:ascii="Arial" w:eastAsia="Calibri" w:hAnsi="Arial" w:cs="Arial"/>
          <w:kern w:val="0"/>
          <w:sz w:val="24"/>
          <w:szCs w:val="24"/>
          <w14:ligatures w14:val="none"/>
        </w:rPr>
        <w:t>nstrukcje zgłaszania awarii, problemów technicznych i konsultacji (zgłoszenie</w:t>
      </w:r>
      <w:r w:rsidRPr="00B5109F">
        <w:rPr>
          <w:rFonts w:ascii="Arial" w:eastAsia="Calibri" w:hAnsi="Arial" w:cs="Arial"/>
          <w:kern w:val="0"/>
          <w:sz w:val="24"/>
          <w:szCs w:val="24"/>
          <w14:ligatures w14:val="none"/>
        </w:rPr>
        <w:t xml:space="preserve"> </w:t>
      </w:r>
      <w:r w:rsidR="006064C2" w:rsidRPr="00B5109F">
        <w:rPr>
          <w:rFonts w:ascii="Arial" w:eastAsia="Calibri" w:hAnsi="Arial" w:cs="Arial"/>
          <w:kern w:val="0"/>
          <w:sz w:val="24"/>
          <w:szCs w:val="24"/>
          <w14:ligatures w14:val="none"/>
        </w:rPr>
        <w:t>serwisowe)</w:t>
      </w:r>
      <w:r w:rsidRPr="00B5109F">
        <w:rPr>
          <w:rFonts w:ascii="Arial" w:eastAsia="Calibri" w:hAnsi="Arial" w:cs="Arial"/>
          <w:kern w:val="0"/>
          <w:sz w:val="24"/>
          <w:szCs w:val="24"/>
          <w14:ligatures w14:val="none"/>
        </w:rPr>
        <w:t xml:space="preserve"> </w:t>
      </w:r>
      <w:r w:rsidR="006064C2" w:rsidRPr="00B5109F">
        <w:rPr>
          <w:rFonts w:ascii="Arial" w:eastAsia="Calibri" w:hAnsi="Arial" w:cs="Arial"/>
          <w:kern w:val="0"/>
          <w:sz w:val="24"/>
          <w:szCs w:val="24"/>
          <w14:ligatures w14:val="none"/>
        </w:rPr>
        <w:t xml:space="preserve">zarówno w zakresie sprzętu </w:t>
      </w:r>
      <w:r w:rsidRPr="00B5109F">
        <w:rPr>
          <w:rFonts w:ascii="Arial" w:eastAsia="Calibri" w:hAnsi="Arial" w:cs="Arial"/>
          <w:kern w:val="0"/>
          <w:sz w:val="24"/>
          <w:szCs w:val="24"/>
          <w14:ligatures w14:val="none"/>
        </w:rPr>
        <w:t xml:space="preserve">jak </w:t>
      </w:r>
      <w:r w:rsidR="006064C2" w:rsidRPr="00B5109F">
        <w:rPr>
          <w:rFonts w:ascii="Arial" w:eastAsia="Calibri" w:hAnsi="Arial" w:cs="Arial"/>
          <w:kern w:val="0"/>
          <w:sz w:val="24"/>
          <w:szCs w:val="24"/>
          <w14:ligatures w14:val="none"/>
        </w:rPr>
        <w:t>i oprogramowania wewnętrznego firmware, wyspecyfikowanego w Rozdział III Specyfikacja Techniczna</w:t>
      </w:r>
      <w:r w:rsidRPr="00B5109F">
        <w:rPr>
          <w:rFonts w:ascii="Arial" w:eastAsia="Calibri" w:hAnsi="Arial" w:cs="Arial"/>
          <w:kern w:val="0"/>
          <w:sz w:val="24"/>
          <w:szCs w:val="24"/>
          <w14:ligatures w14:val="none"/>
        </w:rPr>
        <w:t>:</w:t>
      </w:r>
    </w:p>
    <w:p w14:paraId="10B7C186" w14:textId="05F28150" w:rsidR="006064C2" w:rsidRPr="00B5109F" w:rsidRDefault="006064C2" w:rsidP="00B5109F">
      <w:pPr>
        <w:pStyle w:val="Akapitzlist"/>
        <w:numPr>
          <w:ilvl w:val="2"/>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poprzez sprzęt Zamawiający rozumie urządzenia informatyczne wraz z zainstalowanym na nich oprogramowaniem, będące własnością Zamawiającego, wyspecyfikowane w</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 xml:space="preserve">Rozdział III Specyfikacja Techniczna </w:t>
      </w:r>
      <w:r w:rsidR="00B116F1"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wykaz posiadanego sprzętu.</w:t>
      </w:r>
    </w:p>
    <w:p w14:paraId="7487E18E" w14:textId="4CDB693A" w:rsidR="006064C2" w:rsidRPr="00B5109F" w:rsidRDefault="00B116F1" w:rsidP="0008169B">
      <w:pPr>
        <w:numPr>
          <w:ilvl w:val="2"/>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w:t>
      </w:r>
      <w:r w:rsidR="006064C2" w:rsidRPr="00B5109F">
        <w:rPr>
          <w:rFonts w:ascii="Arial" w:eastAsia="Calibri" w:hAnsi="Arial" w:cs="Arial"/>
          <w:kern w:val="0"/>
          <w:sz w:val="24"/>
          <w:szCs w:val="24"/>
          <w14:ligatures w14:val="none"/>
        </w:rPr>
        <w:t>oprzez oprogramowanie Zamawiający rozumie oprogramowanie wbudowane typu firmware wraz ze sterownikami urządzeń dla danego sprzętu.</w:t>
      </w:r>
    </w:p>
    <w:p w14:paraId="1BE5076A" w14:textId="77777777" w:rsidR="006064C2" w:rsidRPr="00B5109F" w:rsidRDefault="006064C2" w:rsidP="0008169B">
      <w:pPr>
        <w:numPr>
          <w:ilvl w:val="1"/>
          <w:numId w:val="1"/>
        </w:numPr>
        <w:tabs>
          <w:tab w:val="left" w:pos="36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zasady dostępu pracowników Wykonawcy wykonujących wdrożenie i naprawy serwisowe w lokalizacjach Zamawiającego, wyszczególnione w pkt 4;</w:t>
      </w:r>
    </w:p>
    <w:p w14:paraId="3C5A26AE" w14:textId="525AA073" w:rsidR="006064C2" w:rsidRPr="00B5109F" w:rsidRDefault="006064C2" w:rsidP="0008169B">
      <w:pPr>
        <w:numPr>
          <w:ilvl w:val="1"/>
          <w:numId w:val="1"/>
        </w:numPr>
        <w:tabs>
          <w:tab w:val="left" w:pos="36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procedury eskalacyjne </w:t>
      </w:r>
      <w:r w:rsidR="00B116F1"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pod pojęciem procedury eskalacji Zamawiający rozumie tryb postępowania stron w sytuacji braku realizacji zgłoszenia lub reakcji na zgłoszenie;</w:t>
      </w:r>
    </w:p>
    <w:p w14:paraId="698AAB63" w14:textId="71A64174" w:rsidR="006064C2" w:rsidRPr="00B5109F" w:rsidRDefault="006064C2" w:rsidP="0008169B">
      <w:pPr>
        <w:numPr>
          <w:ilvl w:val="1"/>
          <w:numId w:val="1"/>
        </w:numPr>
        <w:tabs>
          <w:tab w:val="left" w:pos="36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dane Wykonawcy </w:t>
      </w:r>
      <w:r w:rsidR="00B116F1"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adresy, numery telefonów i faksów, adresy poczty elektronicznej;</w:t>
      </w:r>
    </w:p>
    <w:p w14:paraId="68108FEE" w14:textId="6E9D7714" w:rsidR="006064C2" w:rsidRPr="00B5109F" w:rsidRDefault="006064C2" w:rsidP="0008169B">
      <w:pPr>
        <w:numPr>
          <w:ilvl w:val="2"/>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dane pracowników Wykonawcy wykonujących wdrożenie i naprawy serwisowe w</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lokalizacjach Zamawiającego przez cały okres trwania umowy;</w:t>
      </w:r>
    </w:p>
    <w:p w14:paraId="5E6E9079" w14:textId="77777777" w:rsidR="006064C2" w:rsidRPr="00B5109F" w:rsidRDefault="006064C2" w:rsidP="0008169B">
      <w:pPr>
        <w:numPr>
          <w:ilvl w:val="2"/>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instrukcje dotyczące przeglądania statusu Umowy oraz urządzeń nią objętych;</w:t>
      </w:r>
    </w:p>
    <w:p w14:paraId="52A96B31" w14:textId="5BBB1343" w:rsidR="006064C2" w:rsidRPr="00B5109F" w:rsidRDefault="006064C2" w:rsidP="0008169B">
      <w:pPr>
        <w:numPr>
          <w:ilvl w:val="2"/>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instrukcje dotyczące pobierania poprawek i nowych wersji oprogramowania z witryny internetowej producentów sprzętu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oprogramowania bez ponoszenia dodatkowych kosztów.</w:t>
      </w:r>
    </w:p>
    <w:p w14:paraId="48820C98" w14:textId="534B7CF1"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zobowiązuje się wdrożyć i stosować procedury wyszególnione w pkt 11 przez cały okres obowiązywania Umowy i gwarancji. Przekazane przez Wykonawcę instrukcje i procedury podlegają akceptacji Zamawiającego. Zamawiający może zgłosić uwagi i poprawki do instrukcji i</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 xml:space="preserve">procedur przekazanych przez Wykonawcę, a Wykonawca jest zobowiązany do ich </w:t>
      </w:r>
      <w:r w:rsidRPr="00B5109F">
        <w:rPr>
          <w:rFonts w:ascii="Arial" w:eastAsia="Calibri" w:hAnsi="Arial" w:cs="Arial"/>
          <w:kern w:val="0"/>
          <w:sz w:val="24"/>
          <w:szCs w:val="24"/>
          <w14:ligatures w14:val="none"/>
        </w:rPr>
        <w:lastRenderedPageBreak/>
        <w:t>uwzględnienia i przedstawienia do ponownej akceptacji przez Zamawiającego, w terminie 3 dni roboczych od daty przesłania uwag i poprawek przez Zamawiającego.</w:t>
      </w:r>
    </w:p>
    <w:p w14:paraId="4029FC3C" w14:textId="65B3413F"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Instrukcje i procedury, o których mowa w pkt 11, nie mogą być sprzeczne lub niezgodne z</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postanowieniami Umowy.</w:t>
      </w:r>
    </w:p>
    <w:p w14:paraId="25BE5B8C" w14:textId="75FD826E"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przypadku niemożności usunięcia awarii u Zamawiającego, Wykonawca może usunąć awarię poza miejscem realizacji przedmiotu zamówienia oraz dostarczyć urządzenie zastępcze po uzgodnieniu z Zamawiającym. Koszty dostarczenia uszkodzonego urządzenia do punktu serwisowego oraz z punktu serwisowego do miejsca eksploatacji urządzenia oraz jego ponownej instalacji i konfiguracji oraz koszty dostarczenia i odbioru, zainstalowania i</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odinstalowania oraz konfiguracji urządzenia zastępczego pokrywa Wykonawca.</w:t>
      </w:r>
    </w:p>
    <w:p w14:paraId="12CAC3DB" w14:textId="200B1CDF"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zapewni konsultacje techniczne w ramach gwarancji pomiędzy Zamawiającym a</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Wykonawcą: osobiście, zdalnie lub telefonicznie lub za pomocą poczty elektronicznej.</w:t>
      </w:r>
    </w:p>
    <w:p w14:paraId="07C872AB" w14:textId="77777777"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jest zobowiązany do zapewnienia Zamawiającemu możliwości bieżącego śledzenia statusu zgłoszenia serwisowego za pośrednictwem co najmniej strony www -Wykonawca przekaże Zamawiającemu za pomocą poczty e-mail login i hasło nie później niż w ciągu 1 dnia od dnia zawarcia umowy.</w:t>
      </w:r>
    </w:p>
    <w:p w14:paraId="2FE3AFE3" w14:textId="172BE762"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zapewni Zamawiającemu dostęp do monitorowania statusu zgłoszeń awarii w</w:t>
      </w:r>
      <w:r w:rsidR="00B116F1"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systemie Wykonawcy służącym do obsługi zgłoszeń.</w:t>
      </w:r>
    </w:p>
    <w:p w14:paraId="4CDF5FEC" w14:textId="77777777"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wymaga zapewnienia ciągłości usług gwarancyjnych.</w:t>
      </w:r>
    </w:p>
    <w:p w14:paraId="474D227B" w14:textId="2A365D97" w:rsidR="006064C2" w:rsidRPr="00B5109F" w:rsidRDefault="006064C2" w:rsidP="0008169B">
      <w:pPr>
        <w:numPr>
          <w:ilvl w:val="0"/>
          <w:numId w:val="1"/>
        </w:numPr>
        <w:tabs>
          <w:tab w:val="left" w:pos="33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zobowiązany jest do usunięcia awarii sprzętu w terminie (zgodnie z</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ofertą Wykonawcy) od chwili zgłoszenia awarii, bez względu na to, czy zgłoszenie zostało potwierdzone czy nie.</w:t>
      </w:r>
    </w:p>
    <w:p w14:paraId="7530B314" w14:textId="77777777" w:rsidR="006064C2" w:rsidRPr="00B5109F" w:rsidRDefault="006064C2" w:rsidP="0008169B">
      <w:pPr>
        <w:numPr>
          <w:ilvl w:val="0"/>
          <w:numId w:val="1"/>
        </w:numPr>
        <w:tabs>
          <w:tab w:val="left" w:pos="341"/>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przypadku, gdy Wykonawca nie wykona obowiązku wynikającego z pkt 19 Zamawiający może:</w:t>
      </w:r>
    </w:p>
    <w:p w14:paraId="685303C5" w14:textId="77777777" w:rsidR="006064C2" w:rsidRPr="00B5109F" w:rsidRDefault="006064C2" w:rsidP="0008169B">
      <w:pPr>
        <w:numPr>
          <w:ilvl w:val="1"/>
          <w:numId w:val="1"/>
        </w:numPr>
        <w:tabs>
          <w:tab w:val="left" w:pos="341"/>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bez oddzielnego wyroku sądu wypożyczyć, zainstalować i uruchomić urządzenie zastępcze, a kosztami naprawy obciążyć Wykonawcę zachowując jednocześnie prawo do żądania kary umownej i odszkodowania, lub</w:t>
      </w:r>
    </w:p>
    <w:p w14:paraId="53C47FFF" w14:textId="6106C8CE" w:rsidR="006064C2" w:rsidRPr="00B5109F" w:rsidRDefault="006064C2" w:rsidP="0008169B">
      <w:pPr>
        <w:numPr>
          <w:ilvl w:val="1"/>
          <w:numId w:val="1"/>
        </w:numPr>
        <w:tabs>
          <w:tab w:val="left" w:pos="341"/>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zlecić innemu podmiotowi naprawę urządzenia, a kosztami naprawy obciążyć Wykonawcę zachowując jednocześnie prawo do żądania kary umownej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odszkodowania.</w:t>
      </w:r>
    </w:p>
    <w:p w14:paraId="346F34E7" w14:textId="126AD48D"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W przypadku wystąpienia okoliczności opisanych w pkt 20 </w:t>
      </w:r>
      <w:proofErr w:type="spellStart"/>
      <w:r w:rsidRPr="00B5109F">
        <w:rPr>
          <w:rFonts w:ascii="Arial" w:eastAsia="Calibri" w:hAnsi="Arial" w:cs="Arial"/>
          <w:kern w:val="0"/>
          <w:sz w:val="24"/>
          <w:szCs w:val="24"/>
          <w14:ligatures w14:val="none"/>
        </w:rPr>
        <w:t>ppkt</w:t>
      </w:r>
      <w:proofErr w:type="spellEnd"/>
      <w:r w:rsidRPr="00B5109F">
        <w:rPr>
          <w:rFonts w:ascii="Arial" w:eastAsia="Calibri" w:hAnsi="Arial" w:cs="Arial"/>
          <w:kern w:val="0"/>
          <w:sz w:val="24"/>
          <w:szCs w:val="24"/>
          <w14:ligatures w14:val="none"/>
        </w:rPr>
        <w:t xml:space="preserve"> </w:t>
      </w:r>
      <w:r w:rsidR="004126A0">
        <w:rPr>
          <w:rFonts w:ascii="Arial" w:eastAsia="Calibri" w:hAnsi="Arial" w:cs="Arial"/>
          <w:kern w:val="0"/>
          <w:sz w:val="24"/>
          <w:szCs w:val="24"/>
          <w14:ligatures w14:val="none"/>
        </w:rPr>
        <w:t>1</w:t>
      </w:r>
      <w:r w:rsidRPr="00B5109F">
        <w:rPr>
          <w:rFonts w:ascii="Arial" w:eastAsia="Calibri" w:hAnsi="Arial" w:cs="Arial"/>
          <w:kern w:val="0"/>
          <w:sz w:val="24"/>
          <w:szCs w:val="24"/>
          <w14:ligatures w14:val="none"/>
        </w:rPr>
        <w:t xml:space="preserve">) i </w:t>
      </w:r>
      <w:r w:rsidR="004126A0">
        <w:rPr>
          <w:rFonts w:ascii="Arial" w:eastAsia="Calibri" w:hAnsi="Arial" w:cs="Arial"/>
          <w:kern w:val="0"/>
          <w:sz w:val="24"/>
          <w:szCs w:val="24"/>
          <w14:ligatures w14:val="none"/>
        </w:rPr>
        <w:t>2</w:t>
      </w:r>
      <w:r w:rsidRPr="00B5109F">
        <w:rPr>
          <w:rFonts w:ascii="Arial" w:eastAsia="Calibri" w:hAnsi="Arial" w:cs="Arial"/>
          <w:kern w:val="0"/>
          <w:sz w:val="24"/>
          <w:szCs w:val="24"/>
          <w14:ligatures w14:val="none"/>
        </w:rPr>
        <w:t>) Zamawiający nie traci prawa do świadczeń, o których mowa w pkt 3.</w:t>
      </w:r>
    </w:p>
    <w:p w14:paraId="294D3E89" w14:textId="2606864C"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ramach i w czasie przewidzianym dla usunięcia awarii Zamawiający dopuszcza możliwość wymiany przez Wykonawcę po uzgodnieniu z Zamawiającym poszczególnych elementów lub podzespołów sprzętu lub całego sprzętu na fabrycznie nowy, wolny od wad, taki sam lub inny, o</w:t>
      </w:r>
      <w:r w:rsidR="00AB339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co najmniej takich samych parametrach, funkcjonalności i standardzie.</w:t>
      </w:r>
    </w:p>
    <w:p w14:paraId="70A50266" w14:textId="2768EA15" w:rsidR="00AB339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w przypadku, gdy naprawa urządzenia Zamawiającego trwa dłużej niż 6 tygodni, w tym także gdy w wyniku usuwania awarii Wykonawca zapewnił urządzenie zastępcze, lub gdy ten sam element/podzespół/część urządzenia będzie podlegać naprawie trzykrotnie w okresie obowiązywania umowy i nastąpi kolejna (czwarta) awaria, Wykonawca na żądanie Zamawiającego dokona wymiany urządzenia na nowe, takie same co do gatunku lub inne, uzgodnione z Zamawiającym, o co najmniej takich samych parametrach, funkcjonalności i standardzie, co urządzenie podlegające wymianie. Wykonawca zobowiązany jest wymienić urządzenie w</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ciągu 7 dni roboczych od zgłoszenia takiego</w:t>
      </w:r>
      <w:r w:rsidR="00AB339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 xml:space="preserve">żądania przez Zamawiającego. </w:t>
      </w:r>
    </w:p>
    <w:p w14:paraId="4703674F" w14:textId="61E2180B" w:rsidR="006064C2" w:rsidRPr="00B5109F" w:rsidRDefault="006064C2" w:rsidP="0008169B">
      <w:pPr>
        <w:numPr>
          <w:ilvl w:val="0"/>
          <w:numId w:val="1"/>
        </w:numPr>
        <w:tabs>
          <w:tab w:val="left" w:pos="32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Dostarczone w ramach wymiany urządzenie musi być wyprodukowane nie wcześniej niż 6 miesięcy przed dostawą, wolne od wad, fabrycznie nowe </w:t>
      </w:r>
      <w:r w:rsidR="00AB3392"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bez śladów używania i bez uszkodzeń, wprowadzone na rynek zgodnie z przepisami obowiązującymi na terenie Rzeczypospolitej Polskiej i dostarczone Zamawiającemu w oryginalnych opakowaniach fabrycznych, zabezpieczających przed uszkodzeniem w trakcie transportu i składowania. W</w:t>
      </w:r>
      <w:r w:rsidR="00AB339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przypadku wymiany urządzenia na nowe Wykonawca sporządzi protokoły z wymiany urządzenia, zgodnie ze wzorami „Protokół Odbioru Ilościowego Urządzeń</w:t>
      </w:r>
      <w:r w:rsidR="00AB3392"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w przypadku wymiany urządzeń" oraz „Protokół Odbioru Jakościowego Urządzeń</w:t>
      </w:r>
      <w:r w:rsidR="00AB3392"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w</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przypadku wymiany urządzeń" stanowiącymi załączniki nr 2 do umowy. Z chwilą podpisania ww. protokołów na Zamawiającego przechodzi prawo własności nowego urządzenia.</w:t>
      </w:r>
    </w:p>
    <w:p w14:paraId="689F2C2C" w14:textId="1A715D6A"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każdorazowo dostarczy Zamawiającemu raport z naprawy sprzętu, zawierający datę i godzinę zgłoszenia, informację co było przedmiotem naprawy oraz w przypadku przekroczenia czasu usunięcia awarii, o którym mowa w pkt 19, Wykonawca wskaże w Raporcie z naprawy faktyczny czas naprawy oraz liczbę godzin ponad termin zawarty w pkt 19. Raporty z</w:t>
      </w:r>
      <w:r w:rsidR="00AB339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naprawy będą przygotowywane przez Wykonawcę w języku polskim i przekazywane Zamawiającemu w formie pisemnej (papierowej) do siedziby Departamentu Informatyzacji i</w:t>
      </w:r>
      <w:r w:rsidR="00AB339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Rejestrów Sądowych. Zamawiający w terminie 3 dni roboczych od otrzymania raportu dokonuje jego akceptacji lub zgłasza do niego uwagi, przesyłając je na adres poczty elektronicznej Wykonawcy. Wykonawca zobowiązany jest w terminie 2 dni roboczych od dnia otrzymania uwag do ich uwzględniania i przedstawienia poprawionej wersji raportu.</w:t>
      </w:r>
    </w:p>
    <w:p w14:paraId="3D6E7218" w14:textId="61FB18E2"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przypadku awarii dysku twardego, powodującej konieczność jego wymiany, uszkodzony dysk nie będzie podlegał żadnym weryfikacjom, testom czy naprawom oraz pozostaje u</w:t>
      </w:r>
      <w:r w:rsidR="00AB3392"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Zamawiającego. Koszt dysków twardych wymienianych z powodu ich awarii ponosi Wykonawca</w:t>
      </w:r>
      <w:r w:rsidR="00AB3392" w:rsidRPr="00B5109F">
        <w:rPr>
          <w:rFonts w:ascii="Arial" w:eastAsia="Calibri" w:hAnsi="Arial" w:cs="Arial"/>
          <w:kern w:val="0"/>
          <w:sz w:val="24"/>
          <w:szCs w:val="24"/>
          <w14:ligatures w14:val="none"/>
        </w:rPr>
        <w:t>.</w:t>
      </w:r>
    </w:p>
    <w:p w14:paraId="511BE1F4" w14:textId="77777777"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Podczas usuwania awarii Wykonawca, po konsultacjach z Zamawiającym, dokona instalacji dostępnych i zalecanych w danym czasie ulepszeń technicznych (aktualizacja oprogramowania wewnętrznego firmware) w celu zapewnienia poprawnego działania sprzętu oraz podwyższenia jego wydajności.</w:t>
      </w:r>
    </w:p>
    <w:p w14:paraId="35B82250" w14:textId="270852F0"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zainstaluje uaktualnienia oprogramowania wewnętrznego (firmware) danego sprzętu. Instalacja aktualizacji oprogramowania nie może naruszać praw autorskich producenta oprogramowania. Wykonawca zapewnia, że</w:t>
      </w:r>
    </w:p>
    <w:p w14:paraId="1B5BD0FF" w14:textId="77777777"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dostarczane/udostępniane aktualizacje, nowe wersje oraz udoskonalenia oprogramowania są produktami wykonanymi przez producenta oprogramowania, a tym samym nie naruszają praw autorskich ani żadnych innych prawa osób trzecich, natomiast Wykonawca posiada prawo do ich dostarczenia Zamawiającemu na zasadach określonych w umowie.</w:t>
      </w:r>
    </w:p>
    <w:p w14:paraId="2C6D7B03" w14:textId="321056A8" w:rsidR="006064C2" w:rsidRPr="00B5109F" w:rsidRDefault="006064C2" w:rsidP="0008169B">
      <w:pPr>
        <w:numPr>
          <w:ilvl w:val="1"/>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ma prawo do pobierania uaktualnień oprogramowania i nowych wersji oprogramowania objętego gwarancją, w tym oprogramowania wewnętrznego (firmware), w sposób nie naruszający praw własności intelektualnej producenta sprzętu i</w:t>
      </w:r>
      <w:r w:rsidR="00AC08EA"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oprogramowania.</w:t>
      </w:r>
    </w:p>
    <w:p w14:paraId="7F14FAA7" w14:textId="77777777"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Czas przeznaczony na instalacje usprawnień technicznych lub aktualizację wewnętrznego oprogramowania i testy zastosowanego rozwiązania wyłącza się z czasu naprawy (usunięcia awarii sprzętu), o ile wcześniej Wykonawca określił czas przeznaczony na instalację usprawnień lub aktualizację i uzyskał zgodę Zamawiającego wyrażoną w formie pisemnej bądź przesłaną za pomocą poczty elektronicznej.</w:t>
      </w:r>
    </w:p>
    <w:p w14:paraId="62E0CD54" w14:textId="77777777"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ramach umowy Zamawiający uzyskuje prawo do Zainstalowania, uruchamiania, przechowywania korzystania z aktualizacji oprogramowania, zwanych dalej „aktualizacjami", na sprzęcie Zamawiającego, które obejmują:</w:t>
      </w:r>
    </w:p>
    <w:p w14:paraId="653208AC" w14:textId="23437AE6" w:rsidR="006064C2" w:rsidRPr="00B5109F" w:rsidRDefault="00AC08EA"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a</w:t>
      </w:r>
      <w:r w:rsidR="006064C2" w:rsidRPr="00B5109F">
        <w:rPr>
          <w:rFonts w:ascii="Arial" w:eastAsia="Calibri" w:hAnsi="Arial" w:cs="Arial"/>
          <w:kern w:val="0"/>
          <w:sz w:val="24"/>
          <w:szCs w:val="24"/>
          <w14:ligatures w14:val="none"/>
        </w:rPr>
        <w:t>ktualizacje oprogramowania w ramach aktualnie używanej przez Zamawiającego wersji oprogramowania;</w:t>
      </w:r>
    </w:p>
    <w:p w14:paraId="4B83A3AC" w14:textId="01CAA272" w:rsidR="006064C2" w:rsidRPr="00B5109F" w:rsidRDefault="00AC08EA"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n</w:t>
      </w:r>
      <w:r w:rsidR="006064C2" w:rsidRPr="00B5109F">
        <w:rPr>
          <w:rFonts w:ascii="Arial" w:eastAsia="Calibri" w:hAnsi="Arial" w:cs="Arial"/>
          <w:kern w:val="0"/>
          <w:sz w:val="24"/>
          <w:szCs w:val="24"/>
          <w14:ligatures w14:val="none"/>
        </w:rPr>
        <w:t>owe wersje oprogramowania w tym tzw. updates (aktualizacje), upgrades (podniesienie wersji do wyższej), patches</w:t>
      </w:r>
      <w:r w:rsidRPr="00B5109F">
        <w:rPr>
          <w:rFonts w:ascii="Arial" w:eastAsia="Calibri" w:hAnsi="Arial" w:cs="Arial"/>
          <w:kern w:val="0"/>
          <w:sz w:val="24"/>
          <w:szCs w:val="24"/>
          <w14:ligatures w14:val="none"/>
        </w:rPr>
        <w:t xml:space="preserve"> </w:t>
      </w:r>
      <w:r w:rsidR="006064C2" w:rsidRPr="00B5109F">
        <w:rPr>
          <w:rFonts w:ascii="Arial" w:eastAsia="Calibri" w:hAnsi="Arial" w:cs="Arial"/>
          <w:kern w:val="0"/>
          <w:sz w:val="24"/>
          <w:szCs w:val="24"/>
          <w14:ligatures w14:val="none"/>
        </w:rPr>
        <w:t>(łatki, poprawki itp.);</w:t>
      </w:r>
    </w:p>
    <w:p w14:paraId="142ADAA0" w14:textId="41FEE402" w:rsidR="006064C2" w:rsidRPr="00B5109F" w:rsidRDefault="00AC08EA"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u</w:t>
      </w:r>
      <w:r w:rsidR="006064C2" w:rsidRPr="00B5109F">
        <w:rPr>
          <w:rFonts w:ascii="Arial" w:eastAsia="Calibri" w:hAnsi="Arial" w:cs="Arial"/>
          <w:kern w:val="0"/>
          <w:sz w:val="24"/>
          <w:szCs w:val="24"/>
          <w14:ligatures w14:val="none"/>
        </w:rPr>
        <w:t>doskonalenia do wersji bieżących oprogramowania: nowe edycje, wydania uzupełniające, poprawki programistyczne.</w:t>
      </w:r>
    </w:p>
    <w:p w14:paraId="4B11D722" w14:textId="45BB7093"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zapewni Zamawiającemu przez cały okres obowiązywania Umowy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gwarancji, w</w:t>
      </w:r>
      <w:r w:rsidR="00AC08EA"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ramach wynagrodzenia należnego Wykonawcy z tytułu dostawy, dostęp do portali internetowych producenta zawierających narzędzia wsparcia elektronicznego oraz zapewni możliwość korzystania z nich. W szczególności narzędzia te muszą umożliwiać:</w:t>
      </w:r>
    </w:p>
    <w:p w14:paraId="0677173C" w14:textId="58DA087A"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przeszukiwanie bazy wiedzy producenta dotyczącej sprzętu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oprogramowania objętego przedmiotem umowy, zawierającej wykaz znanych symptomów nieprawidłowego działania systemów oraz sposobów ich naprawy, jak również opisy i specyfikacje produktów oraz dokumentację techniczną;</w:t>
      </w:r>
    </w:p>
    <w:p w14:paraId="5E23C0BA" w14:textId="466FC51C"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pobieranie z serwera www lub ftp producenta sprzętu poprawek, aktualizacji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nowych</w:t>
      </w:r>
      <w:r w:rsidR="00AC08EA"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wersji oprogramowania, umożliwiających jego instalację, udostępnionych przez producenta w okresie trwania umowy;</w:t>
      </w:r>
    </w:p>
    <w:p w14:paraId="1CA58626" w14:textId="479212BC"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uzyskanie informacji o zgłoszeniach serwisowych, statusie napraw oraz o</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statusie umowy oraz o sprzęcie nią objętym</w:t>
      </w:r>
      <w:r w:rsidR="00AC08EA" w:rsidRPr="00B5109F">
        <w:rPr>
          <w:rFonts w:ascii="Arial" w:eastAsia="Calibri" w:hAnsi="Arial" w:cs="Arial"/>
          <w:kern w:val="0"/>
          <w:sz w:val="24"/>
          <w:szCs w:val="24"/>
          <w14:ligatures w14:val="none"/>
        </w:rPr>
        <w:t>;</w:t>
      </w:r>
    </w:p>
    <w:p w14:paraId="15182CD5" w14:textId="77777777"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korzystanie z dokumentacji technicznej dostarczonej wraz z aktualizacjami;</w:t>
      </w:r>
    </w:p>
    <w:p w14:paraId="5B7CB6BA" w14:textId="77777777"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wprowadzania aktualizacji do pamięci sprzętu Zamawiającego;</w:t>
      </w:r>
    </w:p>
    <w:p w14:paraId="5A7AE51F" w14:textId="281B6C78" w:rsidR="006064C2" w:rsidRPr="00B5109F" w:rsidRDefault="006064C2" w:rsidP="0008169B">
      <w:pPr>
        <w:numPr>
          <w:ilvl w:val="1"/>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sporządzania jednej kopii nośników elektronicznych aktualizacji dla celów archiwalnych lub jako kopii zapasowych.</w:t>
      </w:r>
    </w:p>
    <w:p w14:paraId="37B4B127" w14:textId="042E1F0A"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w ramach dostawy zapewnia udzielenie licencji na oprogramowania wewnętrznego (firmware) wraz ze wsparciem producenta tego oprogramowania, które obejmuje co najmniej aktualizację dla sprzętu wyspecyfikowanego w Rozdziale III Specyfikacja Techniczna, do wersji uzgodnionej z Zamawiającym nie rzadziej niż raz na 12 miesięcy, maksymalnie 2 razy na 12 miesięcy oraz w</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przypadku wystąpienia awarii, których analiza przeprowadzona przez Wykonawcę jednoznacznie wykaże konieczność dokonania natychmiastowej aktualizacji oprogramowania wewnętrznego firmware.</w:t>
      </w:r>
    </w:p>
    <w:p w14:paraId="29FCE54F" w14:textId="0377243B"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Harmonogram wykonania wszystkich aktualizacji oprogramowania dla urządzeń wyspecyfikowanego w Rozdział III Specyfikacja Techniczna, będzie uzgadniany z Zamawiającym w formie pisemnej lub za pomocą poczty elektronicznej w</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terminie do 30 dni przed przystąpieniem do tych prac.</w:t>
      </w:r>
    </w:p>
    <w:p w14:paraId="2ABE5118" w14:textId="738906B4" w:rsidR="006064C2" w:rsidRPr="00B5109F" w:rsidRDefault="006064C2" w:rsidP="0008169B">
      <w:pPr>
        <w:numPr>
          <w:ilvl w:val="0"/>
          <w:numId w:val="1"/>
        </w:numPr>
        <w:tabs>
          <w:tab w:val="left" w:pos="346"/>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ramach udzielonej gwarancji, Wykonawca przeprowadzi okresowy przegląd sprzętu i</w:t>
      </w:r>
      <w:r w:rsidR="00940E1B"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oprogramowania wewnętrznego firmware w celu zinwentaryzowania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ustalenia stanu sprzętu wyszczególnionego w Rozdziale III Specyfikacja Techniczna, nie rzadziej niż w odstępach 12 miesięcznych. W wyniku przeprowadzonego okresowego przeglądu każdorazowo powstanie Raport z okresowego przeglądu. Raporty z okresowego przeglądu będą przygotowywane przez Wykonawcę w języku polskim i przekazywane Zamawiającemu w formie pisemnej (papierowej) do siedziby Departamentu Informatyzacji i Rejestrów Sądowych oraz w formie elektronicznej (edytowalnej - DOC oraz PDF) za pośrednictwem poczty elektronicznej. Zamawiający w terminie 3 dni roboczych od otrzymania raportu dokonuje jego akceptacji lub zgłasza do niego uwagi, przesyłając je na adres poczty elektronicznej Wykonawcy. Wykonawca zobowiązany jest w</w:t>
      </w:r>
      <w:r w:rsidR="00940E1B"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 xml:space="preserve">terminie 2 dni roboczych od dnia otrzymania uwag do ich uwzględniania i przedstawienia poprawionej wersji raportu, a w razie nieuwzględnienia uwag </w:t>
      </w:r>
      <w:r w:rsidR="00AC08EA"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do</w:t>
      </w:r>
      <w:r w:rsidR="00AC08EA"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pisemnego uzasadnienia swojego stanowiska. W</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takim przypadku stosuje się postanowienie zdania poprzedniego.</w:t>
      </w:r>
    </w:p>
    <w:p w14:paraId="6239BDC3" w14:textId="77777777"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zapewni Zamawiającemu bezpośredni dostęp do laboratoriów będących własnością producenta sprzętu wyspecyfikowanego w Rozdziale III Specyfikacja Techniczna, umożliwiający zlecenie wykonania modyfikacji oprogramowania wewnętrznego firmware objętego gwarancją, jeżeli jest to konieczne dla rozwiązania problemu technicznego.</w:t>
      </w:r>
    </w:p>
    <w:p w14:paraId="5C31DCF2" w14:textId="3D757413"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udziela zdalnego wsparcia dla urządzeń przy rozwiązywaniu awarii występujących podczas eksploatacji przez Zamawiającego urządzeń i</w:t>
      </w:r>
      <w:r w:rsidR="00A334BA">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oprogramowania wewnętrznego (firmware) wymienionego w Rozdziale III Specyfikacja Techniczna.</w:t>
      </w:r>
    </w:p>
    <w:p w14:paraId="7FF61A75" w14:textId="06E971F1"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okresie trwania umowy Zamawiający ma prawo do instalowania, wymiany standardowych kart rozszerzeń / modułów (np. modułów optycznych itp.) oraz rozbudowy sprzętu wyspecyfikowanego w Rozdziale III Specyfikacja Techniczna zgodnie z zasadami wiedzy technicznej przez wykwalifikowany personel Zamawiającego lub podmiotu zewnętrznego, któremu zleci te prace Zamawiający.</w:t>
      </w:r>
    </w:p>
    <w:p w14:paraId="1F6205F3" w14:textId="77777777"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Urządzenia muszą pochodzić z oficjalnego kanału sprzedaży ich producenta. Zamawiający zastrzega, że na żądanie Wykonawca obowiązany jest przedłożyć stosowne oświadczenie producenta Urządzeń, potwierdzające pochodzenie dostarczonych Urządzeń z kanału sprzedaży autoryzowanego przez producenta na polski rynek.</w:t>
      </w:r>
    </w:p>
    <w:p w14:paraId="0E8AF01B" w14:textId="77777777"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Urządzenia muszą być fabrycznie nowe tj. nieużywane i wyprodukowane nie wcześniej niż 6 miesięcy przed terminem dostawy, kompletne, wolne od wad, bez śladów używania i bez uszkodzeń.</w:t>
      </w:r>
    </w:p>
    <w:p w14:paraId="0329F176" w14:textId="75B87B20"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Urządzenia muszą być oryginalne, przy czym pod pojęciem oryginalny należy rozumieć sprzęt dopuszczony do obrotu na terenie Rzeczpospolitej Polskiej, wprowadzony na rynek zgodnie z</w:t>
      </w:r>
      <w:r w:rsidR="0070056F"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przepisami Ustawy o zużytym sprzęcie elektrycznym i elektronicznym z dnia 11 września 2015r., posiadający wymagane prawem deklaracje zgodności, jak również instrukcje obsługi w języku polskim lub języku angielskim.</w:t>
      </w:r>
    </w:p>
    <w:p w14:paraId="7B20F170" w14:textId="77777777"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chwili dostarczenia (do czasu rozpakowania na potrzeby montażu), Urządzenia muszą znajdować się w opakowaniach fabrycznych zabezpieczających przed uszkodzeniem w trakcie transportu i składowania, posiadać zabezpieczenia (o ile zostały zastosowane przez producenta), oznaczenie CE oraz znaki identyfikujące Urządzenia, a w szczególności znak towarowy lub markę producenta Urządzeń.</w:t>
      </w:r>
    </w:p>
    <w:p w14:paraId="2DC01CFC" w14:textId="769D8EE9" w:rsidR="006064C2" w:rsidRPr="00B5109F" w:rsidRDefault="006064C2" w:rsidP="0008169B">
      <w:pPr>
        <w:numPr>
          <w:ilvl w:val="0"/>
          <w:numId w:val="1"/>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zapewni, aby Urządzenia oraz sposób ich montażu, spełniały wymogi bezpieczeństwa określone przez przepisy Unii Europejskiej dotyczące bezpieczeństwa określonego produktu (Conformité Européenne) oraz szczegółowe wymagania dotyczące bezpieczeństwa produktu określone przepisami polskimi, a w przypadku ich braku, wymogi dobrowolnych norm krajowych państw UE innych niż normy uznane przez KE, Polskich Norm, zaleceń KE, zasad dobrej praktyki w zakresie bezpieczeństwa produktu obowiązujących w danym sektorze, aktualnego stanu wiedzy i techniki lub uzasadnionych oczekiwań użytkowników w</w:t>
      </w:r>
      <w:r w:rsidR="008C1308" w:rsidRPr="00B5109F">
        <w:rPr>
          <w:rFonts w:ascii="Arial" w:eastAsia="Calibri" w:hAnsi="Arial" w:cs="Arial"/>
          <w:kern w:val="0"/>
          <w:sz w:val="24"/>
          <w:szCs w:val="24"/>
          <w14:ligatures w14:val="none"/>
        </w:rPr>
        <w:t> </w:t>
      </w:r>
      <w:r w:rsidRPr="00B5109F">
        <w:rPr>
          <w:rFonts w:ascii="Arial" w:eastAsia="Calibri" w:hAnsi="Arial" w:cs="Arial"/>
          <w:kern w:val="0"/>
          <w:sz w:val="24"/>
          <w:szCs w:val="24"/>
          <w14:ligatures w14:val="none"/>
        </w:rPr>
        <w:t>zakresie bezpieczeństwa.</w:t>
      </w:r>
    </w:p>
    <w:p w14:paraId="23D31233" w14:textId="77777777" w:rsidR="006064C2" w:rsidRPr="00B5109F" w:rsidRDefault="006064C2">
      <w:pPr>
        <w:spacing w:after="0" w:line="240" w:lineRule="exact"/>
        <w:rPr>
          <w:rFonts w:ascii="Arial" w:eastAsia="Calibri" w:hAnsi="Arial" w:cs="Arial"/>
          <w:kern w:val="0"/>
          <w:sz w:val="24"/>
          <w:szCs w:val="24"/>
          <w14:ligatures w14:val="none"/>
        </w:rPr>
      </w:pPr>
    </w:p>
    <w:p w14:paraId="736DF94E" w14:textId="77777777" w:rsidR="006064C2" w:rsidRPr="00B5109F" w:rsidRDefault="006064C2" w:rsidP="00A334BA">
      <w:pPr>
        <w:spacing w:before="101" w:after="0" w:line="446" w:lineRule="exact"/>
        <w:jc w:val="center"/>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Rozdział II Wykaz urządzeń i oprogramowania posiadanych i eksploatowanych przez Zamawiającego.</w:t>
      </w:r>
    </w:p>
    <w:p w14:paraId="5D0209D0" w14:textId="77777777" w:rsidR="006064C2" w:rsidRPr="00B5109F" w:rsidRDefault="006064C2" w:rsidP="0008169B">
      <w:pPr>
        <w:numPr>
          <w:ilvl w:val="0"/>
          <w:numId w:val="2"/>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posiada i eksploatuje następujące elementy infrastruktury serwerowej:</w:t>
      </w:r>
    </w:p>
    <w:p w14:paraId="323F60BB" w14:textId="556CF74A" w:rsidR="006064C2" w:rsidRPr="007F2A8E" w:rsidRDefault="006064C2" w:rsidP="0008169B">
      <w:pPr>
        <w:numPr>
          <w:ilvl w:val="1"/>
          <w:numId w:val="2"/>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HPE Synergy </w:t>
      </w:r>
      <w:r w:rsidR="008C1308" w:rsidRPr="00B5109F">
        <w:rPr>
          <w:rFonts w:ascii="Arial" w:eastAsia="Calibri" w:hAnsi="Arial" w:cs="Arial"/>
          <w:kern w:val="0"/>
          <w:sz w:val="24"/>
          <w:szCs w:val="24"/>
          <w14:ligatures w14:val="none"/>
        </w:rPr>
        <w:t xml:space="preserve">480 </w:t>
      </w:r>
      <w:r w:rsidR="008C1308" w:rsidRPr="007F2A8E">
        <w:rPr>
          <w:rFonts w:ascii="Arial" w:eastAsia="Calibri" w:hAnsi="Arial" w:cs="Arial"/>
          <w:kern w:val="0"/>
          <w:sz w:val="24"/>
          <w:szCs w:val="24"/>
          <w14:ligatures w14:val="none"/>
        </w:rPr>
        <w:t xml:space="preserve">G10 </w:t>
      </w:r>
      <w:r w:rsidRPr="007F2A8E">
        <w:rPr>
          <w:rFonts w:ascii="Arial" w:eastAsia="Calibri" w:hAnsi="Arial" w:cs="Arial"/>
          <w:kern w:val="0"/>
          <w:sz w:val="24"/>
          <w:szCs w:val="24"/>
          <w14:ligatures w14:val="none"/>
        </w:rPr>
        <w:t xml:space="preserve">PN </w:t>
      </w:r>
      <w:r w:rsidR="007F2A8E" w:rsidRPr="007F2A8E">
        <w:rPr>
          <w:rFonts w:ascii="Arial" w:eastAsia="Calibri" w:hAnsi="Arial" w:cs="Arial"/>
          <w:kern w:val="0"/>
          <w:sz w:val="24"/>
          <w:szCs w:val="24"/>
          <w14:ligatures w14:val="none"/>
        </w:rPr>
        <w:t>P51174-B21</w:t>
      </w:r>
      <w:r w:rsidRPr="007F2A8E">
        <w:rPr>
          <w:rFonts w:ascii="Arial" w:eastAsia="Calibri" w:hAnsi="Arial" w:cs="Arial"/>
          <w:kern w:val="0"/>
          <w:sz w:val="24"/>
          <w:szCs w:val="24"/>
          <w14:ligatures w14:val="none"/>
        </w:rPr>
        <w:t>;</w:t>
      </w:r>
    </w:p>
    <w:p w14:paraId="67444629" w14:textId="5E0A21B4" w:rsidR="006064C2" w:rsidRPr="006D76FE" w:rsidRDefault="006064C2" w:rsidP="0008169B">
      <w:pPr>
        <w:numPr>
          <w:ilvl w:val="1"/>
          <w:numId w:val="2"/>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HPE </w:t>
      </w:r>
      <w:proofErr w:type="spellStart"/>
      <w:r w:rsidRPr="00B5109F">
        <w:rPr>
          <w:rFonts w:ascii="Arial" w:eastAsia="Calibri" w:hAnsi="Arial" w:cs="Arial"/>
          <w:kern w:val="0"/>
          <w:sz w:val="24"/>
          <w:szCs w:val="24"/>
          <w14:ligatures w14:val="none"/>
        </w:rPr>
        <w:t>Synergy</w:t>
      </w:r>
      <w:proofErr w:type="spellEnd"/>
      <w:r w:rsidRPr="00B5109F">
        <w:rPr>
          <w:rFonts w:ascii="Arial" w:eastAsia="Calibri" w:hAnsi="Arial" w:cs="Arial"/>
          <w:kern w:val="0"/>
          <w:sz w:val="24"/>
          <w:szCs w:val="24"/>
          <w14:ligatures w14:val="none"/>
        </w:rPr>
        <w:t xml:space="preserve"> 12000 </w:t>
      </w:r>
      <w:proofErr w:type="spellStart"/>
      <w:r w:rsidRPr="006D76FE">
        <w:rPr>
          <w:rFonts w:ascii="Arial" w:eastAsia="Calibri" w:hAnsi="Arial" w:cs="Arial"/>
          <w:kern w:val="0"/>
          <w:sz w:val="24"/>
          <w:szCs w:val="24"/>
          <w14:ligatures w14:val="none"/>
        </w:rPr>
        <w:t>Enclosure</w:t>
      </w:r>
      <w:proofErr w:type="spellEnd"/>
      <w:r w:rsidRPr="006D76FE">
        <w:rPr>
          <w:rFonts w:ascii="Arial" w:eastAsia="Calibri" w:hAnsi="Arial" w:cs="Arial"/>
          <w:kern w:val="0"/>
          <w:sz w:val="24"/>
          <w:szCs w:val="24"/>
          <w14:ligatures w14:val="none"/>
        </w:rPr>
        <w:t xml:space="preserve"> PN: </w:t>
      </w:r>
      <w:r w:rsidR="006D76FE" w:rsidRPr="006D76FE">
        <w:rPr>
          <w:rFonts w:ascii="Arial" w:eastAsia="Calibri" w:hAnsi="Arial" w:cs="Arial"/>
          <w:kern w:val="0"/>
          <w:sz w:val="24"/>
          <w:szCs w:val="24"/>
          <w14:ligatures w14:val="none"/>
        </w:rPr>
        <w:t>P22139-B21</w:t>
      </w:r>
      <w:r w:rsidRPr="006D76FE">
        <w:rPr>
          <w:rFonts w:ascii="Arial" w:eastAsia="Calibri" w:hAnsi="Arial" w:cs="Arial"/>
          <w:kern w:val="0"/>
          <w:sz w:val="24"/>
          <w:szCs w:val="24"/>
          <w14:ligatures w14:val="none"/>
        </w:rPr>
        <w:t>;</w:t>
      </w:r>
    </w:p>
    <w:p w14:paraId="41448409" w14:textId="6C6D173C" w:rsidR="006064C2" w:rsidRPr="00B5109F" w:rsidRDefault="006064C2" w:rsidP="0008169B">
      <w:pPr>
        <w:numPr>
          <w:ilvl w:val="0"/>
          <w:numId w:val="2"/>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Wszystkie urządzenia wyszczególnione w pkt. 1 są zarządzane i monitorowane przez Zamawiającego za pomocą oprogramowania do zarządzania posiadanymi urządzeniami: HPE One View oraz</w:t>
      </w:r>
      <w:r w:rsidR="0035595A" w:rsidRPr="00B5109F">
        <w:rPr>
          <w:rFonts w:ascii="Arial" w:eastAsia="Calibri" w:hAnsi="Arial" w:cs="Arial"/>
          <w:kern w:val="0"/>
          <w:sz w:val="24"/>
          <w:szCs w:val="24"/>
          <w14:ligatures w14:val="none"/>
        </w:rPr>
        <w:t xml:space="preserve"> HPE OneView Global Dashboard</w:t>
      </w:r>
      <w:r w:rsidRPr="00B5109F">
        <w:rPr>
          <w:rFonts w:ascii="Arial" w:eastAsia="Calibri" w:hAnsi="Arial" w:cs="Arial"/>
          <w:kern w:val="0"/>
          <w:sz w:val="24"/>
          <w:szCs w:val="24"/>
          <w14:ligatures w14:val="none"/>
        </w:rPr>
        <w:t>. Zamawiający posiada odpowiednią ilość licencji dla tego oprogramowania.</w:t>
      </w:r>
      <w:r w:rsidR="0088798A" w:rsidRPr="00B5109F">
        <w:rPr>
          <w:rFonts w:ascii="Arial" w:eastAsia="Calibri" w:hAnsi="Arial" w:cs="Arial"/>
          <w:kern w:val="0"/>
          <w:sz w:val="24"/>
          <w:szCs w:val="24"/>
          <w14:ligatures w14:val="none"/>
        </w:rPr>
        <w:t xml:space="preserve"> Dodatkowo powyżej przytoczone oprogramowanie posiada integrację z</w:t>
      </w:r>
      <w:r w:rsidR="00D73EA6">
        <w:rPr>
          <w:rFonts w:ascii="Arial" w:eastAsia="Calibri" w:hAnsi="Arial" w:cs="Arial"/>
          <w:kern w:val="0"/>
          <w:sz w:val="24"/>
          <w:szCs w:val="24"/>
          <w14:ligatures w14:val="none"/>
        </w:rPr>
        <w:t> </w:t>
      </w:r>
      <w:r w:rsidR="0088798A" w:rsidRPr="00B5109F">
        <w:rPr>
          <w:rFonts w:ascii="Arial" w:eastAsia="Calibri" w:hAnsi="Arial" w:cs="Arial"/>
          <w:kern w:val="0"/>
          <w:sz w:val="24"/>
          <w:szCs w:val="24"/>
          <w14:ligatures w14:val="none"/>
        </w:rPr>
        <w:t>narzędziami Vmware w celu monitorowania oraz zarządzania.</w:t>
      </w:r>
    </w:p>
    <w:p w14:paraId="7C8A31BF" w14:textId="77777777" w:rsidR="006064C2" w:rsidRPr="00B5109F" w:rsidRDefault="006064C2" w:rsidP="0008169B">
      <w:pPr>
        <w:numPr>
          <w:ilvl w:val="0"/>
          <w:numId w:val="2"/>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Wszystkie ww. kasety serwerowe i eksploatowane w nich serwery, posiadają aktywne usługi wsparcia technicznego producenta.</w:t>
      </w:r>
    </w:p>
    <w:p w14:paraId="5CA35C7A" w14:textId="77777777" w:rsidR="006064C2" w:rsidRPr="00B5109F" w:rsidRDefault="006064C2">
      <w:pPr>
        <w:spacing w:after="0" w:line="240" w:lineRule="exact"/>
        <w:rPr>
          <w:rFonts w:ascii="Arial" w:eastAsia="Calibri" w:hAnsi="Arial" w:cs="Arial"/>
          <w:kern w:val="0"/>
          <w:sz w:val="24"/>
          <w:szCs w:val="24"/>
          <w14:ligatures w14:val="none"/>
        </w:rPr>
      </w:pPr>
    </w:p>
    <w:p w14:paraId="13D65BF1" w14:textId="77777777" w:rsidR="006064C2" w:rsidRPr="00B5109F" w:rsidRDefault="006064C2" w:rsidP="00D73EA6">
      <w:pPr>
        <w:spacing w:before="216" w:after="0" w:line="240" w:lineRule="auto"/>
        <w:jc w:val="center"/>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Rozdział III Specyfikacja Techniczna.</w:t>
      </w:r>
    </w:p>
    <w:p w14:paraId="77BBEDA4" w14:textId="77777777" w:rsidR="006064C2" w:rsidRPr="00B5109F" w:rsidRDefault="006064C2" w:rsidP="00D73EA6">
      <w:pPr>
        <w:spacing w:after="0" w:line="240" w:lineRule="exact"/>
        <w:ind w:left="346" w:hanging="346"/>
        <w:jc w:val="center"/>
        <w:rPr>
          <w:rFonts w:ascii="Arial" w:eastAsia="Calibri" w:hAnsi="Arial" w:cs="Arial"/>
          <w:kern w:val="0"/>
          <w:sz w:val="24"/>
          <w:szCs w:val="24"/>
          <w14:ligatures w14:val="none"/>
        </w:rPr>
      </w:pPr>
    </w:p>
    <w:p w14:paraId="7F98A835" w14:textId="0BBDD0B3" w:rsidR="006064C2" w:rsidRPr="00B5109F" w:rsidRDefault="006064C2" w:rsidP="0008169B">
      <w:pPr>
        <w:numPr>
          <w:ilvl w:val="0"/>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Zamawiający wykonuje rozbudowę posiadanej i eksploatowanej produkcyjnie infrastruktury serwerowej, na której eksploatowane jest następujące oprogramowanie i funkcjonalności </w:t>
      </w:r>
      <w:r w:rsidR="00C12C48"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oferowane przez Wykonawcę urządzania muszą być zgodne z tymi funkcjonalnościami i tym oprogramowaniem:</w:t>
      </w:r>
    </w:p>
    <w:p w14:paraId="46BA6264" w14:textId="5BDFBA30"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VMware vSphere ESXi </w:t>
      </w:r>
      <w:r w:rsidR="0035595A" w:rsidRPr="00B5109F">
        <w:rPr>
          <w:rFonts w:ascii="Arial" w:eastAsia="Calibri" w:hAnsi="Arial" w:cs="Arial"/>
          <w:kern w:val="0"/>
          <w:sz w:val="24"/>
          <w:szCs w:val="24"/>
          <w14:ligatures w14:val="none"/>
        </w:rPr>
        <w:t>8</w:t>
      </w:r>
      <w:r w:rsidRPr="00B5109F">
        <w:rPr>
          <w:rFonts w:ascii="Arial" w:eastAsia="Calibri" w:hAnsi="Arial" w:cs="Arial"/>
          <w:kern w:val="0"/>
          <w:sz w:val="24"/>
          <w:szCs w:val="24"/>
          <w14:ligatures w14:val="none"/>
        </w:rPr>
        <w:t xml:space="preserve">.0 </w:t>
      </w:r>
      <w:r w:rsidR="00C12C48"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wykorzystywane mechanizmy klastrów V</w:t>
      </w:r>
      <w:r w:rsidR="00C12C48" w:rsidRPr="00B5109F">
        <w:rPr>
          <w:rFonts w:ascii="Arial" w:eastAsia="Calibri" w:hAnsi="Arial" w:cs="Arial"/>
          <w:kern w:val="0"/>
          <w:sz w:val="24"/>
          <w:szCs w:val="24"/>
          <w14:ligatures w14:val="none"/>
        </w:rPr>
        <w:t>m</w:t>
      </w:r>
      <w:r w:rsidRPr="00B5109F">
        <w:rPr>
          <w:rFonts w:ascii="Arial" w:eastAsia="Calibri" w:hAnsi="Arial" w:cs="Arial"/>
          <w:kern w:val="0"/>
          <w:sz w:val="24"/>
          <w:szCs w:val="24"/>
          <w14:ligatures w14:val="none"/>
        </w:rPr>
        <w:t>ware</w:t>
      </w:r>
      <w:r w:rsidR="00C12C48" w:rsidRPr="00B5109F">
        <w:rPr>
          <w:rFonts w:ascii="Arial" w:eastAsia="Calibri" w:hAnsi="Arial" w:cs="Arial"/>
          <w:kern w:val="0"/>
          <w:sz w:val="24"/>
          <w:szCs w:val="24"/>
          <w14:ligatures w14:val="none"/>
        </w:rPr>
        <w:t>;</w:t>
      </w:r>
    </w:p>
    <w:p w14:paraId="24B6D7E3" w14:textId="2D61F302"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vSphere o wysokiej dostępności (High </w:t>
      </w:r>
      <w:proofErr w:type="spellStart"/>
      <w:r w:rsidRPr="00B5109F">
        <w:rPr>
          <w:rFonts w:ascii="Arial" w:eastAsia="Calibri" w:hAnsi="Arial" w:cs="Arial"/>
          <w:kern w:val="0"/>
          <w:sz w:val="24"/>
          <w:szCs w:val="24"/>
          <w14:ligatures w14:val="none"/>
        </w:rPr>
        <w:t>Availability</w:t>
      </w:r>
      <w:proofErr w:type="spellEnd"/>
      <w:r w:rsidRPr="00B5109F">
        <w:rPr>
          <w:rFonts w:ascii="Arial" w:eastAsia="Calibri" w:hAnsi="Arial" w:cs="Arial"/>
          <w:kern w:val="0"/>
          <w:sz w:val="24"/>
          <w:szCs w:val="24"/>
          <w14:ligatures w14:val="none"/>
        </w:rPr>
        <w:t xml:space="preserve"> </w:t>
      </w:r>
      <w:r w:rsidR="00C12C48"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HA), rozproszonego zarządzania zasobami (Distributed Resource </w:t>
      </w:r>
      <w:proofErr w:type="spellStart"/>
      <w:r w:rsidRPr="00B5109F">
        <w:rPr>
          <w:rFonts w:ascii="Arial" w:eastAsia="Calibri" w:hAnsi="Arial" w:cs="Arial"/>
          <w:kern w:val="0"/>
          <w:sz w:val="24"/>
          <w:szCs w:val="24"/>
          <w14:ligatures w14:val="none"/>
        </w:rPr>
        <w:t>Scheduler</w:t>
      </w:r>
      <w:proofErr w:type="spellEnd"/>
      <w:r w:rsidRPr="00B5109F">
        <w:rPr>
          <w:rFonts w:ascii="Arial" w:eastAsia="Calibri" w:hAnsi="Arial" w:cs="Arial"/>
          <w:kern w:val="0"/>
          <w:sz w:val="24"/>
          <w:szCs w:val="24"/>
          <w14:ligatures w14:val="none"/>
        </w:rPr>
        <w:t xml:space="preserve"> </w:t>
      </w:r>
      <w:r w:rsidR="0088798A" w:rsidRPr="00B5109F">
        <w:rPr>
          <w:rFonts w:ascii="Arial" w:eastAsia="Calibri" w:hAnsi="Arial" w:cs="Arial"/>
          <w:kern w:val="0"/>
          <w:sz w:val="24"/>
          <w:szCs w:val="24"/>
          <w14:ligatures w14:val="none"/>
        </w:rPr>
        <w:t>–</w:t>
      </w:r>
      <w:r w:rsidRPr="00B5109F">
        <w:rPr>
          <w:rFonts w:ascii="Arial" w:eastAsia="Calibri" w:hAnsi="Arial" w:cs="Arial"/>
          <w:kern w:val="0"/>
          <w:sz w:val="24"/>
          <w:szCs w:val="24"/>
          <w14:ligatures w14:val="none"/>
        </w:rPr>
        <w:t xml:space="preserve"> DRS), przeniesienie</w:t>
      </w:r>
      <w:r w:rsidR="00C12C4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wirtualnej maszyny bez jej wyłączania na inny host lub przeniesieni</w:t>
      </w:r>
      <w:r w:rsidR="00C12C48" w:rsidRPr="00B5109F">
        <w:rPr>
          <w:rFonts w:ascii="Arial" w:eastAsia="Calibri" w:hAnsi="Arial" w:cs="Arial"/>
          <w:kern w:val="0"/>
          <w:sz w:val="24"/>
          <w:szCs w:val="24"/>
          <w14:ligatures w14:val="none"/>
        </w:rPr>
        <w:t>e</w:t>
      </w:r>
      <w:r w:rsidRPr="00B5109F">
        <w:rPr>
          <w:rFonts w:ascii="Arial" w:eastAsia="Calibri" w:hAnsi="Arial" w:cs="Arial"/>
          <w:kern w:val="0"/>
          <w:sz w:val="24"/>
          <w:szCs w:val="24"/>
          <w14:ligatures w14:val="none"/>
        </w:rPr>
        <w:t xml:space="preserve"> puli zasobów albo aplikacji </w:t>
      </w:r>
      <w:proofErr w:type="spellStart"/>
      <w:r w:rsidRPr="00B5109F">
        <w:rPr>
          <w:rFonts w:ascii="Arial" w:eastAsia="Calibri" w:hAnsi="Arial" w:cs="Arial"/>
          <w:kern w:val="0"/>
          <w:sz w:val="24"/>
          <w:szCs w:val="24"/>
          <w14:ligatures w14:val="none"/>
        </w:rPr>
        <w:t>Vapp</w:t>
      </w:r>
      <w:proofErr w:type="spellEnd"/>
      <w:r w:rsidRPr="00B5109F">
        <w:rPr>
          <w:rFonts w:ascii="Arial" w:eastAsia="Calibri" w:hAnsi="Arial" w:cs="Arial"/>
          <w:kern w:val="0"/>
          <w:sz w:val="24"/>
          <w:szCs w:val="24"/>
          <w14:ligatures w14:val="none"/>
        </w:rPr>
        <w:t xml:space="preserve"> w ramach tego samego Klastra (vMotion);</w:t>
      </w:r>
    </w:p>
    <w:p w14:paraId="1584DB69" w14:textId="77777777"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Windows Server 2019/2022;</w:t>
      </w:r>
    </w:p>
    <w:p w14:paraId="24E20A9C" w14:textId="033EC4F3"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Red Hat Enterprise Linux 8.x</w:t>
      </w:r>
      <w:r w:rsidR="0035595A" w:rsidRPr="00B5109F">
        <w:rPr>
          <w:rFonts w:ascii="Arial" w:eastAsia="Calibri" w:hAnsi="Arial" w:cs="Arial"/>
          <w:kern w:val="0"/>
          <w:sz w:val="24"/>
          <w:szCs w:val="24"/>
          <w14:ligatures w14:val="none"/>
        </w:rPr>
        <w:t>, 9.x</w:t>
      </w:r>
      <w:r w:rsidRPr="00B5109F">
        <w:rPr>
          <w:rFonts w:ascii="Arial" w:eastAsia="Calibri" w:hAnsi="Arial" w:cs="Arial"/>
          <w:kern w:val="0"/>
          <w:sz w:val="24"/>
          <w:szCs w:val="24"/>
          <w14:ligatures w14:val="none"/>
        </w:rPr>
        <w:t>;</w:t>
      </w:r>
    </w:p>
    <w:p w14:paraId="0EBDD6BF" w14:textId="77777777"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SUSE Linux Enterprise Server 12 i nowsze;</w:t>
      </w:r>
    </w:p>
    <w:p w14:paraId="23E40939" w14:textId="77777777"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SUSE Linux Enterprise Server for SAP Applications 12 i nowsze.</w:t>
      </w:r>
    </w:p>
    <w:p w14:paraId="7E428D25" w14:textId="77777777" w:rsidR="006064C2" w:rsidRPr="00B5109F" w:rsidRDefault="006064C2" w:rsidP="0008169B">
      <w:pPr>
        <w:numPr>
          <w:ilvl w:val="0"/>
          <w:numId w:val="3"/>
        </w:numPr>
        <w:tabs>
          <w:tab w:val="left" w:pos="355"/>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zobowiązuje się do dostarczenia:</w:t>
      </w:r>
    </w:p>
    <w:p w14:paraId="5A2DC28B" w14:textId="6D2CA8D3" w:rsidR="006064C2" w:rsidRPr="004126A0" w:rsidRDefault="00C12C48"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4126A0">
        <w:rPr>
          <w:rFonts w:ascii="Arial" w:eastAsia="Calibri" w:hAnsi="Arial" w:cs="Arial"/>
          <w:kern w:val="0"/>
          <w:sz w:val="24"/>
          <w:szCs w:val="24"/>
          <w14:ligatures w14:val="none"/>
        </w:rPr>
        <w:t>80</w:t>
      </w:r>
      <w:r w:rsidR="006064C2" w:rsidRPr="004126A0">
        <w:rPr>
          <w:rFonts w:ascii="Arial" w:eastAsia="Calibri" w:hAnsi="Arial" w:cs="Arial"/>
          <w:kern w:val="0"/>
          <w:sz w:val="24"/>
          <w:szCs w:val="24"/>
          <w14:ligatures w14:val="none"/>
        </w:rPr>
        <w:t xml:space="preserve"> sztuk serwerów kasetowych model HPE Synergy 480 Gen1</w:t>
      </w:r>
      <w:r w:rsidR="0035595A" w:rsidRPr="004126A0">
        <w:rPr>
          <w:rFonts w:ascii="Arial" w:eastAsia="Calibri" w:hAnsi="Arial" w:cs="Arial"/>
          <w:kern w:val="0"/>
          <w:sz w:val="24"/>
          <w:szCs w:val="24"/>
          <w14:ligatures w14:val="none"/>
        </w:rPr>
        <w:t>1</w:t>
      </w:r>
      <w:r w:rsidR="006064C2" w:rsidRPr="004126A0">
        <w:rPr>
          <w:rFonts w:ascii="Arial" w:eastAsia="Calibri" w:hAnsi="Arial" w:cs="Arial"/>
          <w:kern w:val="0"/>
          <w:sz w:val="24"/>
          <w:szCs w:val="24"/>
          <w14:ligatures w14:val="none"/>
        </w:rPr>
        <w:t xml:space="preserve"> Plus lub produkt równoważny, każdy zgodny z wymaganiami wyspecyfikowanymi w </w:t>
      </w:r>
      <w:r w:rsidR="00230E0D" w:rsidRPr="004126A0">
        <w:rPr>
          <w:rFonts w:ascii="Arial" w:eastAsia="Calibri" w:hAnsi="Arial" w:cs="Arial"/>
          <w:kern w:val="0"/>
          <w:sz w:val="24"/>
          <w:szCs w:val="24"/>
          <w14:ligatures w14:val="none"/>
        </w:rPr>
        <w:fldChar w:fldCharType="begin"/>
      </w:r>
      <w:r w:rsidR="00230E0D" w:rsidRPr="004126A0">
        <w:rPr>
          <w:rFonts w:ascii="Arial" w:eastAsia="Calibri" w:hAnsi="Arial" w:cs="Arial"/>
          <w:kern w:val="0"/>
          <w:sz w:val="24"/>
          <w:szCs w:val="24"/>
          <w14:ligatures w14:val="none"/>
        </w:rPr>
        <w:instrText xml:space="preserve"> REF _Ref164930990 \h </w:instrText>
      </w:r>
      <w:r w:rsidR="00B5109F" w:rsidRPr="004126A0">
        <w:rPr>
          <w:rFonts w:ascii="Arial" w:eastAsia="Calibri" w:hAnsi="Arial" w:cs="Arial"/>
          <w:kern w:val="0"/>
          <w:sz w:val="24"/>
          <w:szCs w:val="24"/>
          <w14:ligatures w14:val="none"/>
        </w:rPr>
        <w:instrText xml:space="preserve"> \* MERGEFORMAT </w:instrText>
      </w:r>
      <w:r w:rsidR="00230E0D" w:rsidRPr="004126A0">
        <w:rPr>
          <w:rFonts w:ascii="Arial" w:eastAsia="Calibri" w:hAnsi="Arial" w:cs="Arial"/>
          <w:kern w:val="0"/>
          <w:sz w:val="24"/>
          <w:szCs w:val="24"/>
          <w14:ligatures w14:val="none"/>
        </w:rPr>
      </w:r>
      <w:r w:rsidR="00230E0D" w:rsidRPr="004126A0">
        <w:rPr>
          <w:rFonts w:ascii="Arial" w:eastAsia="Calibri" w:hAnsi="Arial" w:cs="Arial"/>
          <w:kern w:val="0"/>
          <w:sz w:val="24"/>
          <w:szCs w:val="24"/>
          <w14:ligatures w14:val="none"/>
        </w:rPr>
        <w:fldChar w:fldCharType="separate"/>
      </w:r>
      <w:r w:rsidR="00230E0D" w:rsidRPr="004126A0">
        <w:rPr>
          <w:rFonts w:ascii="Arial" w:hAnsi="Arial" w:cs="Arial"/>
          <w:sz w:val="24"/>
          <w:szCs w:val="24"/>
        </w:rPr>
        <w:t xml:space="preserve">Tabela </w:t>
      </w:r>
      <w:r w:rsidR="00230E0D" w:rsidRPr="004126A0">
        <w:rPr>
          <w:rFonts w:ascii="Arial" w:hAnsi="Arial" w:cs="Arial"/>
          <w:noProof/>
          <w:sz w:val="24"/>
          <w:szCs w:val="24"/>
        </w:rPr>
        <w:t>2</w:t>
      </w:r>
      <w:r w:rsidR="00230E0D" w:rsidRPr="004126A0">
        <w:rPr>
          <w:rFonts w:ascii="Arial" w:eastAsia="Calibri" w:hAnsi="Arial" w:cs="Arial"/>
          <w:kern w:val="0"/>
          <w:sz w:val="24"/>
          <w:szCs w:val="24"/>
          <w14:ligatures w14:val="none"/>
        </w:rPr>
        <w:fldChar w:fldCharType="end"/>
      </w:r>
      <w:r w:rsidR="006064C2" w:rsidRPr="004126A0">
        <w:rPr>
          <w:rFonts w:ascii="Arial" w:eastAsia="Calibri" w:hAnsi="Arial" w:cs="Arial"/>
          <w:kern w:val="0"/>
          <w:sz w:val="24"/>
          <w:szCs w:val="24"/>
          <w14:ligatures w14:val="none"/>
        </w:rPr>
        <w:t>;</w:t>
      </w:r>
    </w:p>
    <w:p w14:paraId="288D4350" w14:textId="655592B2" w:rsidR="006064C2" w:rsidRPr="00B5109F" w:rsidRDefault="006064C2"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4126A0">
        <w:rPr>
          <w:rFonts w:ascii="Arial" w:eastAsia="Calibri" w:hAnsi="Arial" w:cs="Arial"/>
          <w:kern w:val="0"/>
          <w:sz w:val="24"/>
          <w:szCs w:val="24"/>
          <w14:ligatures w14:val="none"/>
        </w:rPr>
        <w:t xml:space="preserve">Minimum </w:t>
      </w:r>
      <w:r w:rsidR="00C12C48" w:rsidRPr="004126A0">
        <w:rPr>
          <w:rFonts w:ascii="Arial" w:eastAsia="Calibri" w:hAnsi="Arial" w:cs="Arial"/>
          <w:kern w:val="0"/>
          <w:sz w:val="24"/>
          <w:szCs w:val="24"/>
          <w14:ligatures w14:val="none"/>
        </w:rPr>
        <w:t>10</w:t>
      </w:r>
      <w:r w:rsidRPr="00B5109F">
        <w:rPr>
          <w:rFonts w:ascii="Arial" w:eastAsia="Calibri" w:hAnsi="Arial" w:cs="Arial"/>
          <w:kern w:val="0"/>
          <w:sz w:val="24"/>
          <w:szCs w:val="24"/>
          <w14:ligatures w14:val="none"/>
        </w:rPr>
        <w:t xml:space="preserve"> sztuk obudów dla serwerów kasetowych model HPE Synergy 12000 lub produkt równoważny, zgodnych z wymaganiami wyspecyfikowanymi w </w:t>
      </w:r>
      <w:r w:rsidR="00230E0D" w:rsidRPr="00B5109F">
        <w:rPr>
          <w:rFonts w:ascii="Arial" w:eastAsia="Calibri" w:hAnsi="Arial" w:cs="Arial"/>
          <w:kern w:val="0"/>
          <w:sz w:val="24"/>
          <w:szCs w:val="24"/>
          <w14:ligatures w14:val="none"/>
        </w:rPr>
        <w:fldChar w:fldCharType="begin"/>
      </w:r>
      <w:r w:rsidR="00230E0D" w:rsidRPr="00B5109F">
        <w:rPr>
          <w:rFonts w:ascii="Arial" w:eastAsia="Calibri" w:hAnsi="Arial" w:cs="Arial"/>
          <w:kern w:val="0"/>
          <w:sz w:val="24"/>
          <w:szCs w:val="24"/>
          <w14:ligatures w14:val="none"/>
        </w:rPr>
        <w:instrText xml:space="preserve"> REF _Ref164934099 \h </w:instrText>
      </w:r>
      <w:r w:rsidR="00B5109F" w:rsidRPr="00B5109F">
        <w:rPr>
          <w:rFonts w:ascii="Arial" w:eastAsia="Calibri" w:hAnsi="Arial" w:cs="Arial"/>
          <w:kern w:val="0"/>
          <w:sz w:val="24"/>
          <w:szCs w:val="24"/>
          <w14:ligatures w14:val="none"/>
        </w:rPr>
        <w:instrText xml:space="preserve"> \* MERGEFORMAT </w:instrText>
      </w:r>
      <w:r w:rsidR="00230E0D" w:rsidRPr="00B5109F">
        <w:rPr>
          <w:rFonts w:ascii="Arial" w:eastAsia="Calibri" w:hAnsi="Arial" w:cs="Arial"/>
          <w:kern w:val="0"/>
          <w:sz w:val="24"/>
          <w:szCs w:val="24"/>
          <w14:ligatures w14:val="none"/>
        </w:rPr>
      </w:r>
      <w:r w:rsidR="00230E0D" w:rsidRPr="00B5109F">
        <w:rPr>
          <w:rFonts w:ascii="Arial" w:eastAsia="Calibri" w:hAnsi="Arial" w:cs="Arial"/>
          <w:kern w:val="0"/>
          <w:sz w:val="24"/>
          <w:szCs w:val="24"/>
          <w14:ligatures w14:val="none"/>
        </w:rPr>
        <w:fldChar w:fldCharType="separate"/>
      </w:r>
      <w:r w:rsidR="00230E0D" w:rsidRPr="00B5109F">
        <w:rPr>
          <w:rFonts w:ascii="Arial" w:hAnsi="Arial" w:cs="Arial"/>
          <w:sz w:val="24"/>
          <w:szCs w:val="24"/>
        </w:rPr>
        <w:t xml:space="preserve">Tabela </w:t>
      </w:r>
      <w:r w:rsidR="00230E0D" w:rsidRPr="00B5109F">
        <w:rPr>
          <w:rFonts w:ascii="Arial" w:hAnsi="Arial" w:cs="Arial"/>
          <w:noProof/>
          <w:sz w:val="24"/>
          <w:szCs w:val="24"/>
        </w:rPr>
        <w:t>1</w:t>
      </w:r>
      <w:r w:rsidR="00230E0D" w:rsidRPr="00B5109F">
        <w:rPr>
          <w:rFonts w:ascii="Arial" w:eastAsia="Calibri" w:hAnsi="Arial" w:cs="Arial"/>
          <w:kern w:val="0"/>
          <w:sz w:val="24"/>
          <w:szCs w:val="24"/>
          <w14:ligatures w14:val="none"/>
        </w:rPr>
        <w:fldChar w:fldCharType="end"/>
      </w:r>
      <w:r w:rsidRPr="00B5109F">
        <w:rPr>
          <w:rFonts w:ascii="Arial" w:eastAsia="Calibri" w:hAnsi="Arial" w:cs="Arial"/>
          <w:kern w:val="0"/>
          <w:sz w:val="24"/>
          <w:szCs w:val="24"/>
          <w14:ligatures w14:val="none"/>
        </w:rPr>
        <w:t>.</w:t>
      </w:r>
    </w:p>
    <w:p w14:paraId="74D8537F" w14:textId="1EE9B42C" w:rsidR="00060813" w:rsidRPr="00B5109F" w:rsidRDefault="00550F28"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Serwer klasy RACK opisany w </w:t>
      </w:r>
      <w:r w:rsidRPr="00B5109F">
        <w:rPr>
          <w:rFonts w:ascii="Arial" w:eastAsia="Calibri" w:hAnsi="Arial" w:cs="Arial"/>
          <w:kern w:val="0"/>
          <w:sz w:val="24"/>
          <w:szCs w:val="24"/>
          <w14:ligatures w14:val="none"/>
        </w:rPr>
        <w:fldChar w:fldCharType="begin"/>
      </w:r>
      <w:r w:rsidRPr="00B5109F">
        <w:rPr>
          <w:rFonts w:ascii="Arial" w:eastAsia="Calibri" w:hAnsi="Arial" w:cs="Arial"/>
          <w:kern w:val="0"/>
          <w:sz w:val="24"/>
          <w:szCs w:val="24"/>
          <w14:ligatures w14:val="none"/>
        </w:rPr>
        <w:instrText xml:space="preserve"> REF _Ref168251409 \h </w:instrText>
      </w:r>
      <w:r w:rsidR="00B5109F" w:rsidRPr="00B5109F">
        <w:rPr>
          <w:rFonts w:ascii="Arial" w:eastAsia="Calibri" w:hAnsi="Arial" w:cs="Arial"/>
          <w:kern w:val="0"/>
          <w:sz w:val="24"/>
          <w:szCs w:val="24"/>
          <w14:ligatures w14:val="none"/>
        </w:rPr>
        <w:instrText xml:space="preserve"> \* MERGEFORMAT </w:instrText>
      </w:r>
      <w:r w:rsidRPr="00B5109F">
        <w:rPr>
          <w:rFonts w:ascii="Arial" w:eastAsia="Calibri" w:hAnsi="Arial" w:cs="Arial"/>
          <w:kern w:val="0"/>
          <w:sz w:val="24"/>
          <w:szCs w:val="24"/>
          <w14:ligatures w14:val="none"/>
        </w:rPr>
      </w:r>
      <w:r w:rsidRPr="00B5109F">
        <w:rPr>
          <w:rFonts w:ascii="Arial" w:eastAsia="Calibri" w:hAnsi="Arial" w:cs="Arial"/>
          <w:kern w:val="0"/>
          <w:sz w:val="24"/>
          <w:szCs w:val="24"/>
          <w14:ligatures w14:val="none"/>
        </w:rPr>
        <w:fldChar w:fldCharType="separate"/>
      </w:r>
      <w:r w:rsidRPr="00B5109F">
        <w:rPr>
          <w:rFonts w:ascii="Arial" w:hAnsi="Arial" w:cs="Arial"/>
          <w:sz w:val="24"/>
          <w:szCs w:val="24"/>
        </w:rPr>
        <w:t xml:space="preserve">Tabela </w:t>
      </w:r>
      <w:r w:rsidRPr="00B5109F">
        <w:rPr>
          <w:rFonts w:ascii="Arial" w:hAnsi="Arial" w:cs="Arial"/>
          <w:noProof/>
          <w:sz w:val="24"/>
          <w:szCs w:val="24"/>
        </w:rPr>
        <w:t>3</w:t>
      </w:r>
      <w:r w:rsidRPr="00B5109F">
        <w:rPr>
          <w:rFonts w:ascii="Arial" w:hAnsi="Arial" w:cs="Arial"/>
          <w:sz w:val="24"/>
          <w:szCs w:val="24"/>
        </w:rPr>
        <w:t xml:space="preserve"> - 1 szt.</w:t>
      </w:r>
      <w:r w:rsidRPr="00B5109F">
        <w:rPr>
          <w:rFonts w:ascii="Arial" w:eastAsia="Calibri" w:hAnsi="Arial" w:cs="Arial"/>
          <w:kern w:val="0"/>
          <w:sz w:val="24"/>
          <w:szCs w:val="24"/>
          <w14:ligatures w14:val="none"/>
        </w:rPr>
        <w:fldChar w:fldCharType="end"/>
      </w:r>
      <w:r w:rsidR="0088798A" w:rsidRPr="00B5109F">
        <w:rPr>
          <w:rFonts w:ascii="Arial" w:eastAsia="Calibri" w:hAnsi="Arial" w:cs="Arial"/>
          <w:kern w:val="0"/>
          <w:sz w:val="24"/>
          <w:szCs w:val="24"/>
          <w14:ligatures w14:val="none"/>
        </w:rPr>
        <w:t xml:space="preserve"> </w:t>
      </w:r>
      <w:r w:rsidR="0033291A" w:rsidRPr="00B5109F">
        <w:rPr>
          <w:rFonts w:ascii="Arial" w:eastAsia="Calibri" w:hAnsi="Arial" w:cs="Arial"/>
          <w:kern w:val="0"/>
          <w:sz w:val="24"/>
          <w:szCs w:val="24"/>
          <w14:ligatures w14:val="none"/>
        </w:rPr>
        <w:t xml:space="preserve">tego samego </w:t>
      </w:r>
      <w:r w:rsidR="0088798A" w:rsidRPr="00B5109F">
        <w:rPr>
          <w:rFonts w:ascii="Arial" w:eastAsia="Calibri" w:hAnsi="Arial" w:cs="Arial"/>
          <w:kern w:val="0"/>
          <w:sz w:val="24"/>
          <w:szCs w:val="24"/>
          <w14:ligatures w14:val="none"/>
        </w:rPr>
        <w:t xml:space="preserve">producenta </w:t>
      </w:r>
      <w:r w:rsidR="0033291A" w:rsidRPr="00B5109F">
        <w:rPr>
          <w:rFonts w:ascii="Arial" w:eastAsia="Calibri" w:hAnsi="Arial" w:cs="Arial"/>
          <w:kern w:val="0"/>
          <w:sz w:val="24"/>
          <w:szCs w:val="24"/>
          <w14:ligatures w14:val="none"/>
        </w:rPr>
        <w:t>co obudowy i serwery kasetowe.</w:t>
      </w:r>
    </w:p>
    <w:p w14:paraId="1A2EC12E" w14:textId="67852EB8" w:rsidR="0033291A" w:rsidRPr="00B5109F" w:rsidRDefault="0033291A" w:rsidP="0008169B">
      <w:pPr>
        <w:numPr>
          <w:ilvl w:val="1"/>
          <w:numId w:val="3"/>
        </w:numPr>
        <w:tabs>
          <w:tab w:val="left" w:pos="350"/>
        </w:tabs>
        <w:spacing w:before="86" w:after="0" w:line="276" w:lineRule="auto"/>
        <w:ind w:right="158"/>
        <w:jc w:val="both"/>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Niezbędnych licencji oprogramowania HPE OneView dla wymagających tego dostarczanych urządzeń.</w:t>
      </w:r>
    </w:p>
    <w:p w14:paraId="1F7D7AFB" w14:textId="77777777" w:rsidR="009474B1" w:rsidRPr="00B5109F" w:rsidRDefault="009474B1" w:rsidP="009474B1">
      <w:pPr>
        <w:spacing w:before="130" w:after="0" w:line="240" w:lineRule="auto"/>
        <w:jc w:val="both"/>
        <w:rPr>
          <w:rFonts w:ascii="Arial" w:eastAsia="Calibri" w:hAnsi="Arial" w:cs="Arial"/>
          <w:kern w:val="0"/>
          <w:sz w:val="24"/>
          <w:szCs w:val="24"/>
          <w14:ligatures w14:val="none"/>
        </w:rPr>
      </w:pPr>
    </w:p>
    <w:p w14:paraId="730048EA" w14:textId="19FA52D1" w:rsidR="005E406A" w:rsidRPr="00FD3398" w:rsidRDefault="00FD3398" w:rsidP="00AE104F">
      <w:pPr>
        <w:rPr>
          <w:rFonts w:ascii="Arial" w:hAnsi="Arial" w:cs="Arial"/>
          <w:sz w:val="24"/>
          <w:szCs w:val="24"/>
        </w:rPr>
      </w:pPr>
      <w:r w:rsidRPr="00FD3398">
        <w:rPr>
          <w:rFonts w:ascii="Arial" w:hAnsi="Arial" w:cs="Arial"/>
          <w:sz w:val="24"/>
          <w:szCs w:val="24"/>
        </w:rPr>
        <w:t xml:space="preserve">3. </w:t>
      </w:r>
      <w:r w:rsidR="005E406A" w:rsidRPr="00FD3398">
        <w:rPr>
          <w:rFonts w:ascii="Arial" w:hAnsi="Arial" w:cs="Arial"/>
          <w:sz w:val="24"/>
          <w:szCs w:val="24"/>
        </w:rPr>
        <w:t>Opis minimalnych wymagań na obudowę serwerów kasetowych</w:t>
      </w:r>
    </w:p>
    <w:p w14:paraId="4320FEDF" w14:textId="77777777" w:rsidR="005E406A" w:rsidRPr="00B5109F" w:rsidRDefault="005E406A" w:rsidP="009474B1">
      <w:pPr>
        <w:spacing w:before="130" w:after="0" w:line="240" w:lineRule="auto"/>
        <w:jc w:val="both"/>
        <w:rPr>
          <w:rFonts w:ascii="Arial" w:eastAsia="Calibri" w:hAnsi="Arial" w:cs="Arial"/>
          <w:kern w:val="0"/>
          <w:sz w:val="24"/>
          <w:szCs w:val="24"/>
          <w14:ligatures w14:val="none"/>
        </w:rPr>
      </w:pPr>
    </w:p>
    <w:p w14:paraId="3C0232C7" w14:textId="00161609" w:rsidR="006064C2" w:rsidRPr="00B5109F" w:rsidRDefault="009474B1" w:rsidP="009474B1">
      <w:pPr>
        <w:pStyle w:val="Legenda"/>
        <w:rPr>
          <w:rFonts w:ascii="Arial" w:eastAsia="Calibri" w:hAnsi="Arial" w:cs="Arial"/>
          <w:kern w:val="0"/>
          <w:sz w:val="24"/>
          <w:szCs w:val="24"/>
          <w14:ligatures w14:val="none"/>
        </w:rPr>
      </w:pPr>
      <w:bookmarkStart w:id="0" w:name="_Ref164934099"/>
      <w:r w:rsidRPr="00B5109F">
        <w:rPr>
          <w:rFonts w:ascii="Arial" w:hAnsi="Arial" w:cs="Arial"/>
          <w:sz w:val="24"/>
          <w:szCs w:val="24"/>
        </w:rPr>
        <w:t xml:space="preserve">Tabela </w:t>
      </w:r>
      <w:r w:rsidR="0008169B" w:rsidRPr="00B5109F">
        <w:rPr>
          <w:rFonts w:ascii="Arial" w:hAnsi="Arial" w:cs="Arial"/>
          <w:sz w:val="24"/>
          <w:szCs w:val="24"/>
        </w:rPr>
        <w:fldChar w:fldCharType="begin"/>
      </w:r>
      <w:r w:rsidR="0008169B" w:rsidRPr="00B5109F">
        <w:rPr>
          <w:rFonts w:ascii="Arial" w:hAnsi="Arial" w:cs="Arial"/>
          <w:sz w:val="24"/>
          <w:szCs w:val="24"/>
        </w:rPr>
        <w:instrText xml:space="preserve"> SEQ Tabela \* ARABIC </w:instrText>
      </w:r>
      <w:r w:rsidR="0008169B" w:rsidRPr="00B5109F">
        <w:rPr>
          <w:rFonts w:ascii="Arial" w:hAnsi="Arial" w:cs="Arial"/>
          <w:sz w:val="24"/>
          <w:szCs w:val="24"/>
        </w:rPr>
        <w:fldChar w:fldCharType="separate"/>
      </w:r>
      <w:r w:rsidR="00550F28" w:rsidRPr="00B5109F">
        <w:rPr>
          <w:rFonts w:ascii="Arial" w:hAnsi="Arial" w:cs="Arial"/>
          <w:noProof/>
          <w:sz w:val="24"/>
          <w:szCs w:val="24"/>
        </w:rPr>
        <w:t>1</w:t>
      </w:r>
      <w:r w:rsidR="0008169B" w:rsidRPr="00B5109F">
        <w:rPr>
          <w:rFonts w:ascii="Arial" w:hAnsi="Arial" w:cs="Arial"/>
          <w:noProof/>
          <w:sz w:val="24"/>
          <w:szCs w:val="24"/>
        </w:rPr>
        <w:fldChar w:fldCharType="end"/>
      </w:r>
      <w:r w:rsidRPr="00B5109F">
        <w:rPr>
          <w:rFonts w:ascii="Arial" w:hAnsi="Arial" w:cs="Arial"/>
          <w:sz w:val="24"/>
          <w:szCs w:val="24"/>
        </w:rPr>
        <w:t xml:space="preserve"> Opis minimalnych wymagań dla obudowy serwerów kasetowych</w:t>
      </w:r>
      <w:bookmarkEnd w:id="0"/>
    </w:p>
    <w:tbl>
      <w:tblPr>
        <w:tblW w:w="9301" w:type="dxa"/>
        <w:tblInd w:w="40" w:type="dxa"/>
        <w:tblLayout w:type="fixed"/>
        <w:tblCellMar>
          <w:left w:w="40" w:type="dxa"/>
          <w:right w:w="40" w:type="dxa"/>
        </w:tblCellMar>
        <w:tblLook w:val="04A0" w:firstRow="1" w:lastRow="0" w:firstColumn="1" w:lastColumn="0" w:noHBand="0" w:noVBand="1"/>
      </w:tblPr>
      <w:tblGrid>
        <w:gridCol w:w="547"/>
        <w:gridCol w:w="2386"/>
        <w:gridCol w:w="6368"/>
      </w:tblGrid>
      <w:tr w:rsidR="0022110F" w:rsidRPr="00B5109F" w14:paraId="2D65B5FE" w14:textId="77777777" w:rsidTr="0033291A">
        <w:trPr>
          <w:trHeight w:val="404"/>
        </w:trPr>
        <w:tc>
          <w:tcPr>
            <w:tcW w:w="547" w:type="dxa"/>
            <w:tcBorders>
              <w:top w:val="single" w:sz="12" w:space="0" w:color="auto"/>
              <w:left w:val="single" w:sz="12" w:space="0" w:color="auto"/>
              <w:bottom w:val="single" w:sz="12" w:space="0" w:color="auto"/>
              <w:right w:val="single" w:sz="12" w:space="0" w:color="auto"/>
            </w:tcBorders>
            <w:vAlign w:val="center"/>
          </w:tcPr>
          <w:p w14:paraId="0917A253" w14:textId="77777777" w:rsidR="006064C2" w:rsidRPr="00FD3398" w:rsidRDefault="006064C2" w:rsidP="009B224C">
            <w:pPr>
              <w:spacing w:after="0" w:line="240" w:lineRule="auto"/>
              <w:jc w:val="center"/>
              <w:rPr>
                <w:rFonts w:ascii="Arial" w:eastAsia="Calibri" w:hAnsi="Arial" w:cs="Arial"/>
                <w:kern w:val="0"/>
                <w:sz w:val="24"/>
                <w:szCs w:val="24"/>
                <w14:ligatures w14:val="none"/>
              </w:rPr>
            </w:pPr>
            <w:r w:rsidRPr="00FD3398">
              <w:rPr>
                <w:rFonts w:ascii="Arial" w:eastAsia="Calibri" w:hAnsi="Arial" w:cs="Arial"/>
                <w:b/>
                <w:bCs/>
                <w:kern w:val="0"/>
                <w:sz w:val="24"/>
                <w:szCs w:val="24"/>
                <w14:ligatures w14:val="none"/>
              </w:rPr>
              <w:t>Lp.</w:t>
            </w:r>
          </w:p>
        </w:tc>
        <w:tc>
          <w:tcPr>
            <w:tcW w:w="2386" w:type="dxa"/>
            <w:tcBorders>
              <w:top w:val="single" w:sz="12" w:space="0" w:color="auto"/>
              <w:left w:val="single" w:sz="12" w:space="0" w:color="auto"/>
              <w:bottom w:val="single" w:sz="12" w:space="0" w:color="auto"/>
              <w:right w:val="single" w:sz="12" w:space="0" w:color="auto"/>
            </w:tcBorders>
            <w:vAlign w:val="center"/>
          </w:tcPr>
          <w:p w14:paraId="6ABB03FF" w14:textId="77777777" w:rsidR="006064C2" w:rsidRPr="00FD3398" w:rsidRDefault="006064C2" w:rsidP="009B224C">
            <w:pPr>
              <w:spacing w:after="0" w:line="240" w:lineRule="auto"/>
              <w:jc w:val="center"/>
              <w:rPr>
                <w:rFonts w:ascii="Arial" w:eastAsia="Calibri" w:hAnsi="Arial" w:cs="Arial"/>
                <w:kern w:val="0"/>
                <w:sz w:val="24"/>
                <w:szCs w:val="24"/>
                <w14:ligatures w14:val="none"/>
              </w:rPr>
            </w:pPr>
            <w:r w:rsidRPr="00FD3398">
              <w:rPr>
                <w:rFonts w:ascii="Arial" w:eastAsia="Calibri" w:hAnsi="Arial" w:cs="Arial"/>
                <w:b/>
                <w:bCs/>
                <w:kern w:val="0"/>
                <w:sz w:val="24"/>
                <w:szCs w:val="24"/>
                <w14:ligatures w14:val="none"/>
              </w:rPr>
              <w:t>Element konfiguracji</w:t>
            </w:r>
          </w:p>
        </w:tc>
        <w:tc>
          <w:tcPr>
            <w:tcW w:w="6368" w:type="dxa"/>
            <w:tcBorders>
              <w:top w:val="single" w:sz="12" w:space="0" w:color="auto"/>
              <w:left w:val="single" w:sz="12" w:space="0" w:color="auto"/>
              <w:bottom w:val="single" w:sz="12" w:space="0" w:color="auto"/>
              <w:right w:val="single" w:sz="12" w:space="0" w:color="auto"/>
            </w:tcBorders>
            <w:vAlign w:val="center"/>
          </w:tcPr>
          <w:p w14:paraId="2395302B" w14:textId="77777777" w:rsidR="006064C2" w:rsidRPr="00FD3398" w:rsidRDefault="006064C2" w:rsidP="009E6DDB">
            <w:pPr>
              <w:spacing w:after="0" w:line="240" w:lineRule="auto"/>
              <w:ind w:left="99"/>
              <w:jc w:val="center"/>
              <w:rPr>
                <w:rFonts w:ascii="Arial" w:eastAsia="Calibri" w:hAnsi="Arial" w:cs="Arial"/>
                <w:kern w:val="0"/>
                <w:sz w:val="24"/>
                <w:szCs w:val="24"/>
                <w14:ligatures w14:val="none"/>
              </w:rPr>
            </w:pPr>
            <w:r w:rsidRPr="00FD3398">
              <w:rPr>
                <w:rFonts w:ascii="Arial" w:eastAsia="Calibri" w:hAnsi="Arial" w:cs="Arial"/>
                <w:b/>
                <w:bCs/>
                <w:kern w:val="0"/>
                <w:sz w:val="24"/>
                <w:szCs w:val="24"/>
                <w14:ligatures w14:val="none"/>
              </w:rPr>
              <w:t>Parametry minimalne</w:t>
            </w:r>
          </w:p>
        </w:tc>
      </w:tr>
      <w:tr w:rsidR="0022110F" w:rsidRPr="00B5109F" w14:paraId="74B16A18" w14:textId="77777777" w:rsidTr="0033291A">
        <w:tc>
          <w:tcPr>
            <w:tcW w:w="547" w:type="dxa"/>
            <w:tcBorders>
              <w:top w:val="single" w:sz="12" w:space="0" w:color="auto"/>
              <w:left w:val="single" w:sz="12" w:space="0" w:color="auto"/>
              <w:bottom w:val="single" w:sz="6" w:space="0" w:color="auto"/>
              <w:right w:val="single" w:sz="6" w:space="0" w:color="auto"/>
            </w:tcBorders>
          </w:tcPr>
          <w:p w14:paraId="320398FB" w14:textId="196E0878" w:rsidR="006064C2" w:rsidRPr="00FD3398" w:rsidRDefault="006064C2"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12" w:space="0" w:color="auto"/>
              <w:left w:val="single" w:sz="6" w:space="0" w:color="auto"/>
              <w:bottom w:val="single" w:sz="6" w:space="0" w:color="auto"/>
              <w:right w:val="single" w:sz="6" w:space="0" w:color="auto"/>
            </w:tcBorders>
          </w:tcPr>
          <w:p w14:paraId="4F10A881" w14:textId="0AE15257" w:rsidR="006064C2" w:rsidRPr="00FD3398" w:rsidRDefault="006064C2">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Obudow</w:t>
            </w:r>
            <w:r w:rsidR="009E6DDB" w:rsidRPr="00FD3398">
              <w:rPr>
                <w:rFonts w:ascii="Arial" w:eastAsia="Calibri" w:hAnsi="Arial" w:cs="Arial"/>
                <w:kern w:val="0"/>
                <w:sz w:val="24"/>
                <w:szCs w:val="24"/>
                <w14:ligatures w14:val="none"/>
              </w:rPr>
              <w:t>a</w:t>
            </w:r>
          </w:p>
        </w:tc>
        <w:tc>
          <w:tcPr>
            <w:tcW w:w="6368" w:type="dxa"/>
            <w:tcBorders>
              <w:top w:val="single" w:sz="12" w:space="0" w:color="auto"/>
              <w:left w:val="single" w:sz="6" w:space="0" w:color="auto"/>
              <w:bottom w:val="single" w:sz="6" w:space="0" w:color="auto"/>
              <w:right w:val="single" w:sz="12" w:space="0" w:color="auto"/>
            </w:tcBorders>
          </w:tcPr>
          <w:p w14:paraId="0CEF9641" w14:textId="06B1B8FB" w:rsidR="006064C2" w:rsidRPr="00FD3398" w:rsidRDefault="006064C2" w:rsidP="0008169B">
            <w:pPr>
              <w:pStyle w:val="Akapitzlist"/>
              <w:numPr>
                <w:ilvl w:val="0"/>
                <w:numId w:val="7"/>
              </w:numPr>
              <w:spacing w:after="0" w:line="276" w:lineRule="auto"/>
              <w:jc w:val="both"/>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Przystosowana do montażu w szafie typu </w:t>
            </w:r>
            <w:proofErr w:type="spellStart"/>
            <w:r w:rsidRPr="00FD3398">
              <w:rPr>
                <w:rFonts w:ascii="Arial" w:eastAsia="Calibri" w:hAnsi="Arial" w:cs="Arial"/>
                <w:kern w:val="0"/>
                <w:sz w:val="24"/>
                <w:szCs w:val="24"/>
                <w14:ligatures w14:val="none"/>
              </w:rPr>
              <w:t>rack</w:t>
            </w:r>
            <w:proofErr w:type="spellEnd"/>
            <w:r w:rsidRPr="00FD3398">
              <w:rPr>
                <w:rFonts w:ascii="Arial" w:eastAsia="Calibri" w:hAnsi="Arial" w:cs="Arial"/>
                <w:kern w:val="0"/>
                <w:sz w:val="24"/>
                <w:szCs w:val="24"/>
                <w14:ligatures w14:val="none"/>
              </w:rPr>
              <w:t xml:space="preserve"> 19", umożliwiająca obsadzenie minimum 12 szt. serwerów dwuprocesorowych z procesorami x86 bez konieczności</w:t>
            </w:r>
            <w:r w:rsidR="009E6DDB" w:rsidRPr="00FD3398">
              <w:rPr>
                <w:rFonts w:ascii="Arial" w:eastAsia="Calibri" w:hAnsi="Arial" w:cs="Arial"/>
                <w:kern w:val="0"/>
                <w:sz w:val="24"/>
                <w:szCs w:val="24"/>
                <w14:ligatures w14:val="none"/>
              </w:rPr>
              <w:t xml:space="preserve"> rozbudowy o kolejne elementy sprzętowe. Konfiguracja każdego serwera zgodna z </w:t>
            </w:r>
            <w:r w:rsidR="009416DD" w:rsidRPr="00FD3398">
              <w:rPr>
                <w:rFonts w:ascii="Arial" w:eastAsia="Calibri" w:hAnsi="Arial" w:cs="Arial"/>
                <w:kern w:val="0"/>
                <w:sz w:val="24"/>
                <w:szCs w:val="24"/>
                <w14:ligatures w14:val="none"/>
              </w:rPr>
              <w:fldChar w:fldCharType="begin"/>
            </w:r>
            <w:r w:rsidR="009416DD" w:rsidRPr="00FD3398">
              <w:rPr>
                <w:rFonts w:ascii="Arial" w:eastAsia="Calibri" w:hAnsi="Arial" w:cs="Arial"/>
                <w:kern w:val="0"/>
                <w:sz w:val="24"/>
                <w:szCs w:val="24"/>
                <w14:ligatures w14:val="none"/>
              </w:rPr>
              <w:instrText xml:space="preserve"> REF _Ref164930990 \h </w:instrText>
            </w:r>
            <w:r w:rsidR="00B5109F" w:rsidRPr="00FD3398">
              <w:rPr>
                <w:rFonts w:ascii="Arial" w:eastAsia="Calibri" w:hAnsi="Arial" w:cs="Arial"/>
                <w:kern w:val="0"/>
                <w:sz w:val="24"/>
                <w:szCs w:val="24"/>
                <w14:ligatures w14:val="none"/>
              </w:rPr>
              <w:instrText xml:space="preserve"> \* MERGEFORMAT </w:instrText>
            </w:r>
            <w:r w:rsidR="009416DD" w:rsidRPr="00FD3398">
              <w:rPr>
                <w:rFonts w:ascii="Arial" w:eastAsia="Calibri" w:hAnsi="Arial" w:cs="Arial"/>
                <w:kern w:val="0"/>
                <w:sz w:val="24"/>
                <w:szCs w:val="24"/>
                <w14:ligatures w14:val="none"/>
              </w:rPr>
            </w:r>
            <w:r w:rsidR="009416DD" w:rsidRPr="00FD3398">
              <w:rPr>
                <w:rFonts w:ascii="Arial" w:eastAsia="Calibri" w:hAnsi="Arial" w:cs="Arial"/>
                <w:kern w:val="0"/>
                <w:sz w:val="24"/>
                <w:szCs w:val="24"/>
                <w14:ligatures w14:val="none"/>
              </w:rPr>
              <w:fldChar w:fldCharType="separate"/>
            </w:r>
            <w:r w:rsidR="009416DD" w:rsidRPr="00FD3398">
              <w:rPr>
                <w:rFonts w:ascii="Arial" w:hAnsi="Arial" w:cs="Arial"/>
                <w:sz w:val="24"/>
                <w:szCs w:val="24"/>
              </w:rPr>
              <w:t xml:space="preserve">Tabela </w:t>
            </w:r>
            <w:r w:rsidR="009416DD" w:rsidRPr="00FD3398">
              <w:rPr>
                <w:rFonts w:ascii="Arial" w:hAnsi="Arial" w:cs="Arial"/>
                <w:noProof/>
                <w:sz w:val="24"/>
                <w:szCs w:val="24"/>
              </w:rPr>
              <w:t>2</w:t>
            </w:r>
            <w:r w:rsidR="009416DD" w:rsidRPr="00FD3398">
              <w:rPr>
                <w:rFonts w:ascii="Arial" w:eastAsia="Calibri" w:hAnsi="Arial" w:cs="Arial"/>
                <w:kern w:val="0"/>
                <w:sz w:val="24"/>
                <w:szCs w:val="24"/>
                <w14:ligatures w14:val="none"/>
              </w:rPr>
              <w:fldChar w:fldCharType="end"/>
            </w:r>
            <w:r w:rsidR="00A3389F" w:rsidRPr="00FD3398">
              <w:rPr>
                <w:rFonts w:ascii="Arial" w:eastAsia="Calibri" w:hAnsi="Arial" w:cs="Arial"/>
                <w:kern w:val="0"/>
                <w:sz w:val="24"/>
                <w:szCs w:val="24"/>
                <w14:ligatures w14:val="none"/>
              </w:rPr>
              <w:t>.</w:t>
            </w:r>
            <w:r w:rsidR="009E6DDB" w:rsidRPr="00FD3398">
              <w:rPr>
                <w:rFonts w:ascii="Arial" w:eastAsia="Calibri" w:hAnsi="Arial" w:cs="Arial"/>
                <w:kern w:val="0"/>
                <w:sz w:val="24"/>
                <w:szCs w:val="24"/>
                <w14:ligatures w14:val="none"/>
              </w:rPr>
              <w:t xml:space="preserve"> Wysokość obudowy nie więcej niż 10</w:t>
            </w:r>
            <w:r w:rsidR="00A3389F" w:rsidRPr="00FD3398">
              <w:rPr>
                <w:rFonts w:ascii="Arial" w:eastAsia="Calibri" w:hAnsi="Arial" w:cs="Arial"/>
                <w:kern w:val="0"/>
                <w:sz w:val="24"/>
                <w:szCs w:val="24"/>
                <w14:ligatures w14:val="none"/>
              </w:rPr>
              <w:t xml:space="preserve"> R</w:t>
            </w:r>
            <w:r w:rsidR="009E6DDB" w:rsidRPr="00FD3398">
              <w:rPr>
                <w:rFonts w:ascii="Arial" w:eastAsia="Calibri" w:hAnsi="Arial" w:cs="Arial"/>
                <w:kern w:val="0"/>
                <w:sz w:val="24"/>
                <w:szCs w:val="24"/>
                <w14:ligatures w14:val="none"/>
              </w:rPr>
              <w:t>U.</w:t>
            </w:r>
          </w:p>
          <w:p w14:paraId="1DAD605A" w14:textId="77777777" w:rsidR="009E6DDB" w:rsidRPr="00FD3398" w:rsidRDefault="009E6DDB" w:rsidP="0008169B">
            <w:pPr>
              <w:pStyle w:val="Akapitzlist"/>
              <w:numPr>
                <w:ilvl w:val="0"/>
                <w:numId w:val="7"/>
              </w:numPr>
              <w:spacing w:after="0" w:line="276" w:lineRule="auto"/>
              <w:jc w:val="both"/>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Obudowa musi obsługiwać pasmo co najmniej 100Gbps oraz</w:t>
            </w:r>
            <w:r w:rsidRPr="00FD3398">
              <w:rPr>
                <w:rFonts w:ascii="Arial" w:eastAsia="Calibri" w:hAnsi="Arial" w:cs="Arial"/>
                <w:kern w:val="0"/>
                <w:sz w:val="24"/>
                <w:szCs w:val="24"/>
                <w14:ligatures w14:val="none"/>
              </w:rPr>
              <w:br/>
              <w:t>32Gb FC.</w:t>
            </w:r>
          </w:p>
          <w:p w14:paraId="4D1D361A" w14:textId="4DEC654C" w:rsidR="009E6DDB" w:rsidRPr="00FD3398" w:rsidRDefault="009E6DDB" w:rsidP="0008169B">
            <w:pPr>
              <w:pStyle w:val="Akapitzlist"/>
              <w:numPr>
                <w:ilvl w:val="0"/>
                <w:numId w:val="7"/>
              </w:numPr>
              <w:spacing w:after="0" w:line="276" w:lineRule="auto"/>
              <w:jc w:val="both"/>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Ze względu na bezpieczeństwo inwestycji, wymagana jest</w:t>
            </w:r>
            <w:r w:rsidRPr="00FD3398">
              <w:rPr>
                <w:rFonts w:ascii="Arial" w:eastAsia="Calibri" w:hAnsi="Arial" w:cs="Arial"/>
                <w:kern w:val="0"/>
                <w:sz w:val="24"/>
                <w:szCs w:val="24"/>
                <w14:ligatures w14:val="none"/>
              </w:rPr>
              <w:br/>
              <w:t>obsługa serwerów z procesorami o mocy powyżej 250W</w:t>
            </w:r>
            <w:r w:rsidRPr="00FD3398">
              <w:rPr>
                <w:rFonts w:ascii="Arial" w:eastAsia="Calibri" w:hAnsi="Arial" w:cs="Arial"/>
                <w:kern w:val="0"/>
                <w:sz w:val="24"/>
                <w:szCs w:val="24"/>
                <w14:ligatures w14:val="none"/>
              </w:rPr>
              <w:br/>
              <w:t xml:space="preserve">(parametr TDP – </w:t>
            </w:r>
            <w:proofErr w:type="spellStart"/>
            <w:r w:rsidRPr="00FD3398">
              <w:rPr>
                <w:rFonts w:ascii="Arial" w:eastAsia="Calibri" w:hAnsi="Arial" w:cs="Arial"/>
                <w:kern w:val="0"/>
                <w:sz w:val="24"/>
                <w:szCs w:val="24"/>
                <w14:ligatures w14:val="none"/>
              </w:rPr>
              <w:t>Thermal</w:t>
            </w:r>
            <w:proofErr w:type="spellEnd"/>
            <w:r w:rsidRPr="00FD3398">
              <w:rPr>
                <w:rFonts w:ascii="Arial" w:eastAsia="Calibri" w:hAnsi="Arial" w:cs="Arial"/>
                <w:kern w:val="0"/>
                <w:sz w:val="24"/>
                <w:szCs w:val="24"/>
                <w14:ligatures w14:val="none"/>
              </w:rPr>
              <w:t xml:space="preserve"> Design Power) bez jakichkolwiek</w:t>
            </w:r>
            <w:r w:rsidRPr="00FD3398">
              <w:rPr>
                <w:rFonts w:ascii="Arial" w:eastAsia="Calibri" w:hAnsi="Arial" w:cs="Arial"/>
                <w:kern w:val="0"/>
                <w:sz w:val="24"/>
                <w:szCs w:val="24"/>
                <w14:ligatures w14:val="none"/>
              </w:rPr>
              <w:br/>
              <w:t>ograniczeń technologicznych takich jak brak możliwości</w:t>
            </w:r>
            <w:r w:rsidRPr="00FD3398">
              <w:rPr>
                <w:rFonts w:ascii="Arial" w:eastAsia="Calibri" w:hAnsi="Arial" w:cs="Arial"/>
                <w:kern w:val="0"/>
                <w:sz w:val="24"/>
                <w:szCs w:val="24"/>
                <w14:ligatures w14:val="none"/>
              </w:rPr>
              <w:br/>
              <w:t>stosowania kontrolera i dysków lokalnych w serwerze przy</w:t>
            </w:r>
            <w:r w:rsidRPr="00FD3398">
              <w:rPr>
                <w:rFonts w:ascii="Arial" w:eastAsia="Calibri" w:hAnsi="Arial" w:cs="Arial"/>
                <w:kern w:val="0"/>
                <w:sz w:val="24"/>
                <w:szCs w:val="24"/>
                <w14:ligatures w14:val="none"/>
              </w:rPr>
              <w:br/>
              <w:t>zastosowaniu takich procesorów</w:t>
            </w:r>
            <w:r w:rsidR="00A3389F" w:rsidRPr="00FD3398">
              <w:rPr>
                <w:rFonts w:ascii="Arial" w:eastAsia="Calibri" w:hAnsi="Arial" w:cs="Arial"/>
                <w:kern w:val="0"/>
                <w:sz w:val="24"/>
                <w:szCs w:val="24"/>
                <w14:ligatures w14:val="none"/>
              </w:rPr>
              <w:t>.</w:t>
            </w:r>
          </w:p>
        </w:tc>
      </w:tr>
      <w:tr w:rsidR="0022110F" w:rsidRPr="00B5109F" w14:paraId="39FBEBA8" w14:textId="77777777" w:rsidTr="0033291A">
        <w:tc>
          <w:tcPr>
            <w:tcW w:w="547" w:type="dxa"/>
            <w:tcBorders>
              <w:top w:val="single" w:sz="6" w:space="0" w:color="auto"/>
              <w:left w:val="single" w:sz="12" w:space="0" w:color="auto"/>
              <w:bottom w:val="single" w:sz="6" w:space="0" w:color="auto"/>
              <w:right w:val="single" w:sz="6" w:space="0" w:color="auto"/>
            </w:tcBorders>
          </w:tcPr>
          <w:p w14:paraId="7ED226C9" w14:textId="2D47B498" w:rsidR="006064C2" w:rsidRPr="00FD3398" w:rsidRDefault="006064C2"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6" w:space="0" w:color="auto"/>
              <w:right w:val="single" w:sz="6" w:space="0" w:color="auto"/>
            </w:tcBorders>
          </w:tcPr>
          <w:p w14:paraId="1676BEDF" w14:textId="1A55D5E5" w:rsidR="006064C2" w:rsidRPr="00FD3398" w:rsidRDefault="006064C2" w:rsidP="009E6DDB">
            <w:pPr>
              <w:spacing w:after="0" w:line="437" w:lineRule="exact"/>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Moduły</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konwergentne</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LAN/</w:t>
            </w:r>
            <w:r w:rsidR="009E6DDB" w:rsidRPr="00FD3398">
              <w:rPr>
                <w:rFonts w:ascii="Arial" w:eastAsia="Calibri" w:hAnsi="Arial" w:cs="Arial"/>
                <w:kern w:val="0"/>
                <w:sz w:val="24"/>
                <w:szCs w:val="24"/>
                <w14:ligatures w14:val="none"/>
              </w:rPr>
              <w:t>SAN</w:t>
            </w:r>
          </w:p>
        </w:tc>
        <w:tc>
          <w:tcPr>
            <w:tcW w:w="6368" w:type="dxa"/>
            <w:tcBorders>
              <w:top w:val="single" w:sz="6" w:space="0" w:color="auto"/>
              <w:left w:val="single" w:sz="6" w:space="0" w:color="auto"/>
              <w:bottom w:val="single" w:sz="6" w:space="0" w:color="auto"/>
              <w:right w:val="single" w:sz="12" w:space="0" w:color="auto"/>
            </w:tcBorders>
          </w:tcPr>
          <w:p w14:paraId="64853AAA" w14:textId="6E476E7D" w:rsidR="006064C2" w:rsidRPr="00FD3398" w:rsidRDefault="006064C2" w:rsidP="0008169B">
            <w:pPr>
              <w:pStyle w:val="Akapitzlist"/>
              <w:numPr>
                <w:ilvl w:val="0"/>
                <w:numId w:val="8"/>
              </w:numPr>
              <w:spacing w:after="0" w:line="276" w:lineRule="auto"/>
              <w:jc w:val="both"/>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Wyposażona w minimum dwa niezależne moduły</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komunikacyjne 100GbE. Urządzenia umożliwiające agregację</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połączeń LAN/</w:t>
            </w:r>
            <w:proofErr w:type="spellStart"/>
            <w:r w:rsidRPr="00FD3398">
              <w:rPr>
                <w:rFonts w:ascii="Arial" w:eastAsia="Calibri" w:hAnsi="Arial" w:cs="Arial"/>
                <w:kern w:val="0"/>
                <w:sz w:val="24"/>
                <w:szCs w:val="24"/>
                <w14:ligatures w14:val="none"/>
              </w:rPr>
              <w:t>FCoE</w:t>
            </w:r>
            <w:proofErr w:type="spellEnd"/>
            <w:r w:rsidRPr="00FD3398">
              <w:rPr>
                <w:rFonts w:ascii="Arial" w:eastAsia="Calibri" w:hAnsi="Arial" w:cs="Arial"/>
                <w:kern w:val="0"/>
                <w:sz w:val="24"/>
                <w:szCs w:val="24"/>
                <w14:ligatures w14:val="none"/>
              </w:rPr>
              <w:t xml:space="preserve"> (</w:t>
            </w:r>
            <w:proofErr w:type="spellStart"/>
            <w:r w:rsidRPr="00FD3398">
              <w:rPr>
                <w:rFonts w:ascii="Arial" w:eastAsia="Calibri" w:hAnsi="Arial" w:cs="Arial"/>
                <w:kern w:val="0"/>
                <w:sz w:val="24"/>
                <w:szCs w:val="24"/>
                <w14:ligatures w14:val="none"/>
              </w:rPr>
              <w:t>Fibre</w:t>
            </w:r>
            <w:proofErr w:type="spellEnd"/>
            <w:r w:rsidRPr="00FD3398">
              <w:rPr>
                <w:rFonts w:ascii="Arial" w:eastAsia="Calibri" w:hAnsi="Arial" w:cs="Arial"/>
                <w:kern w:val="0"/>
                <w:sz w:val="24"/>
                <w:szCs w:val="24"/>
                <w14:ligatures w14:val="none"/>
              </w:rPr>
              <w:t xml:space="preserve"> Channel </w:t>
            </w:r>
            <w:proofErr w:type="spellStart"/>
            <w:r w:rsidRPr="00FD3398">
              <w:rPr>
                <w:rFonts w:ascii="Arial" w:eastAsia="Calibri" w:hAnsi="Arial" w:cs="Arial"/>
                <w:kern w:val="0"/>
                <w:sz w:val="24"/>
                <w:szCs w:val="24"/>
                <w14:ligatures w14:val="none"/>
              </w:rPr>
              <w:t>over</w:t>
            </w:r>
            <w:proofErr w:type="spellEnd"/>
            <w:r w:rsidRPr="00FD3398">
              <w:rPr>
                <w:rFonts w:ascii="Arial" w:eastAsia="Calibri" w:hAnsi="Arial" w:cs="Arial"/>
                <w:kern w:val="0"/>
                <w:sz w:val="24"/>
                <w:szCs w:val="24"/>
                <w14:ligatures w14:val="none"/>
              </w:rPr>
              <w:t xml:space="preserve"> Ethernet) w</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infrastrukturze i umożliwiające wyprowadzenie sygnałów LAN i</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FC/</w:t>
            </w:r>
            <w:proofErr w:type="spellStart"/>
            <w:r w:rsidRPr="00FD3398">
              <w:rPr>
                <w:rFonts w:ascii="Arial" w:eastAsia="Calibri" w:hAnsi="Arial" w:cs="Arial"/>
                <w:kern w:val="0"/>
                <w:sz w:val="24"/>
                <w:szCs w:val="24"/>
                <w14:ligatures w14:val="none"/>
              </w:rPr>
              <w:t>FCoE</w:t>
            </w:r>
            <w:proofErr w:type="spellEnd"/>
            <w:r w:rsidRPr="00FD3398">
              <w:rPr>
                <w:rFonts w:ascii="Arial" w:eastAsia="Calibri" w:hAnsi="Arial" w:cs="Arial"/>
                <w:kern w:val="0"/>
                <w:sz w:val="24"/>
                <w:szCs w:val="24"/>
                <w14:ligatures w14:val="none"/>
              </w:rPr>
              <w:t xml:space="preserve"> ze wszystkich serwerów z zachowaniem redundancji</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połączeń. Awaria dowolnego z zainstalowanych modułów nie</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może powodować utraty komunikacji dla żadnego z serwerów z</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siecią LAN. Każdy moduł posiadający minimum 12 portów do</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serwerów (</w:t>
            </w:r>
            <w:proofErr w:type="spellStart"/>
            <w:r w:rsidRPr="00FD3398">
              <w:rPr>
                <w:rFonts w:ascii="Arial" w:eastAsia="Calibri" w:hAnsi="Arial" w:cs="Arial"/>
                <w:kern w:val="0"/>
                <w:sz w:val="24"/>
                <w:szCs w:val="24"/>
                <w14:ligatures w14:val="none"/>
              </w:rPr>
              <w:t>downlink</w:t>
            </w:r>
            <w:proofErr w:type="spellEnd"/>
            <w:r w:rsidRPr="00FD3398">
              <w:rPr>
                <w:rFonts w:ascii="Arial" w:eastAsia="Calibri" w:hAnsi="Arial" w:cs="Arial"/>
                <w:kern w:val="0"/>
                <w:sz w:val="24"/>
                <w:szCs w:val="24"/>
                <w14:ligatures w14:val="none"/>
              </w:rPr>
              <w:t>), każdy 50Gb zapewniające brak</w:t>
            </w:r>
            <w:r w:rsidR="009E6DDB" w:rsidRPr="00FD3398">
              <w:rPr>
                <w:rFonts w:ascii="Arial" w:eastAsia="Calibri" w:hAnsi="Arial" w:cs="Arial"/>
                <w:kern w:val="0"/>
                <w:sz w:val="24"/>
                <w:szCs w:val="24"/>
                <w14:ligatures w14:val="none"/>
              </w:rPr>
              <w:t xml:space="preserve"> </w:t>
            </w:r>
            <w:proofErr w:type="spellStart"/>
            <w:r w:rsidRPr="00FD3398">
              <w:rPr>
                <w:rFonts w:ascii="Arial" w:eastAsia="Calibri" w:hAnsi="Arial" w:cs="Arial"/>
                <w:kern w:val="0"/>
                <w:sz w:val="24"/>
                <w:szCs w:val="24"/>
                <w14:ligatures w14:val="none"/>
              </w:rPr>
              <w:t>oversubscription</w:t>
            </w:r>
            <w:proofErr w:type="spellEnd"/>
            <w:r w:rsidRPr="00FD3398">
              <w:rPr>
                <w:rFonts w:ascii="Arial" w:eastAsia="Calibri" w:hAnsi="Arial" w:cs="Arial"/>
                <w:kern w:val="0"/>
                <w:sz w:val="24"/>
                <w:szCs w:val="24"/>
                <w14:ligatures w14:val="none"/>
              </w:rPr>
              <w:t xml:space="preserve"> oraz 6 portów wychodzących (</w:t>
            </w:r>
            <w:proofErr w:type="spellStart"/>
            <w:r w:rsidRPr="00FD3398">
              <w:rPr>
                <w:rFonts w:ascii="Arial" w:eastAsia="Calibri" w:hAnsi="Arial" w:cs="Arial"/>
                <w:kern w:val="0"/>
                <w:sz w:val="24"/>
                <w:szCs w:val="24"/>
                <w14:ligatures w14:val="none"/>
              </w:rPr>
              <w:t>uplink</w:t>
            </w:r>
            <w:proofErr w:type="spellEnd"/>
            <w:r w:rsidRPr="00FD3398">
              <w:rPr>
                <w:rFonts w:ascii="Arial" w:eastAsia="Calibri" w:hAnsi="Arial" w:cs="Arial"/>
                <w:kern w:val="0"/>
                <w:sz w:val="24"/>
                <w:szCs w:val="24"/>
                <w14:ligatures w14:val="none"/>
              </w:rPr>
              <w:t>) o</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sumarycznym pasmie 600Gb. Porty wychodzące (</w:t>
            </w:r>
            <w:proofErr w:type="spellStart"/>
            <w:r w:rsidRPr="00FD3398">
              <w:rPr>
                <w:rFonts w:ascii="Arial" w:eastAsia="Calibri" w:hAnsi="Arial" w:cs="Arial"/>
                <w:kern w:val="0"/>
                <w:sz w:val="24"/>
                <w:szCs w:val="24"/>
                <w14:ligatures w14:val="none"/>
              </w:rPr>
              <w:t>uplink</w:t>
            </w:r>
            <w:proofErr w:type="spellEnd"/>
            <w:r w:rsidRPr="00FD3398">
              <w:rPr>
                <w:rFonts w:ascii="Arial" w:eastAsia="Calibri" w:hAnsi="Arial" w:cs="Arial"/>
                <w:kern w:val="0"/>
                <w:sz w:val="24"/>
                <w:szCs w:val="24"/>
                <w14:ligatures w14:val="none"/>
              </w:rPr>
              <w:t>)</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każdy min 100Gb obsługujące wkładki 10Gb Ethernet, 40Gb</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Ethernet, 100Gb Ethernet, 32Gb FC, a także umożliwiające</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podłączenie wkładek i kabli rozdzielających port 100Gb na 4 x</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25Gb Ethernet lub 4 x 32Gb FC.</w:t>
            </w:r>
          </w:p>
          <w:p w14:paraId="66287ACD" w14:textId="2CB4F1AE" w:rsidR="009E6DDB" w:rsidRPr="00FD3398" w:rsidRDefault="006064C2" w:rsidP="0008169B">
            <w:pPr>
              <w:pStyle w:val="Akapitzlist"/>
              <w:numPr>
                <w:ilvl w:val="0"/>
                <w:numId w:val="8"/>
              </w:numPr>
              <w:tabs>
                <w:tab w:val="left" w:pos="830"/>
              </w:tabs>
              <w:spacing w:after="0" w:line="276" w:lineRule="auto"/>
              <w:jc w:val="both"/>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Aktywne wszystkie porty w każdym module (licencja na każdy</w:t>
            </w:r>
            <w:r w:rsidR="009E6DDB" w:rsidRPr="00FD3398">
              <w:rPr>
                <w:rFonts w:ascii="Arial" w:eastAsia="Calibri" w:hAnsi="Arial" w:cs="Arial"/>
                <w:kern w:val="0"/>
                <w:sz w:val="24"/>
                <w:szCs w:val="24"/>
                <w14:ligatures w14:val="none"/>
              </w:rPr>
              <w:t xml:space="preserve"> port), gotowe do wykorzystania zarówno na potrzeby Ethernet, </w:t>
            </w:r>
            <w:proofErr w:type="spellStart"/>
            <w:r w:rsidR="009E6DDB" w:rsidRPr="00FD3398">
              <w:rPr>
                <w:rFonts w:ascii="Arial" w:eastAsia="Calibri" w:hAnsi="Arial" w:cs="Arial"/>
                <w:kern w:val="0"/>
                <w:sz w:val="24"/>
                <w:szCs w:val="24"/>
                <w14:ligatures w14:val="none"/>
              </w:rPr>
              <w:t>FCoE</w:t>
            </w:r>
            <w:proofErr w:type="spellEnd"/>
            <w:r w:rsidR="009E6DDB" w:rsidRPr="00FD3398">
              <w:rPr>
                <w:rFonts w:ascii="Arial" w:eastAsia="Calibri" w:hAnsi="Arial" w:cs="Arial"/>
                <w:kern w:val="0"/>
                <w:sz w:val="24"/>
                <w:szCs w:val="24"/>
                <w14:ligatures w14:val="none"/>
              </w:rPr>
              <w:t xml:space="preserve"> lub FC po obsadzeniu wkładkami, włożeniu serwerów do obudowy i konfiguracji logicznej.</w:t>
            </w:r>
          </w:p>
        </w:tc>
      </w:tr>
      <w:tr w:rsidR="0022110F" w:rsidRPr="00B5109F" w14:paraId="23F27CAE" w14:textId="77777777" w:rsidTr="0033291A">
        <w:tc>
          <w:tcPr>
            <w:tcW w:w="547" w:type="dxa"/>
            <w:tcBorders>
              <w:top w:val="single" w:sz="6" w:space="0" w:color="auto"/>
              <w:left w:val="single" w:sz="12" w:space="0" w:color="auto"/>
              <w:right w:val="single" w:sz="6" w:space="0" w:color="auto"/>
            </w:tcBorders>
          </w:tcPr>
          <w:p w14:paraId="0DDDDAEF" w14:textId="32E7EC42" w:rsidR="006064C2" w:rsidRPr="00FD3398" w:rsidRDefault="006064C2"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right w:val="single" w:sz="6" w:space="0" w:color="auto"/>
            </w:tcBorders>
          </w:tcPr>
          <w:p w14:paraId="1324BB8C" w14:textId="205E37C5" w:rsidR="009E6DDB" w:rsidRPr="00FD3398" w:rsidRDefault="006064C2">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Dodatkowa</w:t>
            </w:r>
            <w:r w:rsidR="009E6DDB" w:rsidRPr="00FD3398">
              <w:rPr>
                <w:rFonts w:ascii="Arial" w:eastAsia="Calibri" w:hAnsi="Arial" w:cs="Arial"/>
                <w:kern w:val="0"/>
                <w:sz w:val="24"/>
                <w:szCs w:val="24"/>
                <w14:ligatures w14:val="none"/>
              </w:rPr>
              <w:t xml:space="preserve"> funkcjonalność modułów LAN</w:t>
            </w:r>
          </w:p>
        </w:tc>
        <w:tc>
          <w:tcPr>
            <w:tcW w:w="6368" w:type="dxa"/>
            <w:tcBorders>
              <w:top w:val="single" w:sz="6" w:space="0" w:color="auto"/>
              <w:left w:val="single" w:sz="6" w:space="0" w:color="auto"/>
              <w:right w:val="single" w:sz="12" w:space="0" w:color="auto"/>
            </w:tcBorders>
          </w:tcPr>
          <w:p w14:paraId="033BB099" w14:textId="1EDD6130" w:rsidR="009E6DDB" w:rsidRPr="00FD3398" w:rsidRDefault="006064C2" w:rsidP="0008169B">
            <w:pPr>
              <w:pStyle w:val="Akapitzlist"/>
              <w:numPr>
                <w:ilvl w:val="0"/>
                <w:numId w:val="9"/>
              </w:numPr>
              <w:spacing w:after="0" w:line="276"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Zainstalowane moduły LAN/FC/</w:t>
            </w:r>
            <w:proofErr w:type="spellStart"/>
            <w:r w:rsidRPr="00FD3398">
              <w:rPr>
                <w:rFonts w:ascii="Arial" w:eastAsia="Calibri" w:hAnsi="Arial" w:cs="Arial"/>
                <w:kern w:val="0"/>
                <w:sz w:val="24"/>
                <w:szCs w:val="24"/>
                <w14:ligatures w14:val="none"/>
              </w:rPr>
              <w:t>FCoE</w:t>
            </w:r>
            <w:proofErr w:type="spellEnd"/>
            <w:r w:rsidRPr="00FD3398">
              <w:rPr>
                <w:rFonts w:ascii="Arial" w:eastAsia="Calibri" w:hAnsi="Arial" w:cs="Arial"/>
                <w:kern w:val="0"/>
                <w:sz w:val="24"/>
                <w:szCs w:val="24"/>
                <w14:ligatures w14:val="none"/>
              </w:rPr>
              <w:t xml:space="preserve"> w każdej obudowie</w:t>
            </w:r>
            <w:r w:rsidR="009E6DDB" w:rsidRPr="00FD3398">
              <w:rPr>
                <w:rFonts w:ascii="Arial" w:eastAsia="Calibri" w:hAnsi="Arial" w:cs="Arial"/>
                <w:kern w:val="0"/>
                <w:sz w:val="24"/>
                <w:szCs w:val="24"/>
                <w14:ligatures w14:val="none"/>
              </w:rPr>
              <w:t xml:space="preserve"> z funkcjonalnością przydzielania adresów MAC i możliwością przydzielania WWN predefiniowanych przez producenta rozwiązania kasetowego dla poszczególnych wnęk na serwery. Przydzielenie adresów powodujące zastąpienie fizycznych adresów kart konwergentnych lub Ethernet na serwerze. Musi istnieć także możliwość przenoszenia przydzielonych adresów pomiędzy wnękami w obudowie. Funkcjonalność ta może być realizowana zarówno poprzez moduły LAN w infrastrukturze jak i poprzez dodatkowe oprogramowanie producenta serwerów. Dodatkowo dla sieci LAN musi istnieć możliwość stworzenia niezależnych połączeń</w:t>
            </w:r>
            <w:r w:rsidR="009E6DDB" w:rsidRPr="00FD3398">
              <w:rPr>
                <w:rFonts w:ascii="Arial" w:eastAsia="Calibri" w:hAnsi="Arial" w:cs="Arial"/>
                <w:kern w:val="0"/>
                <w:sz w:val="24"/>
                <w:szCs w:val="24"/>
                <w:lang w:val="fr-FR" w:eastAsia="fr-FR"/>
                <w14:ligatures w14:val="none"/>
              </w:rPr>
              <w:t xml:space="preserve"> VLAN</w:t>
            </w:r>
            <w:r w:rsidR="009E6DDB" w:rsidRPr="00FD3398">
              <w:rPr>
                <w:rFonts w:ascii="Arial" w:eastAsia="Calibri" w:hAnsi="Arial" w:cs="Arial"/>
                <w:kern w:val="0"/>
                <w:sz w:val="24"/>
                <w:szCs w:val="24"/>
                <w14:ligatures w14:val="none"/>
              </w:rPr>
              <w:t xml:space="preserve"> tak, aby między wydzielonymi sieciami nie było komunikacji.</w:t>
            </w:r>
          </w:p>
        </w:tc>
      </w:tr>
      <w:tr w:rsidR="0022110F" w:rsidRPr="00B5109F" w14:paraId="4700AA57" w14:textId="77777777" w:rsidTr="0033291A">
        <w:tc>
          <w:tcPr>
            <w:tcW w:w="547" w:type="dxa"/>
            <w:tcBorders>
              <w:top w:val="single" w:sz="6" w:space="0" w:color="auto"/>
              <w:left w:val="single" w:sz="12" w:space="0" w:color="auto"/>
              <w:bottom w:val="single" w:sz="4" w:space="0" w:color="auto"/>
              <w:right w:val="single" w:sz="6" w:space="0" w:color="auto"/>
            </w:tcBorders>
          </w:tcPr>
          <w:p w14:paraId="523E71FD" w14:textId="065F6CEF" w:rsidR="006064C2" w:rsidRPr="00FD3398" w:rsidRDefault="006064C2"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4" w:space="0" w:color="auto"/>
              <w:right w:val="single" w:sz="6" w:space="0" w:color="auto"/>
            </w:tcBorders>
          </w:tcPr>
          <w:p w14:paraId="40A7C968" w14:textId="77777777" w:rsidR="006064C2" w:rsidRPr="00FD3398" w:rsidRDefault="006064C2">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Moduły SAS</w:t>
            </w:r>
          </w:p>
        </w:tc>
        <w:tc>
          <w:tcPr>
            <w:tcW w:w="6368" w:type="dxa"/>
            <w:tcBorders>
              <w:top w:val="single" w:sz="6" w:space="0" w:color="auto"/>
              <w:left w:val="single" w:sz="6" w:space="0" w:color="auto"/>
              <w:bottom w:val="single" w:sz="4" w:space="0" w:color="auto"/>
              <w:right w:val="single" w:sz="12" w:space="0" w:color="auto"/>
            </w:tcBorders>
          </w:tcPr>
          <w:p w14:paraId="7FE67418" w14:textId="6C0A6E3B" w:rsidR="006064C2" w:rsidRPr="00FD3398" w:rsidRDefault="006064C2" w:rsidP="0008169B">
            <w:pPr>
              <w:pStyle w:val="Akapitzlist"/>
              <w:numPr>
                <w:ilvl w:val="0"/>
                <w:numId w:val="10"/>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Możliwość zainstalowania w obudowie min. dwóch modułów składowania danych, każdy posiadający 40 slotów na dyski SFF z opcją ich wymiany w trakcie pracy urządzenia (hot-plug).</w:t>
            </w:r>
          </w:p>
        </w:tc>
      </w:tr>
      <w:tr w:rsidR="0022110F" w:rsidRPr="00B5109F" w14:paraId="2EF2EBCE" w14:textId="77777777" w:rsidTr="0033291A">
        <w:tc>
          <w:tcPr>
            <w:tcW w:w="547" w:type="dxa"/>
            <w:tcBorders>
              <w:top w:val="single" w:sz="4" w:space="0" w:color="auto"/>
              <w:left w:val="single" w:sz="12" w:space="0" w:color="auto"/>
              <w:bottom w:val="single" w:sz="4" w:space="0" w:color="auto"/>
              <w:right w:val="single" w:sz="4" w:space="0" w:color="auto"/>
            </w:tcBorders>
          </w:tcPr>
          <w:p w14:paraId="7F939B8D" w14:textId="15E2AED8" w:rsidR="006064C2" w:rsidRPr="00FD3398" w:rsidRDefault="006064C2"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4" w:space="0" w:color="auto"/>
              <w:left w:val="single" w:sz="4" w:space="0" w:color="auto"/>
              <w:bottom w:val="single" w:sz="4" w:space="0" w:color="auto"/>
              <w:right w:val="single" w:sz="4" w:space="0" w:color="auto"/>
            </w:tcBorders>
          </w:tcPr>
          <w:p w14:paraId="5CC36928" w14:textId="744AEB2D" w:rsidR="006064C2" w:rsidRPr="00FD3398" w:rsidRDefault="006064C2">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Wnęki na moduły</w:t>
            </w:r>
            <w:r w:rsidR="00E200B8" w:rsidRPr="00FD3398">
              <w:rPr>
                <w:rFonts w:ascii="Arial" w:eastAsia="Calibri" w:hAnsi="Arial" w:cs="Arial"/>
                <w:kern w:val="0"/>
                <w:sz w:val="24"/>
                <w:szCs w:val="24"/>
                <w14:ligatures w14:val="none"/>
              </w:rPr>
              <w:t xml:space="preserve"> Komunikacyjne</w:t>
            </w:r>
          </w:p>
        </w:tc>
        <w:tc>
          <w:tcPr>
            <w:tcW w:w="6368" w:type="dxa"/>
            <w:tcBorders>
              <w:top w:val="single" w:sz="4" w:space="0" w:color="auto"/>
              <w:left w:val="single" w:sz="4" w:space="0" w:color="auto"/>
              <w:bottom w:val="single" w:sz="4" w:space="0" w:color="auto"/>
              <w:right w:val="single" w:sz="12" w:space="0" w:color="auto"/>
            </w:tcBorders>
          </w:tcPr>
          <w:p w14:paraId="4FA603F7" w14:textId="7871CFB6" w:rsidR="006064C2" w:rsidRPr="00FD3398" w:rsidRDefault="006064C2" w:rsidP="0008169B">
            <w:pPr>
              <w:pStyle w:val="Akapitzlist"/>
              <w:numPr>
                <w:ilvl w:val="0"/>
                <w:numId w:val="11"/>
              </w:numPr>
              <w:spacing w:after="0" w:line="276"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Po zainstalowaniu wymaganych modułów </w:t>
            </w:r>
            <w:proofErr w:type="spellStart"/>
            <w:r w:rsidRPr="00FD3398">
              <w:rPr>
                <w:rFonts w:ascii="Arial" w:eastAsia="Calibri" w:hAnsi="Arial" w:cs="Arial"/>
                <w:kern w:val="0"/>
                <w:sz w:val="24"/>
                <w:szCs w:val="24"/>
                <w14:ligatures w14:val="none"/>
              </w:rPr>
              <w:t>konwergentnych</w:t>
            </w:r>
            <w:proofErr w:type="spellEnd"/>
            <w:r w:rsidR="00E200B8" w:rsidRPr="00FD3398">
              <w:rPr>
                <w:rFonts w:ascii="Arial" w:eastAsia="Calibri" w:hAnsi="Arial" w:cs="Arial"/>
                <w:kern w:val="0"/>
                <w:sz w:val="24"/>
                <w:szCs w:val="24"/>
                <w14:ligatures w14:val="none"/>
              </w:rPr>
              <w:t xml:space="preserve"> LAN/</w:t>
            </w:r>
            <w:proofErr w:type="spellStart"/>
            <w:r w:rsidR="00E200B8" w:rsidRPr="00FD3398">
              <w:rPr>
                <w:rFonts w:ascii="Arial" w:eastAsia="Calibri" w:hAnsi="Arial" w:cs="Arial"/>
                <w:kern w:val="0"/>
                <w:sz w:val="24"/>
                <w:szCs w:val="24"/>
                <w14:ligatures w14:val="none"/>
              </w:rPr>
              <w:t>FCoE</w:t>
            </w:r>
            <w:proofErr w:type="spellEnd"/>
            <w:r w:rsidR="00E200B8" w:rsidRPr="00FD3398">
              <w:rPr>
                <w:rFonts w:ascii="Arial" w:eastAsia="Calibri" w:hAnsi="Arial" w:cs="Arial"/>
                <w:kern w:val="0"/>
                <w:sz w:val="24"/>
                <w:szCs w:val="24"/>
                <w14:ligatures w14:val="none"/>
              </w:rPr>
              <w:t xml:space="preserve"> wymagane są minimum 4 wolne wnęki gotowe na rozbudowę o kolejne moduły LAN/SAN.</w:t>
            </w:r>
          </w:p>
        </w:tc>
      </w:tr>
      <w:tr w:rsidR="0022110F" w:rsidRPr="00B5109F" w14:paraId="15DBEA8D" w14:textId="77777777" w:rsidTr="0033291A">
        <w:tc>
          <w:tcPr>
            <w:tcW w:w="547" w:type="dxa"/>
            <w:tcBorders>
              <w:top w:val="single" w:sz="4" w:space="0" w:color="auto"/>
              <w:left w:val="single" w:sz="12" w:space="0" w:color="auto"/>
              <w:bottom w:val="single" w:sz="6" w:space="0" w:color="auto"/>
              <w:right w:val="single" w:sz="6" w:space="0" w:color="auto"/>
            </w:tcBorders>
          </w:tcPr>
          <w:p w14:paraId="7665E40F" w14:textId="47BBCF3D" w:rsidR="006064C2" w:rsidRPr="00FD3398" w:rsidRDefault="006064C2"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4" w:space="0" w:color="auto"/>
              <w:left w:val="single" w:sz="6" w:space="0" w:color="auto"/>
              <w:bottom w:val="single" w:sz="6" w:space="0" w:color="auto"/>
              <w:right w:val="single" w:sz="6" w:space="0" w:color="auto"/>
            </w:tcBorders>
          </w:tcPr>
          <w:p w14:paraId="3DEB0232" w14:textId="77777777" w:rsidR="006064C2" w:rsidRPr="00FD3398" w:rsidRDefault="006064C2">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Chłodzenie</w:t>
            </w:r>
          </w:p>
        </w:tc>
        <w:tc>
          <w:tcPr>
            <w:tcW w:w="6368" w:type="dxa"/>
            <w:tcBorders>
              <w:top w:val="single" w:sz="4" w:space="0" w:color="auto"/>
              <w:left w:val="single" w:sz="6" w:space="0" w:color="auto"/>
              <w:bottom w:val="single" w:sz="6" w:space="0" w:color="auto"/>
              <w:right w:val="single" w:sz="12" w:space="0" w:color="auto"/>
            </w:tcBorders>
          </w:tcPr>
          <w:p w14:paraId="7BBFFD9F" w14:textId="300805EE" w:rsidR="006064C2" w:rsidRPr="00FD3398" w:rsidRDefault="006064C2" w:rsidP="0008169B">
            <w:pPr>
              <w:pStyle w:val="Akapitzlist"/>
              <w:numPr>
                <w:ilvl w:val="0"/>
                <w:numId w:val="12"/>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Każda obudowa na serwery musi być wyposażona w komplet</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redundantnych wentylatorów (typ hot plug, czyli możliwość</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wymiany podczas pracy urządzenia) zapewniających chłodzenie</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dla maksymalnej liczby serwerów i urządzeń I/O</w:t>
            </w:r>
            <w:r w:rsidR="009E6DDB"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zainstalowanych w obudowie blade.</w:t>
            </w:r>
          </w:p>
          <w:p w14:paraId="0F71A537" w14:textId="413A71C1" w:rsidR="006064C2" w:rsidRPr="00FD3398" w:rsidRDefault="006064C2" w:rsidP="0008169B">
            <w:pPr>
              <w:pStyle w:val="Akapitzlist"/>
              <w:numPr>
                <w:ilvl w:val="0"/>
                <w:numId w:val="12"/>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Wentylatory niezależne od zasilaczy, wymiana wentylatora</w:t>
            </w:r>
            <w:r w:rsidR="008E64B0" w:rsidRPr="00FD3398">
              <w:rPr>
                <w:rFonts w:ascii="Arial" w:eastAsia="Calibri" w:hAnsi="Arial" w:cs="Arial"/>
                <w:kern w:val="0"/>
                <w:sz w:val="24"/>
                <w:szCs w:val="24"/>
                <w14:ligatures w14:val="none"/>
              </w:rPr>
              <w:t xml:space="preserve"> (wentylatorów) nie może powodować konieczności wyjęcia zasilacza (zasilaczy).</w:t>
            </w:r>
          </w:p>
        </w:tc>
      </w:tr>
      <w:tr w:rsidR="008E64B0" w:rsidRPr="00B5109F" w14:paraId="7446AD90" w14:textId="77777777" w:rsidTr="0033291A">
        <w:tc>
          <w:tcPr>
            <w:tcW w:w="547" w:type="dxa"/>
            <w:tcBorders>
              <w:top w:val="single" w:sz="6" w:space="0" w:color="auto"/>
              <w:left w:val="single" w:sz="12" w:space="0" w:color="auto"/>
              <w:bottom w:val="single" w:sz="6" w:space="0" w:color="auto"/>
              <w:right w:val="single" w:sz="6" w:space="0" w:color="auto"/>
            </w:tcBorders>
          </w:tcPr>
          <w:p w14:paraId="26EA4845" w14:textId="0B0A2F21" w:rsidR="008E64B0" w:rsidRPr="00FD3398" w:rsidRDefault="008E64B0"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6" w:space="0" w:color="auto"/>
              <w:right w:val="single" w:sz="6" w:space="0" w:color="auto"/>
            </w:tcBorders>
          </w:tcPr>
          <w:p w14:paraId="04E3455A" w14:textId="60E9B87A" w:rsidR="008E64B0" w:rsidRPr="00FD3398" w:rsidRDefault="008E64B0">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Zasilanie</w:t>
            </w:r>
          </w:p>
        </w:tc>
        <w:tc>
          <w:tcPr>
            <w:tcW w:w="6368" w:type="dxa"/>
            <w:tcBorders>
              <w:top w:val="single" w:sz="6" w:space="0" w:color="auto"/>
              <w:left w:val="single" w:sz="6" w:space="0" w:color="auto"/>
              <w:bottom w:val="single" w:sz="6" w:space="0" w:color="auto"/>
              <w:right w:val="single" w:sz="12" w:space="0" w:color="auto"/>
            </w:tcBorders>
          </w:tcPr>
          <w:p w14:paraId="172C983A" w14:textId="77777777" w:rsidR="008E64B0" w:rsidRPr="00FD3398" w:rsidRDefault="008E64B0" w:rsidP="0008169B">
            <w:pPr>
              <w:pStyle w:val="Akapitzlist"/>
              <w:numPr>
                <w:ilvl w:val="0"/>
                <w:numId w:val="13"/>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Wyposażona w komplet zasilaczy redundantnych typu Hot Plug. System zasilania musi pracować w trybie redundancji N+N, wymagane ciągłe dostarczenie mocy niezbędnej do zasilenia maksymalnej liczby serwerów i urządzeń I/O zainstalowanych w obudowie.</w:t>
            </w:r>
          </w:p>
          <w:p w14:paraId="1DE84FB6" w14:textId="03C2F33D" w:rsidR="008E64B0" w:rsidRPr="00FD3398" w:rsidRDefault="008E64B0" w:rsidP="0008169B">
            <w:pPr>
              <w:pStyle w:val="Akapitzlist"/>
              <w:numPr>
                <w:ilvl w:val="0"/>
                <w:numId w:val="13"/>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Procesory serwerów muszą pracować z nominalną, maksymalną częstotliwością. Infrastruktura przystosowana do zasilania jednofazowego</w:t>
            </w:r>
          </w:p>
        </w:tc>
      </w:tr>
      <w:tr w:rsidR="008E64B0" w:rsidRPr="00B5109F" w14:paraId="7F555124" w14:textId="77777777" w:rsidTr="0033291A">
        <w:tc>
          <w:tcPr>
            <w:tcW w:w="547" w:type="dxa"/>
            <w:tcBorders>
              <w:top w:val="single" w:sz="6" w:space="0" w:color="auto"/>
              <w:left w:val="single" w:sz="12" w:space="0" w:color="auto"/>
              <w:bottom w:val="single" w:sz="6" w:space="0" w:color="auto"/>
              <w:right w:val="single" w:sz="6" w:space="0" w:color="auto"/>
            </w:tcBorders>
          </w:tcPr>
          <w:p w14:paraId="3F6BD8DA" w14:textId="20BEC1E8" w:rsidR="008E64B0" w:rsidRPr="00FD3398" w:rsidRDefault="008E64B0"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6" w:space="0" w:color="auto"/>
              <w:right w:val="single" w:sz="6" w:space="0" w:color="auto"/>
            </w:tcBorders>
          </w:tcPr>
          <w:p w14:paraId="276AFC36" w14:textId="0F324111" w:rsidR="008E64B0" w:rsidRPr="00FD3398" w:rsidRDefault="008E64B0">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Moduły zarządzające</w:t>
            </w:r>
          </w:p>
        </w:tc>
        <w:tc>
          <w:tcPr>
            <w:tcW w:w="6368" w:type="dxa"/>
            <w:tcBorders>
              <w:top w:val="single" w:sz="6" w:space="0" w:color="auto"/>
              <w:left w:val="single" w:sz="6" w:space="0" w:color="auto"/>
              <w:bottom w:val="single" w:sz="6" w:space="0" w:color="auto"/>
              <w:right w:val="single" w:sz="12" w:space="0" w:color="auto"/>
            </w:tcBorders>
          </w:tcPr>
          <w:p w14:paraId="4E5A755D" w14:textId="5E2ACBEB" w:rsidR="008E64B0" w:rsidRPr="00FD3398" w:rsidRDefault="008E64B0" w:rsidP="0008169B">
            <w:pPr>
              <w:pStyle w:val="Akapitzlist"/>
              <w:numPr>
                <w:ilvl w:val="0"/>
                <w:numId w:val="14"/>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Każda obudowa musi posiadać dwa redundantne, sprzętowe moduły zarządzające, moduły typu Hot Plug</w:t>
            </w:r>
          </w:p>
        </w:tc>
      </w:tr>
      <w:tr w:rsidR="008E64B0" w:rsidRPr="00B5109F" w14:paraId="117DEF20" w14:textId="77777777" w:rsidTr="0033291A">
        <w:tc>
          <w:tcPr>
            <w:tcW w:w="547" w:type="dxa"/>
            <w:tcBorders>
              <w:top w:val="single" w:sz="6" w:space="0" w:color="auto"/>
              <w:left w:val="single" w:sz="12" w:space="0" w:color="auto"/>
              <w:bottom w:val="single" w:sz="6" w:space="0" w:color="auto"/>
              <w:right w:val="single" w:sz="6" w:space="0" w:color="auto"/>
            </w:tcBorders>
          </w:tcPr>
          <w:p w14:paraId="737D624B" w14:textId="5121AE9B" w:rsidR="008E64B0" w:rsidRPr="00FD3398" w:rsidRDefault="008E64B0"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6" w:space="0" w:color="auto"/>
              <w:right w:val="single" w:sz="6" w:space="0" w:color="auto"/>
            </w:tcBorders>
          </w:tcPr>
          <w:p w14:paraId="2C30C850" w14:textId="5087F53E" w:rsidR="008E64B0" w:rsidRPr="00FD3398" w:rsidRDefault="008E64B0">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Kompatybilność</w:t>
            </w:r>
          </w:p>
        </w:tc>
        <w:tc>
          <w:tcPr>
            <w:tcW w:w="6368" w:type="dxa"/>
            <w:tcBorders>
              <w:top w:val="single" w:sz="6" w:space="0" w:color="auto"/>
              <w:left w:val="single" w:sz="6" w:space="0" w:color="auto"/>
              <w:bottom w:val="single" w:sz="6" w:space="0" w:color="auto"/>
              <w:right w:val="single" w:sz="12" w:space="0" w:color="auto"/>
            </w:tcBorders>
          </w:tcPr>
          <w:p w14:paraId="2CD585F5" w14:textId="77777777" w:rsidR="008E64B0" w:rsidRPr="00FD3398" w:rsidRDefault="008E64B0" w:rsidP="0008169B">
            <w:pPr>
              <w:pStyle w:val="Akapitzlist"/>
              <w:numPr>
                <w:ilvl w:val="0"/>
                <w:numId w:val="15"/>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Elementy stanowiące rozbudowę muszą być fabrycznie nowe, wyprodukowane nie wcześniej niż 6 miesięcy przed datą dostarczenia do Zamawiającego i pochodzić z oficjalnego kanału dystrybucyjnego producenta na rynek polski.</w:t>
            </w:r>
          </w:p>
          <w:p w14:paraId="668182A5" w14:textId="342C897B" w:rsidR="008E64B0" w:rsidRPr="00FD3398" w:rsidRDefault="008E64B0" w:rsidP="0008169B">
            <w:pPr>
              <w:pStyle w:val="Akapitzlist"/>
              <w:numPr>
                <w:ilvl w:val="0"/>
                <w:numId w:val="15"/>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Zamawiający zastrzega sobie, aby Wykonawca na żądanie Zamawiającego przedłożył oświadczenie producenta oferowanego</w:t>
            </w:r>
            <w:r w:rsidR="00B86E78"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sprzętu, potwierdzające pochodzenie sprzętu z autoryzowanego kanału sprzedaży.</w:t>
            </w:r>
          </w:p>
        </w:tc>
      </w:tr>
      <w:tr w:rsidR="008E64B0" w:rsidRPr="00B5109F" w14:paraId="73BE05DC" w14:textId="77777777" w:rsidTr="0033291A">
        <w:tc>
          <w:tcPr>
            <w:tcW w:w="547" w:type="dxa"/>
            <w:tcBorders>
              <w:top w:val="single" w:sz="6" w:space="0" w:color="auto"/>
              <w:left w:val="single" w:sz="12" w:space="0" w:color="auto"/>
              <w:bottom w:val="single" w:sz="6" w:space="0" w:color="auto"/>
              <w:right w:val="single" w:sz="6" w:space="0" w:color="auto"/>
            </w:tcBorders>
          </w:tcPr>
          <w:p w14:paraId="3B1E0678" w14:textId="37A84779" w:rsidR="008E64B0" w:rsidRPr="00FD3398" w:rsidRDefault="008E64B0"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6" w:space="0" w:color="auto"/>
              <w:right w:val="single" w:sz="6" w:space="0" w:color="auto"/>
            </w:tcBorders>
          </w:tcPr>
          <w:p w14:paraId="09EAF31A" w14:textId="06C4953B" w:rsidR="008E64B0" w:rsidRPr="00FD3398" w:rsidRDefault="008E64B0">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Zarządzanie</w:t>
            </w:r>
          </w:p>
        </w:tc>
        <w:tc>
          <w:tcPr>
            <w:tcW w:w="6368" w:type="dxa"/>
            <w:tcBorders>
              <w:top w:val="single" w:sz="6" w:space="0" w:color="auto"/>
              <w:left w:val="single" w:sz="6" w:space="0" w:color="auto"/>
              <w:bottom w:val="single" w:sz="6" w:space="0" w:color="auto"/>
              <w:right w:val="single" w:sz="12" w:space="0" w:color="auto"/>
            </w:tcBorders>
          </w:tcPr>
          <w:p w14:paraId="6249D0B4" w14:textId="6C052334" w:rsidR="008E64B0" w:rsidRPr="00FD3398" w:rsidRDefault="008E64B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Zamawiający obecnie wykorzystuje infrastrukturę HPE </w:t>
            </w:r>
            <w:r w:rsidR="00215F4F" w:rsidRPr="00FD3398">
              <w:rPr>
                <w:rFonts w:ascii="Arial" w:eastAsia="Calibri" w:hAnsi="Arial" w:cs="Arial"/>
                <w:kern w:val="0"/>
                <w:sz w:val="24"/>
                <w:szCs w:val="24"/>
                <w14:ligatures w14:val="none"/>
              </w:rPr>
              <w:t>Synergy 12000</w:t>
            </w:r>
            <w:r w:rsidRPr="00FD3398">
              <w:rPr>
                <w:rFonts w:ascii="Arial" w:eastAsia="Calibri" w:hAnsi="Arial" w:cs="Arial"/>
                <w:kern w:val="0"/>
                <w:sz w:val="24"/>
                <w:szCs w:val="24"/>
                <w14:ligatures w14:val="none"/>
              </w:rPr>
              <w:t>, zarządza nią i monitoruje za pomocą oprogramowania HPE OneView</w:t>
            </w:r>
            <w:r w:rsidR="00215F4F" w:rsidRPr="00FD3398">
              <w:rPr>
                <w:rFonts w:ascii="Arial" w:eastAsia="Calibri" w:hAnsi="Arial" w:cs="Arial"/>
                <w:kern w:val="0"/>
                <w:sz w:val="24"/>
                <w:szCs w:val="24"/>
                <w14:ligatures w14:val="none"/>
              </w:rPr>
              <w:t xml:space="preserve"> oraz HPE OneView Global Dashboard</w:t>
            </w:r>
            <w:r w:rsidRPr="00FD3398">
              <w:rPr>
                <w:rFonts w:ascii="Arial" w:eastAsia="Calibri" w:hAnsi="Arial" w:cs="Arial"/>
                <w:kern w:val="0"/>
                <w:sz w:val="24"/>
                <w:szCs w:val="24"/>
                <w14:ligatures w14:val="none"/>
              </w:rPr>
              <w:t>.</w:t>
            </w:r>
          </w:p>
          <w:p w14:paraId="44D86EB2" w14:textId="2C980D37" w:rsidR="008E64B0" w:rsidRPr="00FD3398" w:rsidRDefault="008E64B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Zamawiający wymaga dostarczenia i wykonania integracji narzędzi do zarządzania posiadanej i nowej infrastruktury serwerowej, poprzez centralny system zarządzania HPE OneView Global Dashboard lub równoważne.</w:t>
            </w:r>
          </w:p>
          <w:p w14:paraId="1D4A0AA7" w14:textId="77777777" w:rsidR="008E64B0" w:rsidRPr="00FD3398" w:rsidRDefault="008E64B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Integracja polega na wykonaniu instalacji nowego systemu do zarządzania posiadanymi i nowo dostarczanymi serwerami oraz wykonaniu tzw. nakładki w formie uruchomienia HPE OneView Global Dashboard lub równoważne i zarządzania całością infrastruktury za pomocą tego narzędzia.</w:t>
            </w:r>
          </w:p>
          <w:p w14:paraId="3C876CB4" w14:textId="77777777" w:rsidR="008E64B0" w:rsidRPr="00FD3398" w:rsidRDefault="008E64B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Oprogramowanie HPE OneView Global Dashboard lub równoważne musi:</w:t>
            </w:r>
          </w:p>
          <w:p w14:paraId="32620C89"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Udostępniać łącza do urządzeń HPE OneView;</w:t>
            </w:r>
          </w:p>
          <w:p w14:paraId="7687A0C2"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Zapewnić dostęp do zarządzania całością infrastruktury serwerowej poprzez jednokrotne logowanie;</w:t>
            </w:r>
          </w:p>
          <w:p w14:paraId="4C2F2D22" w14:textId="2244EACA"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Zapewnić </w:t>
            </w:r>
            <w:r w:rsidR="00215F4F" w:rsidRPr="00FD3398">
              <w:rPr>
                <w:rFonts w:ascii="Arial" w:eastAsia="Calibri" w:hAnsi="Arial" w:cs="Arial"/>
                <w:kern w:val="0"/>
                <w:sz w:val="24"/>
                <w:szCs w:val="24"/>
                <w14:ligatures w14:val="none"/>
              </w:rPr>
              <w:t xml:space="preserve">również </w:t>
            </w:r>
            <w:r w:rsidRPr="00FD3398">
              <w:rPr>
                <w:rFonts w:ascii="Arial" w:eastAsia="Calibri" w:hAnsi="Arial" w:cs="Arial"/>
                <w:kern w:val="0"/>
                <w:sz w:val="24"/>
                <w:szCs w:val="24"/>
                <w14:ligatures w14:val="none"/>
              </w:rPr>
              <w:t xml:space="preserve">monitorowanie i zarządzanie serwerami typu HPE </w:t>
            </w:r>
            <w:proofErr w:type="spellStart"/>
            <w:r w:rsidRPr="00FD3398">
              <w:rPr>
                <w:rFonts w:ascii="Arial" w:eastAsia="Calibri" w:hAnsi="Arial" w:cs="Arial"/>
                <w:kern w:val="0"/>
                <w:sz w:val="24"/>
                <w:szCs w:val="24"/>
                <w14:ligatures w14:val="none"/>
              </w:rPr>
              <w:t>Proliant</w:t>
            </w:r>
            <w:proofErr w:type="spellEnd"/>
            <w:r w:rsidRPr="00FD3398">
              <w:rPr>
                <w:rFonts w:ascii="Arial" w:eastAsia="Calibri" w:hAnsi="Arial" w:cs="Arial"/>
                <w:kern w:val="0"/>
                <w:sz w:val="24"/>
                <w:szCs w:val="24"/>
                <w14:ligatures w14:val="none"/>
              </w:rPr>
              <w:t xml:space="preserve"> blade i </w:t>
            </w:r>
            <w:proofErr w:type="spellStart"/>
            <w:r w:rsidRPr="00FD3398">
              <w:rPr>
                <w:rFonts w:ascii="Arial" w:eastAsia="Calibri" w:hAnsi="Arial" w:cs="Arial"/>
                <w:kern w:val="0"/>
                <w:sz w:val="24"/>
                <w:szCs w:val="24"/>
                <w14:ligatures w14:val="none"/>
              </w:rPr>
              <w:t>rack</w:t>
            </w:r>
            <w:proofErr w:type="spellEnd"/>
            <w:r w:rsidRPr="00FD3398">
              <w:rPr>
                <w:rFonts w:ascii="Arial" w:eastAsia="Calibri" w:hAnsi="Arial" w:cs="Arial"/>
                <w:kern w:val="0"/>
                <w:sz w:val="24"/>
                <w:szCs w:val="24"/>
                <w14:ligatures w14:val="none"/>
              </w:rPr>
              <w:t>, obudowami HPE 7000, macierzami HPE 3PAR;</w:t>
            </w:r>
          </w:p>
          <w:p w14:paraId="48E35887"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Zapewnić ujednolicony widok stanu serwerów HPE, profili, obudów, ramek z nowymi serwerami i dyskami;</w:t>
            </w:r>
          </w:p>
          <w:p w14:paraId="54C81174"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Zapewnić ujednolicony widok w wielu wersjach i instancjach HPE OneView i HPE Synergy Composer;</w:t>
            </w:r>
          </w:p>
          <w:p w14:paraId="1A5263E3"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Być zgodny ze wszystkimi wersjami HPE OneView;</w:t>
            </w:r>
          </w:p>
          <w:p w14:paraId="65CEBFA6"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Agregować krytyczne działania wielu urządzeń w jednym pliku danych, aby szybko identyfikować problemy występujące na monitorowanym sprzęcie, w celu uzyskania szybkiego rozwiązania występujących problemów i awarii sprzętu;</w:t>
            </w:r>
          </w:p>
          <w:p w14:paraId="6563D9B3" w14:textId="77777777" w:rsidR="00215F4F"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Generować raporty dla monitorowanych zasobów w celu przeglądania inwentaryzacji, w szczególności wersji oprogramowania układowego (firmware);</w:t>
            </w:r>
          </w:p>
          <w:p w14:paraId="266912B7" w14:textId="61B12EF8"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Generowanie raportów o licencjach;</w:t>
            </w:r>
          </w:p>
          <w:p w14:paraId="27FFCB87" w14:textId="700B6B98"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Pokazywanie zduplikowanych numerów seryjnych, adresów MAC, identyfikatorów WWID.</w:t>
            </w:r>
          </w:p>
          <w:p w14:paraId="1B2FB3BE" w14:textId="79483E7D" w:rsidR="008E64B0" w:rsidRPr="00FD3398" w:rsidRDefault="008E64B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Wymagania stawiane oprogramowaniu HPE OneView Global Dashboard lub równoważne dla nowych obudów i posiadanych </w:t>
            </w:r>
            <w:r w:rsidR="00A05F10" w:rsidRPr="00FD3398">
              <w:rPr>
                <w:rFonts w:ascii="Arial" w:eastAsia="Calibri" w:hAnsi="Arial" w:cs="Arial"/>
                <w:kern w:val="0"/>
                <w:sz w:val="24"/>
                <w:szCs w:val="24"/>
                <w14:ligatures w14:val="none"/>
              </w:rPr>
              <w:t xml:space="preserve">HPE Synergy oraz </w:t>
            </w:r>
            <w:r w:rsidRPr="00FD3398">
              <w:rPr>
                <w:rFonts w:ascii="Arial" w:eastAsia="Calibri" w:hAnsi="Arial" w:cs="Arial"/>
                <w:kern w:val="0"/>
                <w:sz w:val="24"/>
                <w:szCs w:val="24"/>
                <w14:ligatures w14:val="none"/>
              </w:rPr>
              <w:t>c7000 są następujące:</w:t>
            </w:r>
          </w:p>
          <w:p w14:paraId="100F2E42"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wsparcie serwisowe producenta oferowanej infrastruktury serwerów kasetowych na czas zgodny z czasem wsparcia serwisowego infrastruktury;</w:t>
            </w:r>
          </w:p>
          <w:p w14:paraId="316E503A"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prezentacja (spójna z HPE OneView):</w:t>
            </w:r>
          </w:p>
          <w:p w14:paraId="70088806" w14:textId="77777777" w:rsidR="008E64B0" w:rsidRPr="00FD3398" w:rsidRDefault="008E64B0" w:rsidP="0008169B">
            <w:pPr>
              <w:pStyle w:val="Akapitzlist"/>
              <w:numPr>
                <w:ilvl w:val="2"/>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nazwy i ogólnego stanu zdrowia każdego serwera,</w:t>
            </w:r>
          </w:p>
          <w:p w14:paraId="1F27F61F" w14:textId="77777777" w:rsidR="008E64B0" w:rsidRPr="00FD3398" w:rsidRDefault="008E64B0" w:rsidP="0008169B">
            <w:pPr>
              <w:pStyle w:val="Akapitzlist"/>
              <w:numPr>
                <w:ilvl w:val="2"/>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obudowy i komponentu obudowy; </w:t>
            </w:r>
          </w:p>
          <w:p w14:paraId="0AC6B1F3" w14:textId="7F050000" w:rsidR="008E64B0" w:rsidRPr="00FD3398" w:rsidRDefault="008E64B0" w:rsidP="0008169B">
            <w:pPr>
              <w:pStyle w:val="Akapitzlist"/>
              <w:numPr>
                <w:ilvl w:val="2"/>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numeru seryjnego i UUID </w:t>
            </w:r>
            <w:proofErr w:type="spellStart"/>
            <w:r w:rsidRPr="00FD3398">
              <w:rPr>
                <w:rFonts w:ascii="Arial" w:eastAsia="Calibri" w:hAnsi="Arial" w:cs="Arial"/>
                <w:kern w:val="0"/>
                <w:sz w:val="24"/>
                <w:szCs w:val="24"/>
                <w14:ligatures w14:val="none"/>
              </w:rPr>
              <w:t>serwera;liczby</w:t>
            </w:r>
            <w:proofErr w:type="spellEnd"/>
            <w:r w:rsidRPr="00FD3398">
              <w:rPr>
                <w:rFonts w:ascii="Arial" w:eastAsia="Calibri" w:hAnsi="Arial" w:cs="Arial"/>
                <w:kern w:val="0"/>
                <w:sz w:val="24"/>
                <w:szCs w:val="24"/>
                <w14:ligatures w14:val="none"/>
              </w:rPr>
              <w:t xml:space="preserve"> wentylatorów i</w:t>
            </w:r>
            <w:r w:rsidR="00A05F10"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zasilaczy obudowy;</w:t>
            </w:r>
          </w:p>
          <w:p w14:paraId="5F13163E" w14:textId="2727C58F" w:rsidR="008E64B0" w:rsidRPr="00FD3398" w:rsidRDefault="008E64B0" w:rsidP="0008169B">
            <w:pPr>
              <w:pStyle w:val="Akapitzlist"/>
              <w:numPr>
                <w:ilvl w:val="2"/>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adres</w:t>
            </w:r>
            <w:r w:rsidRPr="00FD3398">
              <w:rPr>
                <w:rFonts w:ascii="Arial" w:eastAsia="Calibri" w:hAnsi="Arial" w:cs="Arial"/>
                <w:kern w:val="0"/>
                <w:sz w:val="24"/>
                <w:szCs w:val="24"/>
                <w:lang w:eastAsia="en-US"/>
                <w14:ligatures w14:val="none"/>
              </w:rPr>
              <w:t xml:space="preserve"> IP</w:t>
            </w:r>
            <w:r w:rsidRPr="00FD3398">
              <w:rPr>
                <w:rFonts w:ascii="Arial" w:eastAsia="Calibri" w:hAnsi="Arial" w:cs="Arial"/>
                <w:kern w:val="0"/>
                <w:sz w:val="24"/>
                <w:szCs w:val="24"/>
                <w14:ligatures w14:val="none"/>
              </w:rPr>
              <w:t xml:space="preserve"> modułu</w:t>
            </w:r>
            <w:r w:rsidRPr="00FD3398">
              <w:rPr>
                <w:rFonts w:ascii="Arial" w:eastAsia="Calibri" w:hAnsi="Arial" w:cs="Arial"/>
                <w:kern w:val="0"/>
                <w:sz w:val="24"/>
                <w:szCs w:val="24"/>
                <w:lang w:eastAsia="en-US"/>
                <w14:ligatures w14:val="none"/>
              </w:rPr>
              <w:t xml:space="preserve"> </w:t>
            </w:r>
            <w:proofErr w:type="spellStart"/>
            <w:r w:rsidRPr="00FD3398">
              <w:rPr>
                <w:rFonts w:ascii="Arial" w:eastAsia="Calibri" w:hAnsi="Arial" w:cs="Arial"/>
                <w:kern w:val="0"/>
                <w:sz w:val="24"/>
                <w:szCs w:val="24"/>
                <w:lang w:eastAsia="en-US"/>
                <w14:ligatures w14:val="none"/>
              </w:rPr>
              <w:t>Onboard</w:t>
            </w:r>
            <w:proofErr w:type="spellEnd"/>
            <w:r w:rsidRPr="00FD3398">
              <w:rPr>
                <w:rFonts w:ascii="Arial" w:eastAsia="Calibri" w:hAnsi="Arial" w:cs="Arial"/>
                <w:kern w:val="0"/>
                <w:sz w:val="24"/>
                <w:szCs w:val="24"/>
                <w14:ligatures w14:val="none"/>
              </w:rPr>
              <w:t xml:space="preserve"> Administrator (jeśli dotyczy też nowych obudów).</w:t>
            </w:r>
          </w:p>
          <w:p w14:paraId="0ED2A3D7" w14:textId="29659EE6" w:rsidR="008E64B0" w:rsidRPr="00FD3398" w:rsidRDefault="00A05F1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P</w:t>
            </w:r>
            <w:r w:rsidR="008E64B0" w:rsidRPr="00FD3398">
              <w:rPr>
                <w:rFonts w:ascii="Arial" w:eastAsia="Calibri" w:hAnsi="Arial" w:cs="Arial"/>
                <w:kern w:val="0"/>
                <w:sz w:val="24"/>
                <w:szCs w:val="24"/>
                <w14:ligatures w14:val="none"/>
              </w:rPr>
              <w:t>rzełączenie się do interfejsu OneView bez konieczności podawania poświadczeń (tzw. tryb Single</w:t>
            </w:r>
            <w:r w:rsidR="008E64B0" w:rsidRPr="00FD3398">
              <w:rPr>
                <w:rFonts w:ascii="Arial" w:eastAsia="Calibri" w:hAnsi="Arial" w:cs="Arial"/>
                <w:kern w:val="0"/>
                <w:sz w:val="24"/>
                <w:szCs w:val="24"/>
                <w:lang w:eastAsia="en-US"/>
                <w14:ligatures w14:val="none"/>
              </w:rPr>
              <w:t xml:space="preserve"> </w:t>
            </w:r>
            <w:proofErr w:type="spellStart"/>
            <w:r w:rsidR="008E64B0" w:rsidRPr="00FD3398">
              <w:rPr>
                <w:rFonts w:ascii="Arial" w:eastAsia="Calibri" w:hAnsi="Arial" w:cs="Arial"/>
                <w:kern w:val="0"/>
                <w:sz w:val="24"/>
                <w:szCs w:val="24"/>
                <w:lang w:eastAsia="en-US"/>
                <w14:ligatures w14:val="none"/>
              </w:rPr>
              <w:t>Sign</w:t>
            </w:r>
            <w:proofErr w:type="spellEnd"/>
            <w:r w:rsidR="008E64B0" w:rsidRPr="00FD3398">
              <w:rPr>
                <w:rFonts w:ascii="Arial" w:eastAsia="Calibri" w:hAnsi="Arial" w:cs="Arial"/>
                <w:kern w:val="0"/>
                <w:sz w:val="24"/>
                <w:szCs w:val="24"/>
                <w14:ligatures w14:val="none"/>
              </w:rPr>
              <w:t xml:space="preserve"> On);</w:t>
            </w:r>
          </w:p>
          <w:p w14:paraId="1AAC1199" w14:textId="64D38823" w:rsidR="008E64B0" w:rsidRPr="00FD3398" w:rsidRDefault="00A05F10"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P</w:t>
            </w:r>
            <w:r w:rsidR="008E64B0" w:rsidRPr="00FD3398">
              <w:rPr>
                <w:rFonts w:ascii="Arial" w:eastAsia="Calibri" w:hAnsi="Arial" w:cs="Arial"/>
                <w:kern w:val="0"/>
                <w:sz w:val="24"/>
                <w:szCs w:val="24"/>
                <w14:ligatures w14:val="none"/>
              </w:rPr>
              <w:t xml:space="preserve">rezentacja wszystkich profili z informacjami takimi jak: </w:t>
            </w:r>
          </w:p>
          <w:p w14:paraId="59C28478"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nazwa profilu serwera;</w:t>
            </w:r>
          </w:p>
          <w:p w14:paraId="0E837156"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nazwa serwera;</w:t>
            </w:r>
          </w:p>
          <w:p w14:paraId="6A5CA2E9"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UUID, typ adresów MAC i WWN;</w:t>
            </w:r>
          </w:p>
          <w:p w14:paraId="2E3DFF76"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poziom zainstalowanego oprogramowania układowego;</w:t>
            </w:r>
          </w:p>
          <w:p w14:paraId="6F6AABEA" w14:textId="77777777" w:rsidR="008E64B0" w:rsidRPr="00FD3398" w:rsidRDefault="008E64B0" w:rsidP="0008169B">
            <w:pPr>
              <w:pStyle w:val="Akapitzlist"/>
              <w:numPr>
                <w:ilvl w:val="1"/>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zestawienie interfejsów sieciowych z adresami MAC i WWN.</w:t>
            </w:r>
          </w:p>
          <w:p w14:paraId="251C01BE" w14:textId="6B1B5972" w:rsidR="008E64B0" w:rsidRPr="00FD3398" w:rsidRDefault="004358D6"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A</w:t>
            </w:r>
            <w:r w:rsidR="008E64B0" w:rsidRPr="00FD3398">
              <w:rPr>
                <w:rFonts w:ascii="Arial" w:eastAsia="Calibri" w:hAnsi="Arial" w:cs="Arial"/>
                <w:kern w:val="0"/>
                <w:sz w:val="24"/>
                <w:szCs w:val="24"/>
                <w14:ligatures w14:val="none"/>
              </w:rPr>
              <w:t>plikacja musi mieć wbudowany system automatycznego</w:t>
            </w:r>
            <w:r w:rsidRPr="00FD3398">
              <w:rPr>
                <w:rFonts w:ascii="Arial" w:eastAsia="Calibri" w:hAnsi="Arial" w:cs="Arial"/>
                <w:kern w:val="0"/>
                <w:sz w:val="24"/>
                <w:szCs w:val="24"/>
                <w14:ligatures w14:val="none"/>
              </w:rPr>
              <w:t xml:space="preserve"> </w:t>
            </w:r>
            <w:proofErr w:type="spellStart"/>
            <w:r w:rsidR="008E64B0" w:rsidRPr="00FD3398">
              <w:rPr>
                <w:rFonts w:ascii="Arial" w:eastAsia="Calibri" w:hAnsi="Arial" w:cs="Arial"/>
                <w:kern w:val="0"/>
                <w:sz w:val="24"/>
                <w:szCs w:val="24"/>
                <w:lang w:eastAsia="en-US"/>
                <w14:ligatures w14:val="none"/>
              </w:rPr>
              <w:t>backup'u</w:t>
            </w:r>
            <w:proofErr w:type="spellEnd"/>
            <w:r w:rsidR="008E64B0" w:rsidRPr="00FD3398">
              <w:rPr>
                <w:rFonts w:ascii="Arial" w:eastAsia="Calibri" w:hAnsi="Arial" w:cs="Arial"/>
                <w:kern w:val="0"/>
                <w:sz w:val="24"/>
                <w:szCs w:val="24"/>
                <w14:ligatures w14:val="none"/>
              </w:rPr>
              <w:t xml:space="preserve"> z wysyłaniem kopii zapasowej do zdalnego zasobu po</w:t>
            </w:r>
            <w:r w:rsidRPr="00FD3398">
              <w:rPr>
                <w:rFonts w:ascii="Arial" w:eastAsia="Calibri" w:hAnsi="Arial" w:cs="Arial"/>
                <w:kern w:val="0"/>
                <w:sz w:val="24"/>
                <w:szCs w:val="24"/>
                <w14:ligatures w14:val="none"/>
              </w:rPr>
              <w:t xml:space="preserve"> </w:t>
            </w:r>
            <w:r w:rsidR="008E64B0" w:rsidRPr="00FD3398">
              <w:rPr>
                <w:rFonts w:ascii="Arial" w:eastAsia="Calibri" w:hAnsi="Arial" w:cs="Arial"/>
                <w:kern w:val="0"/>
                <w:sz w:val="24"/>
                <w:szCs w:val="24"/>
                <w14:ligatures w14:val="none"/>
              </w:rPr>
              <w:t>protokole SCP lub SFTP;</w:t>
            </w:r>
          </w:p>
          <w:p w14:paraId="245C84EA" w14:textId="7BE10878" w:rsidR="008E64B0" w:rsidRPr="00FD3398" w:rsidRDefault="004358D6"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Z</w:t>
            </w:r>
            <w:r w:rsidR="008E64B0" w:rsidRPr="00FD3398">
              <w:rPr>
                <w:rFonts w:ascii="Arial" w:eastAsia="Calibri" w:hAnsi="Arial" w:cs="Arial"/>
                <w:kern w:val="0"/>
                <w:sz w:val="24"/>
                <w:szCs w:val="24"/>
                <w14:ligatures w14:val="none"/>
              </w:rPr>
              <w:t>estawienie informacji na temat gwarancji poszczególnych</w:t>
            </w:r>
            <w:r w:rsidRPr="00FD3398">
              <w:rPr>
                <w:rFonts w:ascii="Arial" w:eastAsia="Calibri" w:hAnsi="Arial" w:cs="Arial"/>
                <w:kern w:val="0"/>
                <w:sz w:val="24"/>
                <w:szCs w:val="24"/>
                <w14:ligatures w14:val="none"/>
              </w:rPr>
              <w:t xml:space="preserve"> </w:t>
            </w:r>
            <w:r w:rsidR="008E64B0" w:rsidRPr="00FD3398">
              <w:rPr>
                <w:rFonts w:ascii="Arial" w:eastAsia="Calibri" w:hAnsi="Arial" w:cs="Arial"/>
                <w:kern w:val="0"/>
                <w:sz w:val="24"/>
                <w:szCs w:val="24"/>
                <w14:ligatures w14:val="none"/>
              </w:rPr>
              <w:t>urządzeń - kiedy gwarancja się kończy dla danego urządzenia;</w:t>
            </w:r>
          </w:p>
          <w:p w14:paraId="7480C664" w14:textId="5FF8DC3D" w:rsidR="008E64B0" w:rsidRPr="00FD3398" w:rsidRDefault="004358D6"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A</w:t>
            </w:r>
            <w:r w:rsidR="008E64B0" w:rsidRPr="00FD3398">
              <w:rPr>
                <w:rFonts w:ascii="Arial" w:eastAsia="Calibri" w:hAnsi="Arial" w:cs="Arial"/>
                <w:kern w:val="0"/>
                <w:sz w:val="24"/>
                <w:szCs w:val="24"/>
                <w14:ligatures w14:val="none"/>
              </w:rPr>
              <w:t>plikacja musi integrować się z usługą katalogową Active</w:t>
            </w:r>
            <w:r w:rsidRPr="00FD3398">
              <w:rPr>
                <w:rFonts w:ascii="Arial" w:eastAsia="Calibri" w:hAnsi="Arial" w:cs="Arial"/>
                <w:kern w:val="0"/>
                <w:sz w:val="24"/>
                <w:szCs w:val="24"/>
                <w14:ligatures w14:val="none"/>
              </w:rPr>
              <w:t xml:space="preserve"> </w:t>
            </w:r>
            <w:r w:rsidR="008E64B0" w:rsidRPr="00FD3398">
              <w:rPr>
                <w:rFonts w:ascii="Arial" w:eastAsia="Calibri" w:hAnsi="Arial" w:cs="Arial"/>
                <w:kern w:val="0"/>
                <w:sz w:val="24"/>
                <w:szCs w:val="24"/>
                <w:lang w:val="en-US" w:eastAsia="en-US"/>
                <w14:ligatures w14:val="none"/>
              </w:rPr>
              <w:t>Directory</w:t>
            </w:r>
            <w:r w:rsidR="008E64B0" w:rsidRPr="00FD3398">
              <w:rPr>
                <w:rFonts w:ascii="Arial" w:eastAsia="Calibri" w:hAnsi="Arial" w:cs="Arial"/>
                <w:kern w:val="0"/>
                <w:sz w:val="24"/>
                <w:szCs w:val="24"/>
                <w14:ligatures w14:val="none"/>
              </w:rPr>
              <w:t xml:space="preserve"> posiadaną przez Zamawiającego;</w:t>
            </w:r>
          </w:p>
          <w:p w14:paraId="722B2F40" w14:textId="014A92DE" w:rsidR="008E64B0" w:rsidRPr="00FD3398" w:rsidRDefault="004358D6" w:rsidP="0008169B">
            <w:pPr>
              <w:pStyle w:val="Akapitzlist"/>
              <w:numPr>
                <w:ilvl w:val="0"/>
                <w:numId w:val="16"/>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D</w:t>
            </w:r>
            <w:r w:rsidR="008E64B0" w:rsidRPr="00FD3398">
              <w:rPr>
                <w:rFonts w:ascii="Arial" w:eastAsia="Calibri" w:hAnsi="Arial" w:cs="Arial"/>
                <w:kern w:val="0"/>
                <w:sz w:val="24"/>
                <w:szCs w:val="24"/>
                <w14:ligatures w14:val="none"/>
              </w:rPr>
              <w:t>odawanie instancji</w:t>
            </w:r>
            <w:r w:rsidR="008E64B0" w:rsidRPr="00FD3398">
              <w:rPr>
                <w:rFonts w:ascii="Arial" w:eastAsia="Calibri" w:hAnsi="Arial" w:cs="Arial"/>
                <w:kern w:val="0"/>
                <w:sz w:val="24"/>
                <w:szCs w:val="24"/>
                <w:lang w:eastAsia="en-US"/>
                <w14:ligatures w14:val="none"/>
              </w:rPr>
              <w:t xml:space="preserve"> OneView</w:t>
            </w:r>
            <w:r w:rsidR="008E64B0" w:rsidRPr="00FD3398">
              <w:rPr>
                <w:rFonts w:ascii="Arial" w:eastAsia="Calibri" w:hAnsi="Arial" w:cs="Arial"/>
                <w:kern w:val="0"/>
                <w:sz w:val="24"/>
                <w:szCs w:val="24"/>
                <w14:ligatures w14:val="none"/>
              </w:rPr>
              <w:t xml:space="preserve"> musi wspierać dwupoziomowe</w:t>
            </w:r>
            <w:r w:rsidRPr="00FD3398">
              <w:rPr>
                <w:rFonts w:ascii="Arial" w:eastAsia="Calibri" w:hAnsi="Arial" w:cs="Arial"/>
                <w:kern w:val="0"/>
                <w:sz w:val="24"/>
                <w:szCs w:val="24"/>
                <w14:ligatures w14:val="none"/>
              </w:rPr>
              <w:t xml:space="preserve"> </w:t>
            </w:r>
            <w:r w:rsidR="008E64B0" w:rsidRPr="00FD3398">
              <w:rPr>
                <w:rFonts w:ascii="Arial" w:eastAsia="Calibri" w:hAnsi="Arial" w:cs="Arial"/>
                <w:kern w:val="0"/>
                <w:sz w:val="24"/>
                <w:szCs w:val="24"/>
                <w14:ligatures w14:val="none"/>
              </w:rPr>
              <w:t>uwierzytelnianie</w:t>
            </w:r>
            <w:r w:rsidR="008E64B0" w:rsidRPr="00FD3398">
              <w:rPr>
                <w:rFonts w:ascii="Arial" w:eastAsia="Calibri" w:hAnsi="Arial" w:cs="Arial"/>
                <w:kern w:val="0"/>
                <w:sz w:val="24"/>
                <w:szCs w:val="24"/>
                <w:lang w:val="en-US" w:eastAsia="en-US"/>
                <w14:ligatures w14:val="none"/>
              </w:rPr>
              <w:t xml:space="preserve"> (two-factor</w:t>
            </w:r>
            <w:r w:rsidR="008E64B0" w:rsidRPr="00FD3398">
              <w:rPr>
                <w:rFonts w:ascii="Arial" w:eastAsia="Calibri" w:hAnsi="Arial" w:cs="Arial"/>
                <w:kern w:val="0"/>
                <w:sz w:val="24"/>
                <w:szCs w:val="24"/>
                <w14:ligatures w14:val="none"/>
              </w:rPr>
              <w:t xml:space="preserve"> login).</w:t>
            </w:r>
          </w:p>
          <w:p w14:paraId="157CE731" w14:textId="480060ED" w:rsidR="008E64B0" w:rsidRPr="00FD3398" w:rsidRDefault="008E64B0" w:rsidP="0008169B">
            <w:pPr>
              <w:pStyle w:val="Akapitzlist"/>
              <w:numPr>
                <w:ilvl w:val="0"/>
                <w:numId w:val="16"/>
              </w:numPr>
              <w:spacing w:after="0" w:line="276" w:lineRule="auto"/>
              <w:ind w:right="91"/>
              <w:rPr>
                <w:rFonts w:ascii="Arial" w:eastAsia="Calibri" w:hAnsi="Arial" w:cs="Arial"/>
                <w:kern w:val="0"/>
                <w:sz w:val="24"/>
                <w:szCs w:val="24"/>
                <w:lang w:eastAsia="en-US"/>
                <w14:ligatures w14:val="none"/>
              </w:rPr>
            </w:pPr>
            <w:r w:rsidRPr="00FD3398">
              <w:rPr>
                <w:rFonts w:ascii="Arial" w:eastAsia="Calibri" w:hAnsi="Arial" w:cs="Arial"/>
                <w:kern w:val="0"/>
                <w:sz w:val="24"/>
                <w:szCs w:val="24"/>
                <w14:ligatures w14:val="none"/>
              </w:rPr>
              <w:t>Wykonawca wykona integrację oprogramowania do</w:t>
            </w:r>
            <w:r w:rsidR="004358D6" w:rsidRPr="00FD3398">
              <w:rPr>
                <w:rFonts w:ascii="Arial" w:eastAsia="Calibri" w:hAnsi="Arial" w:cs="Arial"/>
                <w:kern w:val="0"/>
                <w:sz w:val="24"/>
                <w:szCs w:val="24"/>
                <w14:ligatures w14:val="none"/>
              </w:rPr>
              <w:t xml:space="preserve"> </w:t>
            </w:r>
            <w:r w:rsidRPr="00FD3398">
              <w:rPr>
                <w:rFonts w:ascii="Arial" w:eastAsia="Calibri" w:hAnsi="Arial" w:cs="Arial"/>
                <w:kern w:val="0"/>
                <w:sz w:val="24"/>
                <w:szCs w:val="24"/>
                <w14:ligatures w14:val="none"/>
              </w:rPr>
              <w:t>zarządzania HPE</w:t>
            </w:r>
            <w:r w:rsidRPr="00FD3398">
              <w:rPr>
                <w:rFonts w:ascii="Arial" w:eastAsia="Calibri" w:hAnsi="Arial" w:cs="Arial"/>
                <w:kern w:val="0"/>
                <w:sz w:val="24"/>
                <w:szCs w:val="24"/>
                <w:lang w:eastAsia="en-US"/>
                <w14:ligatures w14:val="none"/>
              </w:rPr>
              <w:t xml:space="preserve"> One View</w:t>
            </w:r>
            <w:r w:rsidRPr="00FD3398">
              <w:rPr>
                <w:rFonts w:ascii="Arial" w:eastAsia="Calibri" w:hAnsi="Arial" w:cs="Arial"/>
                <w:kern w:val="0"/>
                <w:sz w:val="24"/>
                <w:szCs w:val="24"/>
                <w14:ligatures w14:val="none"/>
              </w:rPr>
              <w:t xml:space="preserve"> z oprogramowaniem</w:t>
            </w:r>
            <w:r w:rsidRPr="00FD3398">
              <w:rPr>
                <w:rFonts w:ascii="Arial" w:eastAsia="Calibri" w:hAnsi="Arial" w:cs="Arial"/>
                <w:kern w:val="0"/>
                <w:sz w:val="24"/>
                <w:szCs w:val="24"/>
                <w:lang w:eastAsia="en-US"/>
                <w14:ligatures w14:val="none"/>
              </w:rPr>
              <w:t xml:space="preserve"> V</w:t>
            </w:r>
            <w:r w:rsidR="004358D6" w:rsidRPr="00FD3398">
              <w:rPr>
                <w:rFonts w:ascii="Arial" w:eastAsia="Calibri" w:hAnsi="Arial" w:cs="Arial"/>
                <w:kern w:val="0"/>
                <w:sz w:val="24"/>
                <w:szCs w:val="24"/>
                <w:lang w:eastAsia="en-US"/>
                <w14:ligatures w14:val="none"/>
              </w:rPr>
              <w:t>m</w:t>
            </w:r>
            <w:r w:rsidRPr="00FD3398">
              <w:rPr>
                <w:rFonts w:ascii="Arial" w:eastAsia="Calibri" w:hAnsi="Arial" w:cs="Arial"/>
                <w:kern w:val="0"/>
                <w:sz w:val="24"/>
                <w:szCs w:val="24"/>
                <w:lang w:eastAsia="en-US"/>
                <w14:ligatures w14:val="none"/>
              </w:rPr>
              <w:t>ware</w:t>
            </w:r>
            <w:r w:rsidR="004358D6" w:rsidRPr="00FD3398">
              <w:rPr>
                <w:rFonts w:ascii="Arial" w:eastAsia="Calibri" w:hAnsi="Arial" w:cs="Arial"/>
                <w:kern w:val="0"/>
                <w:sz w:val="24"/>
                <w:szCs w:val="24"/>
                <w:lang w:eastAsia="en-US"/>
                <w14:ligatures w14:val="none"/>
              </w:rPr>
              <w:t xml:space="preserve"> </w:t>
            </w:r>
            <w:r w:rsidRPr="00FD3398">
              <w:rPr>
                <w:rFonts w:ascii="Arial" w:eastAsia="Calibri" w:hAnsi="Arial" w:cs="Arial"/>
                <w:kern w:val="0"/>
                <w:sz w:val="24"/>
                <w:szCs w:val="24"/>
                <w:lang w:eastAsia="en-US"/>
                <w14:ligatures w14:val="none"/>
              </w:rPr>
              <w:t xml:space="preserve">vCenter </w:t>
            </w:r>
            <w:r w:rsidR="0033291A" w:rsidRPr="00FD3398">
              <w:rPr>
                <w:rFonts w:ascii="Arial" w:eastAsia="Calibri" w:hAnsi="Arial" w:cs="Arial"/>
                <w:kern w:val="0"/>
                <w:sz w:val="24"/>
                <w:szCs w:val="24"/>
                <w:lang w:eastAsia="en-US"/>
                <w14:ligatures w14:val="none"/>
              </w:rPr>
              <w:t>Zamawiającego dla nowo dostarczonych obudów</w:t>
            </w:r>
            <w:r w:rsidRPr="00FD3398">
              <w:rPr>
                <w:rFonts w:ascii="Arial" w:eastAsia="Calibri" w:hAnsi="Arial" w:cs="Arial"/>
                <w:kern w:val="0"/>
                <w:sz w:val="24"/>
                <w:szCs w:val="24"/>
                <w14:ligatures w14:val="none"/>
              </w:rPr>
              <w:t>.</w:t>
            </w:r>
            <w:r w:rsidR="004358D6" w:rsidRPr="00FD3398">
              <w:rPr>
                <w:rFonts w:ascii="Arial" w:eastAsia="Calibri" w:hAnsi="Arial" w:cs="Arial"/>
                <w:kern w:val="0"/>
                <w:sz w:val="24"/>
                <w:szCs w:val="24"/>
                <w14:ligatures w14:val="none"/>
              </w:rPr>
              <w:t xml:space="preserve"> </w:t>
            </w:r>
          </w:p>
        </w:tc>
      </w:tr>
      <w:tr w:rsidR="008E64B0" w:rsidRPr="00B5109F" w14:paraId="2EEF98D9" w14:textId="77777777" w:rsidTr="0033291A">
        <w:tc>
          <w:tcPr>
            <w:tcW w:w="547" w:type="dxa"/>
            <w:tcBorders>
              <w:top w:val="single" w:sz="6" w:space="0" w:color="auto"/>
              <w:left w:val="single" w:sz="12" w:space="0" w:color="auto"/>
              <w:bottom w:val="single" w:sz="12" w:space="0" w:color="auto"/>
              <w:right w:val="single" w:sz="6" w:space="0" w:color="auto"/>
            </w:tcBorders>
          </w:tcPr>
          <w:p w14:paraId="4B74900F" w14:textId="77777777" w:rsidR="008E64B0" w:rsidRPr="00FD3398" w:rsidRDefault="008E64B0" w:rsidP="0008169B">
            <w:pPr>
              <w:pStyle w:val="Akapitzlist"/>
              <w:numPr>
                <w:ilvl w:val="0"/>
                <w:numId w:val="4"/>
              </w:numPr>
              <w:spacing w:after="0" w:line="240" w:lineRule="auto"/>
              <w:rPr>
                <w:rFonts w:ascii="Arial" w:eastAsia="Calibri" w:hAnsi="Arial" w:cs="Arial"/>
                <w:kern w:val="0"/>
                <w:sz w:val="24"/>
                <w:szCs w:val="24"/>
                <w14:ligatures w14:val="none"/>
              </w:rPr>
            </w:pPr>
          </w:p>
        </w:tc>
        <w:tc>
          <w:tcPr>
            <w:tcW w:w="2386" w:type="dxa"/>
            <w:tcBorders>
              <w:top w:val="single" w:sz="6" w:space="0" w:color="auto"/>
              <w:left w:val="single" w:sz="6" w:space="0" w:color="auto"/>
              <w:bottom w:val="single" w:sz="12" w:space="0" w:color="auto"/>
              <w:right w:val="single" w:sz="6" w:space="0" w:color="auto"/>
            </w:tcBorders>
          </w:tcPr>
          <w:p w14:paraId="51C75F19" w14:textId="38C77E78" w:rsidR="008E64B0" w:rsidRPr="00FD3398" w:rsidRDefault="008E64B0">
            <w:pPr>
              <w:spacing w:after="0" w:line="240" w:lineRule="auto"/>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W ramach gwarancji</w:t>
            </w:r>
          </w:p>
        </w:tc>
        <w:tc>
          <w:tcPr>
            <w:tcW w:w="6368" w:type="dxa"/>
            <w:tcBorders>
              <w:top w:val="single" w:sz="6" w:space="0" w:color="auto"/>
              <w:left w:val="single" w:sz="6" w:space="0" w:color="auto"/>
              <w:bottom w:val="single" w:sz="12" w:space="0" w:color="auto"/>
              <w:right w:val="single" w:sz="12" w:space="0" w:color="auto"/>
            </w:tcBorders>
          </w:tcPr>
          <w:p w14:paraId="47A305C8" w14:textId="6FF58378" w:rsidR="00E200B8" w:rsidRPr="00FD3398" w:rsidRDefault="008E64B0" w:rsidP="0008169B">
            <w:pPr>
              <w:pStyle w:val="Akapitzlist"/>
              <w:numPr>
                <w:ilvl w:val="0"/>
                <w:numId w:val="17"/>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 xml:space="preserve">Wykonawca będzie przyjmował zgłoszenia w ramach realizacji gwarancji przez 24 godziny na dobę, 7 dni w tygodniu, 365 dni w roku, za pomocą zgłoszenia telefonicznego, z wykorzystaniem serwisu www udostępnionego przez Wykonawcę, za pomocą poczty elektronicznej. </w:t>
            </w:r>
          </w:p>
          <w:p w14:paraId="68981F24" w14:textId="048A45C3" w:rsidR="008E64B0" w:rsidRPr="00FD3398" w:rsidRDefault="008E64B0" w:rsidP="0008169B">
            <w:pPr>
              <w:pStyle w:val="Akapitzlist"/>
              <w:numPr>
                <w:ilvl w:val="0"/>
                <w:numId w:val="17"/>
              </w:numPr>
              <w:spacing w:after="0" w:line="276" w:lineRule="auto"/>
              <w:ind w:right="91"/>
              <w:rPr>
                <w:rFonts w:ascii="Arial" w:eastAsia="Calibri" w:hAnsi="Arial" w:cs="Arial"/>
                <w:kern w:val="0"/>
                <w:sz w:val="24"/>
                <w:szCs w:val="24"/>
                <w14:ligatures w14:val="none"/>
              </w:rPr>
            </w:pPr>
            <w:r w:rsidRPr="00FD3398">
              <w:rPr>
                <w:rFonts w:ascii="Arial" w:eastAsia="Calibri" w:hAnsi="Arial" w:cs="Arial"/>
                <w:kern w:val="0"/>
                <w:sz w:val="24"/>
                <w:szCs w:val="24"/>
                <w14:ligatures w14:val="none"/>
              </w:rPr>
              <w:t>2. Wykonawca zobowiązany jest do usunięcia awarii sprzętu w terminie zgodnie z ofertą Wykonawcy od chwili zgłoszenia awarii, bez względu na to, czy zgłoszenie zostało potwierdzone czy nie.</w:t>
            </w:r>
          </w:p>
        </w:tc>
      </w:tr>
    </w:tbl>
    <w:p w14:paraId="006DF470" w14:textId="77777777" w:rsidR="006064C2" w:rsidRPr="00B5109F" w:rsidRDefault="006064C2" w:rsidP="008E64B0">
      <w:pPr>
        <w:spacing w:after="0" w:line="240" w:lineRule="exact"/>
        <w:jc w:val="both"/>
        <w:rPr>
          <w:rFonts w:ascii="Arial" w:eastAsia="Calibri" w:hAnsi="Arial" w:cs="Arial"/>
          <w:kern w:val="0"/>
          <w:sz w:val="24"/>
          <w:szCs w:val="24"/>
          <w14:ligatures w14:val="none"/>
        </w:rPr>
      </w:pPr>
    </w:p>
    <w:p w14:paraId="7412EBB3" w14:textId="77777777" w:rsidR="00FD3398" w:rsidRPr="00FD3398" w:rsidRDefault="00FD3398" w:rsidP="00FD3398">
      <w:pPr>
        <w:pStyle w:val="Akapitzlist"/>
        <w:ind w:left="360"/>
        <w:rPr>
          <w:rFonts w:ascii="Arial" w:hAnsi="Arial" w:cs="Arial"/>
          <w:sz w:val="24"/>
          <w:szCs w:val="24"/>
        </w:rPr>
      </w:pPr>
    </w:p>
    <w:p w14:paraId="615F82D2" w14:textId="1CB10762" w:rsidR="006064C2" w:rsidRPr="00FD3398" w:rsidRDefault="005E406A" w:rsidP="00FD3398">
      <w:pPr>
        <w:pStyle w:val="Akapitzlist"/>
        <w:numPr>
          <w:ilvl w:val="0"/>
          <w:numId w:val="35"/>
        </w:numPr>
        <w:rPr>
          <w:rFonts w:ascii="Arial" w:hAnsi="Arial" w:cs="Arial"/>
          <w:sz w:val="24"/>
          <w:szCs w:val="24"/>
        </w:rPr>
      </w:pPr>
      <w:r w:rsidRPr="00FD3398">
        <w:rPr>
          <w:rFonts w:ascii="Arial" w:hAnsi="Arial" w:cs="Arial"/>
          <w:sz w:val="24"/>
          <w:szCs w:val="24"/>
        </w:rPr>
        <w:t>Opis minimalnych wymagań serwerów kasetowych</w:t>
      </w:r>
    </w:p>
    <w:p w14:paraId="2EE243E7" w14:textId="77777777" w:rsidR="005E406A" w:rsidRPr="00B5109F" w:rsidRDefault="005E406A" w:rsidP="005E406A">
      <w:pPr>
        <w:spacing w:after="0" w:line="240" w:lineRule="exact"/>
        <w:ind w:right="888"/>
        <w:rPr>
          <w:rFonts w:ascii="Arial" w:eastAsia="Calibri" w:hAnsi="Arial" w:cs="Arial"/>
          <w:kern w:val="0"/>
          <w:sz w:val="24"/>
          <w:szCs w:val="24"/>
          <w14:ligatures w14:val="none"/>
        </w:rPr>
      </w:pPr>
    </w:p>
    <w:p w14:paraId="388EFFFD" w14:textId="15AC0B4A" w:rsidR="008E64B0" w:rsidRPr="00B5109F" w:rsidRDefault="008E64B0" w:rsidP="008E64B0">
      <w:pPr>
        <w:pStyle w:val="Legenda"/>
        <w:rPr>
          <w:rFonts w:ascii="Arial" w:eastAsia="Calibri" w:hAnsi="Arial" w:cs="Arial"/>
          <w:kern w:val="0"/>
          <w:sz w:val="24"/>
          <w:szCs w:val="24"/>
          <w14:ligatures w14:val="none"/>
        </w:rPr>
      </w:pPr>
      <w:bookmarkStart w:id="1" w:name="_Ref164930990"/>
      <w:r w:rsidRPr="00B5109F">
        <w:rPr>
          <w:rFonts w:ascii="Arial" w:hAnsi="Arial" w:cs="Arial"/>
          <w:sz w:val="24"/>
          <w:szCs w:val="24"/>
        </w:rPr>
        <w:t xml:space="preserve">Tabela </w:t>
      </w:r>
      <w:r w:rsidR="0008169B" w:rsidRPr="00B5109F">
        <w:rPr>
          <w:rFonts w:ascii="Arial" w:hAnsi="Arial" w:cs="Arial"/>
          <w:sz w:val="24"/>
          <w:szCs w:val="24"/>
        </w:rPr>
        <w:fldChar w:fldCharType="begin"/>
      </w:r>
      <w:r w:rsidR="0008169B" w:rsidRPr="00B5109F">
        <w:rPr>
          <w:rFonts w:ascii="Arial" w:hAnsi="Arial" w:cs="Arial"/>
          <w:sz w:val="24"/>
          <w:szCs w:val="24"/>
        </w:rPr>
        <w:instrText xml:space="preserve"> SEQ Tabela \* ARABIC </w:instrText>
      </w:r>
      <w:r w:rsidR="0008169B" w:rsidRPr="00B5109F">
        <w:rPr>
          <w:rFonts w:ascii="Arial" w:hAnsi="Arial" w:cs="Arial"/>
          <w:sz w:val="24"/>
          <w:szCs w:val="24"/>
        </w:rPr>
        <w:fldChar w:fldCharType="separate"/>
      </w:r>
      <w:r w:rsidR="00550F28" w:rsidRPr="00B5109F">
        <w:rPr>
          <w:rFonts w:ascii="Arial" w:hAnsi="Arial" w:cs="Arial"/>
          <w:noProof/>
          <w:sz w:val="24"/>
          <w:szCs w:val="24"/>
        </w:rPr>
        <w:t>2</w:t>
      </w:r>
      <w:r w:rsidR="0008169B" w:rsidRPr="00B5109F">
        <w:rPr>
          <w:rFonts w:ascii="Arial" w:hAnsi="Arial" w:cs="Arial"/>
          <w:noProof/>
          <w:sz w:val="24"/>
          <w:szCs w:val="24"/>
        </w:rPr>
        <w:fldChar w:fldCharType="end"/>
      </w:r>
      <w:r w:rsidRPr="00B5109F">
        <w:rPr>
          <w:rFonts w:ascii="Arial" w:hAnsi="Arial" w:cs="Arial"/>
          <w:sz w:val="24"/>
          <w:szCs w:val="24"/>
        </w:rPr>
        <w:t xml:space="preserve"> Opis minimalnych wymagań dla serwer</w:t>
      </w:r>
      <w:r w:rsidR="005E406A" w:rsidRPr="00B5109F">
        <w:rPr>
          <w:rFonts w:ascii="Arial" w:hAnsi="Arial" w:cs="Arial"/>
          <w:sz w:val="24"/>
          <w:szCs w:val="24"/>
        </w:rPr>
        <w:t>a</w:t>
      </w:r>
      <w:r w:rsidRPr="00B5109F">
        <w:rPr>
          <w:rFonts w:ascii="Arial" w:hAnsi="Arial" w:cs="Arial"/>
          <w:sz w:val="24"/>
          <w:szCs w:val="24"/>
        </w:rPr>
        <w:t xml:space="preserve"> kasetow</w:t>
      </w:r>
      <w:r w:rsidR="005E406A" w:rsidRPr="00B5109F">
        <w:rPr>
          <w:rFonts w:ascii="Arial" w:hAnsi="Arial" w:cs="Arial"/>
          <w:sz w:val="24"/>
          <w:szCs w:val="24"/>
        </w:rPr>
        <w:t>ego</w:t>
      </w:r>
      <w:r w:rsidRPr="00B5109F">
        <w:rPr>
          <w:rFonts w:ascii="Arial" w:hAnsi="Arial" w:cs="Arial"/>
          <w:sz w:val="24"/>
          <w:szCs w:val="24"/>
        </w:rPr>
        <w:t xml:space="preserve"> </w:t>
      </w:r>
      <w:r w:rsidR="005E406A" w:rsidRPr="00B5109F">
        <w:rPr>
          <w:rFonts w:ascii="Arial" w:hAnsi="Arial" w:cs="Arial"/>
          <w:sz w:val="24"/>
          <w:szCs w:val="24"/>
        </w:rPr>
        <w:t>klasy blade HPE Synergy 480 Gen 11</w:t>
      </w:r>
      <w:bookmarkEnd w:id="1"/>
      <w:r w:rsidR="005E406A" w:rsidRPr="00B5109F">
        <w:rPr>
          <w:rFonts w:ascii="Arial" w:hAnsi="Arial" w:cs="Arial"/>
          <w:sz w:val="24"/>
          <w:szCs w:val="24"/>
        </w:rPr>
        <w:t xml:space="preserve"> </w:t>
      </w:r>
    </w:p>
    <w:tbl>
      <w:tblPr>
        <w:tblW w:w="9619" w:type="dxa"/>
        <w:tblInd w:w="40" w:type="dxa"/>
        <w:tblLayout w:type="fixed"/>
        <w:tblCellMar>
          <w:left w:w="40" w:type="dxa"/>
          <w:right w:w="40" w:type="dxa"/>
        </w:tblCellMar>
        <w:tblLook w:val="04A0" w:firstRow="1" w:lastRow="0" w:firstColumn="1" w:lastColumn="0" w:noHBand="0" w:noVBand="1"/>
      </w:tblPr>
      <w:tblGrid>
        <w:gridCol w:w="528"/>
        <w:gridCol w:w="2405"/>
        <w:gridCol w:w="6686"/>
      </w:tblGrid>
      <w:tr w:rsidR="0022110F" w:rsidRPr="00B5109F" w14:paraId="10512B67" w14:textId="77777777" w:rsidTr="009416DD">
        <w:trPr>
          <w:trHeight w:val="371"/>
        </w:trPr>
        <w:tc>
          <w:tcPr>
            <w:tcW w:w="528" w:type="dxa"/>
            <w:tcBorders>
              <w:top w:val="single" w:sz="12" w:space="0" w:color="auto"/>
              <w:left w:val="single" w:sz="12" w:space="0" w:color="auto"/>
              <w:bottom w:val="single" w:sz="12" w:space="0" w:color="auto"/>
              <w:right w:val="single" w:sz="12" w:space="0" w:color="auto"/>
            </w:tcBorders>
            <w:vAlign w:val="center"/>
          </w:tcPr>
          <w:p w14:paraId="10C45A22" w14:textId="77777777" w:rsidR="006064C2" w:rsidRPr="00D73EA6" w:rsidRDefault="006064C2" w:rsidP="009416DD">
            <w:pPr>
              <w:spacing w:after="0" w:line="240" w:lineRule="auto"/>
              <w:jc w:val="center"/>
              <w:rPr>
                <w:rFonts w:ascii="Arial" w:eastAsia="Calibri" w:hAnsi="Arial" w:cs="Arial"/>
                <w:kern w:val="0"/>
                <w14:ligatures w14:val="none"/>
              </w:rPr>
            </w:pPr>
            <w:r w:rsidRPr="00D73EA6">
              <w:rPr>
                <w:rFonts w:ascii="Arial" w:eastAsia="Calibri" w:hAnsi="Arial" w:cs="Arial"/>
                <w:b/>
                <w:bCs/>
                <w:kern w:val="0"/>
                <w14:ligatures w14:val="none"/>
              </w:rPr>
              <w:t>Lp.</w:t>
            </w:r>
          </w:p>
        </w:tc>
        <w:tc>
          <w:tcPr>
            <w:tcW w:w="2405" w:type="dxa"/>
            <w:tcBorders>
              <w:top w:val="single" w:sz="12" w:space="0" w:color="auto"/>
              <w:left w:val="single" w:sz="12" w:space="0" w:color="auto"/>
              <w:bottom w:val="single" w:sz="12" w:space="0" w:color="auto"/>
              <w:right w:val="single" w:sz="12" w:space="0" w:color="auto"/>
            </w:tcBorders>
            <w:vAlign w:val="center"/>
          </w:tcPr>
          <w:p w14:paraId="57C28EE9" w14:textId="77777777" w:rsidR="006064C2" w:rsidRPr="00D73EA6" w:rsidRDefault="006064C2" w:rsidP="009416DD">
            <w:pPr>
              <w:spacing w:after="0" w:line="240" w:lineRule="auto"/>
              <w:jc w:val="center"/>
              <w:rPr>
                <w:rFonts w:ascii="Arial" w:eastAsia="Calibri" w:hAnsi="Arial" w:cs="Arial"/>
                <w:kern w:val="0"/>
                <w14:ligatures w14:val="none"/>
              </w:rPr>
            </w:pPr>
            <w:r w:rsidRPr="00D73EA6">
              <w:rPr>
                <w:rFonts w:ascii="Arial" w:eastAsia="Calibri" w:hAnsi="Arial" w:cs="Arial"/>
                <w:b/>
                <w:bCs/>
                <w:kern w:val="0"/>
                <w14:ligatures w14:val="none"/>
              </w:rPr>
              <w:t>Element konfiguracji</w:t>
            </w:r>
          </w:p>
        </w:tc>
        <w:tc>
          <w:tcPr>
            <w:tcW w:w="6686" w:type="dxa"/>
            <w:tcBorders>
              <w:top w:val="single" w:sz="12" w:space="0" w:color="auto"/>
              <w:left w:val="single" w:sz="12" w:space="0" w:color="auto"/>
              <w:bottom w:val="single" w:sz="12" w:space="0" w:color="auto"/>
              <w:right w:val="single" w:sz="12" w:space="0" w:color="auto"/>
            </w:tcBorders>
            <w:vAlign w:val="center"/>
          </w:tcPr>
          <w:p w14:paraId="5DF16233" w14:textId="77777777" w:rsidR="006064C2" w:rsidRPr="00D73EA6" w:rsidRDefault="006064C2" w:rsidP="009416DD">
            <w:pPr>
              <w:spacing w:after="0" w:line="240" w:lineRule="auto"/>
              <w:jc w:val="center"/>
              <w:rPr>
                <w:rFonts w:ascii="Arial" w:eastAsia="Calibri" w:hAnsi="Arial" w:cs="Arial"/>
                <w:kern w:val="0"/>
                <w14:ligatures w14:val="none"/>
              </w:rPr>
            </w:pPr>
            <w:r w:rsidRPr="00D73EA6">
              <w:rPr>
                <w:rFonts w:ascii="Arial" w:eastAsia="Calibri" w:hAnsi="Arial" w:cs="Arial"/>
                <w:b/>
                <w:bCs/>
                <w:kern w:val="0"/>
                <w14:ligatures w14:val="none"/>
              </w:rPr>
              <w:t>Parametry minimalne</w:t>
            </w:r>
          </w:p>
        </w:tc>
      </w:tr>
      <w:tr w:rsidR="0022110F" w:rsidRPr="00B5109F" w14:paraId="31ACB551" w14:textId="77777777" w:rsidTr="00E200B8">
        <w:tc>
          <w:tcPr>
            <w:tcW w:w="528" w:type="dxa"/>
            <w:tcBorders>
              <w:top w:val="single" w:sz="12" w:space="0" w:color="auto"/>
              <w:left w:val="single" w:sz="12" w:space="0" w:color="auto"/>
              <w:bottom w:val="single" w:sz="6" w:space="0" w:color="auto"/>
              <w:right w:val="single" w:sz="6" w:space="0" w:color="auto"/>
            </w:tcBorders>
          </w:tcPr>
          <w:p w14:paraId="14FABEF9" w14:textId="21734146"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12" w:space="0" w:color="auto"/>
              <w:left w:val="single" w:sz="6" w:space="0" w:color="auto"/>
              <w:bottom w:val="single" w:sz="6" w:space="0" w:color="auto"/>
              <w:right w:val="single" w:sz="6" w:space="0" w:color="auto"/>
            </w:tcBorders>
          </w:tcPr>
          <w:p w14:paraId="727D24E7"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Procesor</w:t>
            </w:r>
          </w:p>
        </w:tc>
        <w:tc>
          <w:tcPr>
            <w:tcW w:w="6686" w:type="dxa"/>
            <w:tcBorders>
              <w:top w:val="single" w:sz="12" w:space="0" w:color="auto"/>
              <w:left w:val="single" w:sz="6" w:space="0" w:color="auto"/>
              <w:bottom w:val="single" w:sz="6" w:space="0" w:color="auto"/>
              <w:right w:val="single" w:sz="12" w:space="0" w:color="auto"/>
            </w:tcBorders>
          </w:tcPr>
          <w:p w14:paraId="32107FAC" w14:textId="77777777" w:rsidR="00065F94" w:rsidRPr="00D73EA6" w:rsidRDefault="00065F94" w:rsidP="0008169B">
            <w:pPr>
              <w:pStyle w:val="Akapitzlist"/>
              <w:numPr>
                <w:ilvl w:val="0"/>
                <w:numId w:val="19"/>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2 procesory, każdy z uwagi na wymóg wielozadaniowości wyposażony w co najmniej 32 rdzenie fizyczne klasy x86-64bit, każdy z rdzeni z uwagi na wydajność aplikacji jednowątkowych, pracujący z bazową częstotliwością taktowania nie niższą niż 2,8 GHz. </w:t>
            </w:r>
          </w:p>
          <w:p w14:paraId="6AA7CD7B" w14:textId="76583C5C" w:rsidR="009A166F" w:rsidRPr="00D73EA6" w:rsidRDefault="009A166F" w:rsidP="0008169B">
            <w:pPr>
              <w:pStyle w:val="Akapitzlist"/>
              <w:numPr>
                <w:ilvl w:val="0"/>
                <w:numId w:val="19"/>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Procesory osiągające wyniki dla testu: </w:t>
            </w:r>
          </w:p>
          <w:p w14:paraId="4282C86B" w14:textId="143ABA23" w:rsidR="009A166F" w:rsidRPr="00D73EA6" w:rsidRDefault="009A166F" w:rsidP="0008169B">
            <w:pPr>
              <w:pStyle w:val="Akapitzlist"/>
              <w:numPr>
                <w:ilvl w:val="1"/>
                <w:numId w:val="19"/>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SPEC CPU 2017 </w:t>
            </w:r>
            <w:proofErr w:type="spellStart"/>
            <w:r w:rsidRPr="00D73EA6">
              <w:rPr>
                <w:rFonts w:ascii="Arial" w:eastAsia="Calibri" w:hAnsi="Arial" w:cs="Arial"/>
                <w:kern w:val="0"/>
                <w14:ligatures w14:val="none"/>
              </w:rPr>
              <w:t>Integer</w:t>
            </w:r>
            <w:proofErr w:type="spellEnd"/>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Speed</w:t>
            </w:r>
            <w:proofErr w:type="spellEnd"/>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Result</w:t>
            </w:r>
            <w:proofErr w:type="spellEnd"/>
            <w:r w:rsidRPr="00D73EA6">
              <w:rPr>
                <w:rFonts w:ascii="Arial" w:eastAsia="Calibri" w:hAnsi="Arial" w:cs="Arial"/>
                <w:kern w:val="0"/>
                <w14:ligatures w14:val="none"/>
              </w:rPr>
              <w:t xml:space="preserve"> </w:t>
            </w:r>
            <w:r w:rsidR="00065F94" w:rsidRPr="00D73EA6">
              <w:rPr>
                <w:rFonts w:ascii="Arial" w:eastAsia="Calibri" w:hAnsi="Arial" w:cs="Arial"/>
                <w:kern w:val="0"/>
                <w14:ligatures w14:val="none"/>
              </w:rPr>
              <w:t>–</w:t>
            </w:r>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SPECspeed</w:t>
            </w:r>
            <w:proofErr w:type="spellEnd"/>
            <w:r w:rsidRPr="00D73EA6">
              <w:rPr>
                <w:rFonts w:ascii="Arial" w:eastAsia="Calibri" w:hAnsi="Arial" w:cs="Arial"/>
                <w:kern w:val="0"/>
                <w14:ligatures w14:val="none"/>
              </w:rPr>
              <w:t xml:space="preserve"> 2017_int_base, nie niższy niż 15.0 </w:t>
            </w:r>
          </w:p>
          <w:p w14:paraId="39A67B07" w14:textId="17CE04EA" w:rsidR="009A166F" w:rsidRPr="00D73EA6" w:rsidRDefault="009A166F" w:rsidP="0008169B">
            <w:pPr>
              <w:pStyle w:val="Akapitzlist"/>
              <w:numPr>
                <w:ilvl w:val="1"/>
                <w:numId w:val="19"/>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oraz dla testu: SPEC CPU 2017 </w:t>
            </w:r>
            <w:proofErr w:type="spellStart"/>
            <w:r w:rsidRPr="00D73EA6">
              <w:rPr>
                <w:rFonts w:ascii="Arial" w:eastAsia="Calibri" w:hAnsi="Arial" w:cs="Arial"/>
                <w:kern w:val="0"/>
                <w14:ligatures w14:val="none"/>
              </w:rPr>
              <w:t>Integer</w:t>
            </w:r>
            <w:proofErr w:type="spellEnd"/>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Rate</w:t>
            </w:r>
            <w:proofErr w:type="spellEnd"/>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Result</w:t>
            </w:r>
            <w:proofErr w:type="spellEnd"/>
            <w:r w:rsidRPr="00D73EA6">
              <w:rPr>
                <w:rFonts w:ascii="Arial" w:eastAsia="Calibri" w:hAnsi="Arial" w:cs="Arial"/>
                <w:kern w:val="0"/>
                <w14:ligatures w14:val="none"/>
              </w:rPr>
              <w:t xml:space="preserve"> </w:t>
            </w:r>
            <w:r w:rsidR="00065F94" w:rsidRPr="00D73EA6">
              <w:rPr>
                <w:rFonts w:ascii="Arial" w:eastAsia="Calibri" w:hAnsi="Arial" w:cs="Arial"/>
                <w:kern w:val="0"/>
                <w14:ligatures w14:val="none"/>
              </w:rPr>
              <w:t>–</w:t>
            </w:r>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SPECrate</w:t>
            </w:r>
            <w:proofErr w:type="spellEnd"/>
            <w:r w:rsidRPr="00D73EA6">
              <w:rPr>
                <w:rFonts w:ascii="Arial" w:eastAsia="Calibri" w:hAnsi="Arial" w:cs="Arial"/>
                <w:kern w:val="0"/>
                <w14:ligatures w14:val="none"/>
              </w:rPr>
              <w:t xml:space="preserve"> 2017_int_base, nie niższy niż 654. </w:t>
            </w:r>
          </w:p>
          <w:p w14:paraId="45FDB8F0" w14:textId="6E7E9D0B" w:rsidR="009A166F" w:rsidRPr="00D73EA6" w:rsidRDefault="009A166F" w:rsidP="0008169B">
            <w:pPr>
              <w:pStyle w:val="Akapitzlist"/>
              <w:numPr>
                <w:ilvl w:val="0"/>
                <w:numId w:val="19"/>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Wynik testu musi być potwierdzony przez organizację SPEC i opublikowany na jej oficjalnej stronie internetowej (www.spec.org) najpóźniej w dniu złożenia ofert, dla konfiguracji pokrywającej się z oferowaną konfiguracją, co najmniej w zakresie producenta serwera, i ilości zainstalowanych procesorów.</w:t>
            </w:r>
          </w:p>
        </w:tc>
      </w:tr>
      <w:tr w:rsidR="0022110F" w:rsidRPr="00B5109F" w14:paraId="31B616EE" w14:textId="77777777" w:rsidTr="00E200B8">
        <w:tc>
          <w:tcPr>
            <w:tcW w:w="528" w:type="dxa"/>
            <w:tcBorders>
              <w:top w:val="single" w:sz="6" w:space="0" w:color="auto"/>
              <w:left w:val="single" w:sz="12" w:space="0" w:color="auto"/>
              <w:bottom w:val="single" w:sz="6" w:space="0" w:color="auto"/>
              <w:right w:val="single" w:sz="6" w:space="0" w:color="auto"/>
            </w:tcBorders>
          </w:tcPr>
          <w:p w14:paraId="49B4AE01" w14:textId="5D9BE222"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33844471"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Pamięć RAM</w:t>
            </w:r>
          </w:p>
        </w:tc>
        <w:tc>
          <w:tcPr>
            <w:tcW w:w="6686" w:type="dxa"/>
            <w:tcBorders>
              <w:top w:val="single" w:sz="6" w:space="0" w:color="auto"/>
              <w:left w:val="single" w:sz="6" w:space="0" w:color="auto"/>
              <w:bottom w:val="single" w:sz="6" w:space="0" w:color="auto"/>
              <w:right w:val="single" w:sz="12" w:space="0" w:color="auto"/>
            </w:tcBorders>
          </w:tcPr>
          <w:p w14:paraId="3DF6AA73" w14:textId="3B349C74" w:rsidR="009A166F" w:rsidRPr="00D73EA6" w:rsidRDefault="009A166F" w:rsidP="0008169B">
            <w:pPr>
              <w:pStyle w:val="Akapitzlist"/>
              <w:numPr>
                <w:ilvl w:val="0"/>
                <w:numId w:val="24"/>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1,5 TB RAM Dual </w:t>
            </w:r>
            <w:proofErr w:type="spellStart"/>
            <w:r w:rsidRPr="00D73EA6">
              <w:rPr>
                <w:rFonts w:ascii="Arial" w:eastAsia="Calibri" w:hAnsi="Arial" w:cs="Arial"/>
                <w:kern w:val="0"/>
                <w14:ligatures w14:val="none"/>
              </w:rPr>
              <w:t>Rank</w:t>
            </w:r>
            <w:proofErr w:type="spellEnd"/>
            <w:r w:rsidRPr="00D73EA6">
              <w:rPr>
                <w:rFonts w:ascii="Arial" w:eastAsia="Calibri" w:hAnsi="Arial" w:cs="Arial"/>
                <w:kern w:val="0"/>
                <w14:ligatures w14:val="none"/>
              </w:rPr>
              <w:t xml:space="preserve"> x4 DDR5-5600 </w:t>
            </w:r>
            <w:proofErr w:type="spellStart"/>
            <w:r w:rsidRPr="00D73EA6">
              <w:rPr>
                <w:rFonts w:ascii="Arial" w:eastAsia="Calibri" w:hAnsi="Arial" w:cs="Arial"/>
                <w:kern w:val="0"/>
                <w14:ligatures w14:val="none"/>
              </w:rPr>
              <w:t>Registered</w:t>
            </w:r>
            <w:proofErr w:type="spellEnd"/>
            <w:r w:rsidRPr="00D73EA6">
              <w:rPr>
                <w:rFonts w:ascii="Arial" w:eastAsia="Calibri" w:hAnsi="Arial" w:cs="Arial"/>
                <w:kern w:val="0"/>
                <w14:ligatures w14:val="none"/>
              </w:rPr>
              <w:t xml:space="preserve"> Memory, w modułach min. w 64GB. Zestaw modułów pamięci wykorzystujący wszystkie kanały pamięci </w:t>
            </w:r>
            <w:r w:rsidR="00065F94" w:rsidRPr="00D73EA6">
              <w:rPr>
                <w:rFonts w:ascii="Arial" w:eastAsia="Calibri" w:hAnsi="Arial" w:cs="Arial"/>
                <w:kern w:val="0"/>
                <w14:ligatures w14:val="none"/>
              </w:rPr>
              <w:t>wszystkich</w:t>
            </w:r>
            <w:r w:rsidRPr="00D73EA6">
              <w:rPr>
                <w:rFonts w:ascii="Arial" w:eastAsia="Calibri" w:hAnsi="Arial" w:cs="Arial"/>
                <w:kern w:val="0"/>
                <w14:ligatures w14:val="none"/>
              </w:rPr>
              <w:t xml:space="preserve"> procesorów i pełną częstotliwość pamięci obsługiwaną przez procesor oraz pozostawiający co najmniej 16 wolnych slotów na płycie głównej na potrzeby przyszłej rozbudowy. </w:t>
            </w:r>
          </w:p>
          <w:p w14:paraId="744261FD" w14:textId="3AF5D78B" w:rsidR="009A166F" w:rsidRPr="00D73EA6" w:rsidRDefault="009A166F" w:rsidP="0008169B">
            <w:pPr>
              <w:pStyle w:val="Akapitzlist"/>
              <w:numPr>
                <w:ilvl w:val="0"/>
                <w:numId w:val="24"/>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Zaoferowane serwery muszą mieć wszystkie </w:t>
            </w:r>
            <w:proofErr w:type="spellStart"/>
            <w:r w:rsidRPr="00D73EA6">
              <w:rPr>
                <w:rFonts w:ascii="Arial" w:eastAsia="Calibri" w:hAnsi="Arial" w:cs="Arial"/>
                <w:kern w:val="0"/>
                <w14:ligatures w14:val="none"/>
              </w:rPr>
              <w:t>sloty</w:t>
            </w:r>
            <w:proofErr w:type="spellEnd"/>
            <w:r w:rsidRPr="00D73EA6">
              <w:rPr>
                <w:rFonts w:ascii="Arial" w:eastAsia="Calibri" w:hAnsi="Arial" w:cs="Arial"/>
                <w:kern w:val="0"/>
                <w14:ligatures w14:val="none"/>
              </w:rPr>
              <w:t xml:space="preserve"> na pamięć aktywne, nawet przy zastosowaniu procesorów o mocy 145W i wyższej. Zabezpieczania pamięci Advanced ECC, Online </w:t>
            </w:r>
            <w:proofErr w:type="spellStart"/>
            <w:r w:rsidRPr="00D73EA6">
              <w:rPr>
                <w:rFonts w:ascii="Arial" w:eastAsia="Calibri" w:hAnsi="Arial" w:cs="Arial"/>
                <w:kern w:val="0"/>
                <w14:ligatures w14:val="none"/>
              </w:rPr>
              <w:t>Spare</w:t>
            </w:r>
            <w:proofErr w:type="spellEnd"/>
            <w:r w:rsidRPr="00D73EA6">
              <w:rPr>
                <w:rFonts w:ascii="Arial" w:eastAsia="Calibri" w:hAnsi="Arial" w:cs="Arial"/>
                <w:kern w:val="0"/>
                <w14:ligatures w14:val="none"/>
              </w:rPr>
              <w:t>.</w:t>
            </w:r>
          </w:p>
        </w:tc>
      </w:tr>
      <w:tr w:rsidR="0022110F" w:rsidRPr="00B5109F" w14:paraId="157D80E0" w14:textId="77777777" w:rsidTr="00E200B8">
        <w:tc>
          <w:tcPr>
            <w:tcW w:w="528" w:type="dxa"/>
            <w:tcBorders>
              <w:top w:val="single" w:sz="6" w:space="0" w:color="auto"/>
              <w:left w:val="single" w:sz="12" w:space="0" w:color="auto"/>
              <w:bottom w:val="single" w:sz="6" w:space="0" w:color="auto"/>
              <w:right w:val="single" w:sz="6" w:space="0" w:color="auto"/>
            </w:tcBorders>
          </w:tcPr>
          <w:p w14:paraId="319A7138" w14:textId="403F2C09"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0CF63322"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Interfejsy sieciowe</w:t>
            </w:r>
          </w:p>
        </w:tc>
        <w:tc>
          <w:tcPr>
            <w:tcW w:w="6686" w:type="dxa"/>
            <w:tcBorders>
              <w:top w:val="single" w:sz="6" w:space="0" w:color="auto"/>
              <w:left w:val="single" w:sz="6" w:space="0" w:color="auto"/>
              <w:bottom w:val="single" w:sz="6" w:space="0" w:color="auto"/>
              <w:right w:val="single" w:sz="12" w:space="0" w:color="auto"/>
            </w:tcBorders>
          </w:tcPr>
          <w:p w14:paraId="67E859E8" w14:textId="1047E55A" w:rsidR="006064C2" w:rsidRPr="00D73EA6" w:rsidRDefault="006064C2" w:rsidP="001C23DF">
            <w:p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Minimum 2 Interfejsy sieciowe min. 50GbE (CNA, wspierające </w:t>
            </w:r>
            <w:proofErr w:type="spellStart"/>
            <w:r w:rsidRPr="00D73EA6">
              <w:rPr>
                <w:rFonts w:ascii="Arial" w:eastAsia="Calibri" w:hAnsi="Arial" w:cs="Arial"/>
                <w:kern w:val="0"/>
                <w14:ligatures w14:val="none"/>
              </w:rPr>
              <w:t>FCoE</w:t>
            </w:r>
            <w:proofErr w:type="spellEnd"/>
            <w:r w:rsidRPr="00D73EA6">
              <w:rPr>
                <w:rFonts w:ascii="Arial" w:eastAsia="Calibri" w:hAnsi="Arial" w:cs="Arial"/>
                <w:kern w:val="0"/>
                <w14:ligatures w14:val="none"/>
              </w:rPr>
              <w:t xml:space="preserve"> </w:t>
            </w:r>
            <w:r w:rsidR="001C23DF" w:rsidRPr="00D73EA6">
              <w:rPr>
                <w:rFonts w:ascii="Arial" w:eastAsia="Calibri" w:hAnsi="Arial" w:cs="Arial"/>
                <w:kern w:val="0"/>
                <w14:ligatures w14:val="none"/>
              </w:rPr>
              <w:t>–</w:t>
            </w:r>
            <w:r w:rsidRPr="00D73EA6">
              <w:rPr>
                <w:rFonts w:ascii="Arial" w:eastAsia="Calibri" w:hAnsi="Arial" w:cs="Arial"/>
                <w:kern w:val="0"/>
                <w14:ligatures w14:val="none"/>
              </w:rPr>
              <w:t xml:space="preserve"> funkcjonalność w standardzie), z możliwością podzielenia każdego interfejsu na min. 8 interfejsów sieciowych (posiadające własne adresy MAC oraz będące widoczne z poziomu systemu operacyjnego, jako fizyczne karty sieciowe) i kartę FC/</w:t>
            </w:r>
            <w:proofErr w:type="spellStart"/>
            <w:r w:rsidRPr="00D73EA6">
              <w:rPr>
                <w:rFonts w:ascii="Arial" w:eastAsia="Calibri" w:hAnsi="Arial" w:cs="Arial"/>
                <w:kern w:val="0"/>
                <w14:ligatures w14:val="none"/>
              </w:rPr>
              <w:t>FCoE</w:t>
            </w:r>
            <w:proofErr w:type="spellEnd"/>
            <w:r w:rsidRPr="00D73EA6">
              <w:rPr>
                <w:rFonts w:ascii="Arial" w:eastAsia="Calibri" w:hAnsi="Arial" w:cs="Arial"/>
                <w:kern w:val="0"/>
                <w14:ligatures w14:val="none"/>
              </w:rPr>
              <w:t xml:space="preserve"> o przepustowości min. 32Gb (posiadającą własny adres WWN).</w:t>
            </w:r>
          </w:p>
          <w:p w14:paraId="5C146542" w14:textId="3A26AD5A" w:rsidR="00C96187" w:rsidRPr="00D73EA6" w:rsidRDefault="00C96187" w:rsidP="001C23DF">
            <w:p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Podział musi być niezależny od zainstalowanego na serwerze systemu operacyjnego/platformy wirtualizacyjnej</w:t>
            </w:r>
          </w:p>
        </w:tc>
      </w:tr>
      <w:tr w:rsidR="0022110F" w:rsidRPr="00B5109F" w14:paraId="2502D60C" w14:textId="77777777" w:rsidTr="00E200B8">
        <w:tc>
          <w:tcPr>
            <w:tcW w:w="528" w:type="dxa"/>
            <w:tcBorders>
              <w:top w:val="single" w:sz="6" w:space="0" w:color="auto"/>
              <w:left w:val="single" w:sz="12" w:space="0" w:color="auto"/>
              <w:bottom w:val="single" w:sz="6" w:space="0" w:color="auto"/>
              <w:right w:val="single" w:sz="6" w:space="0" w:color="auto"/>
            </w:tcBorders>
          </w:tcPr>
          <w:p w14:paraId="2D5CDB15" w14:textId="52892E82"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5E4D8C71"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Dyski twarde</w:t>
            </w:r>
          </w:p>
        </w:tc>
        <w:tc>
          <w:tcPr>
            <w:tcW w:w="6686" w:type="dxa"/>
            <w:tcBorders>
              <w:top w:val="single" w:sz="6" w:space="0" w:color="auto"/>
              <w:left w:val="single" w:sz="6" w:space="0" w:color="auto"/>
              <w:bottom w:val="single" w:sz="6" w:space="0" w:color="auto"/>
              <w:right w:val="single" w:sz="12" w:space="0" w:color="auto"/>
            </w:tcBorders>
          </w:tcPr>
          <w:p w14:paraId="069F9EF7" w14:textId="77777777" w:rsidR="00065F94" w:rsidRPr="00D73EA6" w:rsidRDefault="00065F94" w:rsidP="0008169B">
            <w:pPr>
              <w:pStyle w:val="Akapitzlist"/>
              <w:numPr>
                <w:ilvl w:val="0"/>
                <w:numId w:val="25"/>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Zainstalowane 2 dyski 480GB M.2 </w:t>
            </w:r>
            <w:proofErr w:type="spellStart"/>
            <w:r w:rsidRPr="00D73EA6">
              <w:rPr>
                <w:rFonts w:ascii="Arial" w:eastAsia="Calibri" w:hAnsi="Arial" w:cs="Arial"/>
                <w:kern w:val="0"/>
                <w14:ligatures w14:val="none"/>
              </w:rPr>
              <w:t>NVMe</w:t>
            </w:r>
            <w:proofErr w:type="spellEnd"/>
            <w:r w:rsidRPr="00D73EA6">
              <w:rPr>
                <w:rFonts w:ascii="Arial" w:eastAsia="Calibri" w:hAnsi="Arial" w:cs="Arial"/>
                <w:kern w:val="0"/>
                <w14:ligatures w14:val="none"/>
              </w:rPr>
              <w:t xml:space="preserve"> na potrzeby </w:t>
            </w:r>
            <w:proofErr w:type="spellStart"/>
            <w:r w:rsidRPr="00D73EA6">
              <w:rPr>
                <w:rFonts w:ascii="Arial" w:eastAsia="Calibri" w:hAnsi="Arial" w:cs="Arial"/>
                <w:kern w:val="0"/>
                <w14:ligatures w14:val="none"/>
              </w:rPr>
              <w:t>boot</w:t>
            </w:r>
            <w:proofErr w:type="spellEnd"/>
            <w:r w:rsidRPr="00D73EA6">
              <w:rPr>
                <w:rFonts w:ascii="Arial" w:eastAsia="Calibri" w:hAnsi="Arial" w:cs="Arial"/>
                <w:kern w:val="0"/>
                <w14:ligatures w14:val="none"/>
              </w:rPr>
              <w:t xml:space="preserve"> OS skonfigurowane w RAID 1 na dedykowanym kontrolerze sprzętowym.</w:t>
            </w:r>
          </w:p>
          <w:p w14:paraId="6011C6C1" w14:textId="49899476" w:rsidR="00065F94" w:rsidRPr="00D73EA6" w:rsidRDefault="00065F94" w:rsidP="0008169B">
            <w:pPr>
              <w:pStyle w:val="Akapitzlist"/>
              <w:numPr>
                <w:ilvl w:val="0"/>
                <w:numId w:val="25"/>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Dodatkowo zainstalowane na froncie serwera co najmniej 2 dyski </w:t>
            </w:r>
            <w:proofErr w:type="spellStart"/>
            <w:r w:rsidRPr="00D73EA6">
              <w:rPr>
                <w:rFonts w:ascii="Arial" w:eastAsia="Calibri" w:hAnsi="Arial" w:cs="Arial"/>
                <w:kern w:val="0"/>
                <w14:ligatures w14:val="none"/>
              </w:rPr>
              <w:t>NVMe</w:t>
            </w:r>
            <w:proofErr w:type="spellEnd"/>
            <w:r w:rsidRPr="00D73EA6">
              <w:rPr>
                <w:rFonts w:ascii="Arial" w:eastAsia="Calibri" w:hAnsi="Arial" w:cs="Arial"/>
                <w:kern w:val="0"/>
                <w14:ligatures w14:val="none"/>
              </w:rPr>
              <w:t xml:space="preserve">, każdy o pojemności nie mniej niż 3 TB, obsługujący </w:t>
            </w:r>
            <w:proofErr w:type="spellStart"/>
            <w:r w:rsidRPr="00D73EA6">
              <w:rPr>
                <w:rFonts w:ascii="Arial" w:eastAsia="Calibri" w:hAnsi="Arial" w:cs="Arial"/>
                <w:kern w:val="0"/>
                <w14:ligatures w14:val="none"/>
              </w:rPr>
              <w:t>NVMe</w:t>
            </w:r>
            <w:proofErr w:type="spellEnd"/>
            <w:r w:rsidRPr="00D73EA6">
              <w:rPr>
                <w:rFonts w:ascii="Arial" w:eastAsia="Calibri" w:hAnsi="Arial" w:cs="Arial"/>
                <w:kern w:val="0"/>
                <w14:ligatures w14:val="none"/>
              </w:rPr>
              <w:t xml:space="preserve"> Gen4, gwarantujący trwałość na poziomie nie niższym niż DWPD 3 (Drive </w:t>
            </w:r>
            <w:proofErr w:type="spellStart"/>
            <w:r w:rsidRPr="00D73EA6">
              <w:rPr>
                <w:rFonts w:ascii="Arial" w:eastAsia="Calibri" w:hAnsi="Arial" w:cs="Arial"/>
                <w:kern w:val="0"/>
                <w14:ligatures w14:val="none"/>
              </w:rPr>
              <w:t>Writes</w:t>
            </w:r>
            <w:proofErr w:type="spellEnd"/>
            <w:r w:rsidRPr="00D73EA6">
              <w:rPr>
                <w:rFonts w:ascii="Arial" w:eastAsia="Calibri" w:hAnsi="Arial" w:cs="Arial"/>
                <w:kern w:val="0"/>
                <w14:ligatures w14:val="none"/>
              </w:rPr>
              <w:t xml:space="preserve"> Per Day), z możliwością dołożenia kolejnych 2 szt. dysków.</w:t>
            </w:r>
          </w:p>
        </w:tc>
      </w:tr>
      <w:tr w:rsidR="0022110F" w:rsidRPr="00B5109F" w14:paraId="0E4F2DCC" w14:textId="77777777" w:rsidTr="00E200B8">
        <w:tc>
          <w:tcPr>
            <w:tcW w:w="528" w:type="dxa"/>
            <w:tcBorders>
              <w:top w:val="single" w:sz="6" w:space="0" w:color="auto"/>
              <w:left w:val="single" w:sz="12" w:space="0" w:color="auto"/>
              <w:bottom w:val="single" w:sz="6" w:space="0" w:color="auto"/>
              <w:right w:val="single" w:sz="6" w:space="0" w:color="auto"/>
            </w:tcBorders>
          </w:tcPr>
          <w:p w14:paraId="78DA4E77" w14:textId="73CA17E0"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6A012FB4"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Bezpieczeństwo</w:t>
            </w:r>
          </w:p>
        </w:tc>
        <w:tc>
          <w:tcPr>
            <w:tcW w:w="6686" w:type="dxa"/>
            <w:tcBorders>
              <w:top w:val="single" w:sz="6" w:space="0" w:color="auto"/>
              <w:left w:val="single" w:sz="6" w:space="0" w:color="auto"/>
              <w:bottom w:val="single" w:sz="6" w:space="0" w:color="auto"/>
              <w:right w:val="single" w:sz="12" w:space="0" w:color="auto"/>
            </w:tcBorders>
          </w:tcPr>
          <w:p w14:paraId="4A8FEBA0" w14:textId="77777777" w:rsidR="006064C2" w:rsidRPr="00D73EA6" w:rsidRDefault="006064C2" w:rsidP="001C23DF">
            <w:p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Moduł TPM 2.0</w:t>
            </w:r>
          </w:p>
        </w:tc>
      </w:tr>
      <w:tr w:rsidR="0022110F" w:rsidRPr="00B5109F" w14:paraId="65843EE3" w14:textId="77777777" w:rsidTr="00E200B8">
        <w:tc>
          <w:tcPr>
            <w:tcW w:w="528" w:type="dxa"/>
            <w:tcBorders>
              <w:top w:val="single" w:sz="6" w:space="0" w:color="auto"/>
              <w:left w:val="single" w:sz="12" w:space="0" w:color="auto"/>
              <w:bottom w:val="single" w:sz="6" w:space="0" w:color="auto"/>
              <w:right w:val="single" w:sz="6" w:space="0" w:color="auto"/>
            </w:tcBorders>
          </w:tcPr>
          <w:p w14:paraId="0E9CA854" w14:textId="2B02E6BC"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2AF2615A"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Porty</w:t>
            </w:r>
          </w:p>
        </w:tc>
        <w:tc>
          <w:tcPr>
            <w:tcW w:w="6686" w:type="dxa"/>
            <w:tcBorders>
              <w:top w:val="single" w:sz="6" w:space="0" w:color="auto"/>
              <w:left w:val="single" w:sz="6" w:space="0" w:color="auto"/>
              <w:bottom w:val="single" w:sz="6" w:space="0" w:color="auto"/>
              <w:right w:val="single" w:sz="12" w:space="0" w:color="auto"/>
            </w:tcBorders>
          </w:tcPr>
          <w:p w14:paraId="2F8D946F" w14:textId="2C3A9C2A" w:rsidR="006064C2" w:rsidRPr="00D73EA6" w:rsidRDefault="006064C2" w:rsidP="001C23DF">
            <w:p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1 x USB 3.0 (wewnętrzny)</w:t>
            </w:r>
          </w:p>
        </w:tc>
      </w:tr>
      <w:tr w:rsidR="0022110F" w:rsidRPr="00B5109F" w14:paraId="50AF49B7" w14:textId="77777777" w:rsidTr="009416DD">
        <w:tc>
          <w:tcPr>
            <w:tcW w:w="528" w:type="dxa"/>
            <w:tcBorders>
              <w:top w:val="single" w:sz="6" w:space="0" w:color="auto"/>
              <w:left w:val="single" w:sz="12" w:space="0" w:color="auto"/>
              <w:bottom w:val="single" w:sz="6" w:space="0" w:color="auto"/>
              <w:right w:val="single" w:sz="6" w:space="0" w:color="auto"/>
            </w:tcBorders>
          </w:tcPr>
          <w:p w14:paraId="1D6D7F21" w14:textId="295A859A"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0CB2E7B6" w14:textId="77777777" w:rsidR="006064C2" w:rsidRPr="00D73EA6" w:rsidRDefault="006064C2">
            <w:pPr>
              <w:spacing w:after="0" w:line="240" w:lineRule="auto"/>
              <w:rPr>
                <w:rFonts w:ascii="Arial" w:eastAsia="Calibri" w:hAnsi="Arial" w:cs="Arial"/>
                <w:kern w:val="0"/>
                <w14:ligatures w14:val="none"/>
              </w:rPr>
            </w:pPr>
            <w:proofErr w:type="spellStart"/>
            <w:r w:rsidRPr="00D73EA6">
              <w:rPr>
                <w:rFonts w:ascii="Arial" w:eastAsia="Calibri" w:hAnsi="Arial" w:cs="Arial"/>
                <w:kern w:val="0"/>
                <w14:ligatures w14:val="none"/>
              </w:rPr>
              <w:t>Sloty</w:t>
            </w:r>
            <w:proofErr w:type="spellEnd"/>
            <w:r w:rsidRPr="00D73EA6">
              <w:rPr>
                <w:rFonts w:ascii="Arial" w:eastAsia="Calibri" w:hAnsi="Arial" w:cs="Arial"/>
                <w:kern w:val="0"/>
                <w14:ligatures w14:val="none"/>
              </w:rPr>
              <w:t xml:space="preserve"> </w:t>
            </w:r>
            <w:proofErr w:type="spellStart"/>
            <w:r w:rsidRPr="00D73EA6">
              <w:rPr>
                <w:rFonts w:ascii="Arial" w:eastAsia="Calibri" w:hAnsi="Arial" w:cs="Arial"/>
                <w:kern w:val="0"/>
                <w14:ligatures w14:val="none"/>
              </w:rPr>
              <w:t>PCIe</w:t>
            </w:r>
            <w:proofErr w:type="spellEnd"/>
          </w:p>
        </w:tc>
        <w:tc>
          <w:tcPr>
            <w:tcW w:w="6686" w:type="dxa"/>
            <w:tcBorders>
              <w:top w:val="single" w:sz="6" w:space="0" w:color="auto"/>
              <w:left w:val="single" w:sz="6" w:space="0" w:color="auto"/>
              <w:bottom w:val="single" w:sz="6" w:space="0" w:color="auto"/>
              <w:right w:val="single" w:sz="12" w:space="0" w:color="auto"/>
            </w:tcBorders>
          </w:tcPr>
          <w:p w14:paraId="466FF8F9" w14:textId="42F83AD1" w:rsidR="006064C2" w:rsidRPr="00D73EA6" w:rsidRDefault="006064C2" w:rsidP="001C23DF">
            <w:p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3 </w:t>
            </w:r>
            <w:proofErr w:type="spellStart"/>
            <w:r w:rsidRPr="00D73EA6">
              <w:rPr>
                <w:rFonts w:ascii="Arial" w:eastAsia="Calibri" w:hAnsi="Arial" w:cs="Arial"/>
                <w:kern w:val="0"/>
                <w14:ligatures w14:val="none"/>
              </w:rPr>
              <w:t>sloty</w:t>
            </w:r>
            <w:proofErr w:type="spellEnd"/>
            <w:r w:rsidRPr="00D73EA6">
              <w:rPr>
                <w:rFonts w:ascii="Arial" w:eastAsia="Calibri" w:hAnsi="Arial" w:cs="Arial"/>
                <w:kern w:val="0"/>
                <w14:ligatures w14:val="none"/>
              </w:rPr>
              <w:t xml:space="preserve"> x16 </w:t>
            </w:r>
            <w:proofErr w:type="spellStart"/>
            <w:r w:rsidRPr="00D73EA6">
              <w:rPr>
                <w:rFonts w:ascii="Arial" w:eastAsia="Calibri" w:hAnsi="Arial" w:cs="Arial"/>
                <w:kern w:val="0"/>
                <w14:ligatures w14:val="none"/>
              </w:rPr>
              <w:t>PCIe</w:t>
            </w:r>
            <w:proofErr w:type="spellEnd"/>
            <w:r w:rsidRPr="00D73EA6">
              <w:rPr>
                <w:rFonts w:ascii="Arial" w:eastAsia="Calibri" w:hAnsi="Arial" w:cs="Arial"/>
                <w:kern w:val="0"/>
                <w14:ligatures w14:val="none"/>
              </w:rPr>
              <w:t xml:space="preserve"> </w:t>
            </w:r>
            <w:r w:rsidR="004A325B" w:rsidRPr="00D73EA6">
              <w:rPr>
                <w:rFonts w:ascii="Arial" w:eastAsia="Calibri" w:hAnsi="Arial" w:cs="Arial"/>
                <w:kern w:val="0"/>
                <w14:ligatures w14:val="none"/>
              </w:rPr>
              <w:t>5</w:t>
            </w:r>
            <w:r w:rsidRPr="00D73EA6">
              <w:rPr>
                <w:rFonts w:ascii="Arial" w:eastAsia="Calibri" w:hAnsi="Arial" w:cs="Arial"/>
                <w:kern w:val="0"/>
                <w14:ligatures w14:val="none"/>
              </w:rPr>
              <w:t>.0</w:t>
            </w:r>
          </w:p>
        </w:tc>
      </w:tr>
      <w:tr w:rsidR="0022110F" w:rsidRPr="00B5109F" w14:paraId="22C94C47" w14:textId="77777777" w:rsidTr="009416DD">
        <w:tc>
          <w:tcPr>
            <w:tcW w:w="528" w:type="dxa"/>
            <w:tcBorders>
              <w:top w:val="single" w:sz="6" w:space="0" w:color="auto"/>
              <w:left w:val="single" w:sz="12" w:space="0" w:color="auto"/>
              <w:bottom w:val="single" w:sz="4" w:space="0" w:color="auto"/>
              <w:right w:val="single" w:sz="6" w:space="0" w:color="auto"/>
            </w:tcBorders>
          </w:tcPr>
          <w:p w14:paraId="6FABC27A" w14:textId="77777777"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4" w:space="0" w:color="auto"/>
              <w:right w:val="single" w:sz="6" w:space="0" w:color="auto"/>
            </w:tcBorders>
          </w:tcPr>
          <w:p w14:paraId="2B50A9B9" w14:textId="69E5052E"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Wsparcie dla</w:t>
            </w:r>
            <w:r w:rsidR="004A325B" w:rsidRPr="00D73EA6">
              <w:rPr>
                <w:rFonts w:ascii="Arial" w:eastAsia="Calibri" w:hAnsi="Arial" w:cs="Arial"/>
                <w:kern w:val="0"/>
                <w14:ligatures w14:val="none"/>
              </w:rPr>
              <w:t xml:space="preserve"> systemów operacyjnych</w:t>
            </w:r>
          </w:p>
        </w:tc>
        <w:tc>
          <w:tcPr>
            <w:tcW w:w="6686" w:type="dxa"/>
            <w:tcBorders>
              <w:top w:val="single" w:sz="6" w:space="0" w:color="auto"/>
              <w:left w:val="single" w:sz="6" w:space="0" w:color="auto"/>
              <w:bottom w:val="single" w:sz="4" w:space="0" w:color="auto"/>
              <w:right w:val="single" w:sz="12" w:space="0" w:color="auto"/>
            </w:tcBorders>
          </w:tcPr>
          <w:p w14:paraId="54939F6D" w14:textId="453F2837" w:rsidR="006064C2" w:rsidRPr="00D73EA6" w:rsidRDefault="006064C2" w:rsidP="0008169B">
            <w:pPr>
              <w:pStyle w:val="Akapitzlist"/>
              <w:numPr>
                <w:ilvl w:val="0"/>
                <w:numId w:val="18"/>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VMware vSphere ESXi </w:t>
            </w:r>
            <w:r w:rsidR="001C23DF" w:rsidRPr="00D73EA6">
              <w:rPr>
                <w:rFonts w:ascii="Arial" w:eastAsia="Calibri" w:hAnsi="Arial" w:cs="Arial"/>
                <w:kern w:val="0"/>
                <w14:ligatures w14:val="none"/>
              </w:rPr>
              <w:t>8</w:t>
            </w:r>
            <w:r w:rsidRPr="00D73EA6">
              <w:rPr>
                <w:rFonts w:ascii="Arial" w:eastAsia="Calibri" w:hAnsi="Arial" w:cs="Arial"/>
                <w:kern w:val="0"/>
                <w14:ligatures w14:val="none"/>
              </w:rPr>
              <w:t>.0</w:t>
            </w:r>
          </w:p>
          <w:p w14:paraId="0CCD5A99" w14:textId="4608FB93" w:rsidR="004A325B" w:rsidRPr="00D73EA6" w:rsidRDefault="004A325B" w:rsidP="0008169B">
            <w:pPr>
              <w:pStyle w:val="Akapitzlist"/>
              <w:numPr>
                <w:ilvl w:val="0"/>
                <w:numId w:val="18"/>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Microsoft Windows Server 2019/2022</w:t>
            </w:r>
          </w:p>
          <w:p w14:paraId="0DB42DB9" w14:textId="1A582ACC" w:rsidR="004A325B" w:rsidRPr="00D73EA6" w:rsidRDefault="004A325B" w:rsidP="0008169B">
            <w:pPr>
              <w:pStyle w:val="Akapitzlist"/>
              <w:numPr>
                <w:ilvl w:val="0"/>
                <w:numId w:val="18"/>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Red Hat Enterprise Linux (RHEL) 8.x</w:t>
            </w:r>
            <w:r w:rsidR="0052044D" w:rsidRPr="00D73EA6">
              <w:rPr>
                <w:rFonts w:ascii="Arial" w:eastAsia="Calibri" w:hAnsi="Arial" w:cs="Arial"/>
                <w:kern w:val="0"/>
                <w14:ligatures w14:val="none"/>
              </w:rPr>
              <w:t xml:space="preserve"> i nowszy</w:t>
            </w:r>
          </w:p>
          <w:p w14:paraId="53244108" w14:textId="5AB4220E" w:rsidR="004A325B" w:rsidRPr="00D73EA6" w:rsidRDefault="004A325B" w:rsidP="0008169B">
            <w:pPr>
              <w:pStyle w:val="Akapitzlist"/>
              <w:numPr>
                <w:ilvl w:val="0"/>
                <w:numId w:val="18"/>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SUSE Linux Enterprise Server (SLES) 12 i nowszy</w:t>
            </w:r>
          </w:p>
          <w:p w14:paraId="508BEB28" w14:textId="3114268B" w:rsidR="004A325B" w:rsidRPr="00D73EA6" w:rsidRDefault="004A325B" w:rsidP="0008169B">
            <w:pPr>
              <w:pStyle w:val="Akapitzlist"/>
              <w:numPr>
                <w:ilvl w:val="0"/>
                <w:numId w:val="18"/>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SUSE Linux Enterprise Server for SAP Applications 12 I nowsze</w:t>
            </w:r>
          </w:p>
        </w:tc>
      </w:tr>
      <w:tr w:rsidR="0022110F" w:rsidRPr="00B5109F" w14:paraId="604303C9" w14:textId="77777777" w:rsidTr="009416DD">
        <w:trPr>
          <w:trHeight w:val="4370"/>
        </w:trPr>
        <w:tc>
          <w:tcPr>
            <w:tcW w:w="528" w:type="dxa"/>
            <w:tcBorders>
              <w:top w:val="single" w:sz="4" w:space="0" w:color="auto"/>
              <w:left w:val="single" w:sz="12" w:space="0" w:color="auto"/>
              <w:bottom w:val="single" w:sz="6" w:space="0" w:color="auto"/>
              <w:right w:val="single" w:sz="6" w:space="0" w:color="auto"/>
            </w:tcBorders>
          </w:tcPr>
          <w:p w14:paraId="48322B74" w14:textId="77777777"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4" w:space="0" w:color="auto"/>
              <w:left w:val="single" w:sz="6" w:space="0" w:color="auto"/>
              <w:bottom w:val="single" w:sz="6" w:space="0" w:color="auto"/>
              <w:right w:val="single" w:sz="6" w:space="0" w:color="auto"/>
            </w:tcBorders>
          </w:tcPr>
          <w:p w14:paraId="47B9E1A6" w14:textId="1950190F" w:rsidR="006064C2" w:rsidRPr="00D73EA6" w:rsidRDefault="009416DD">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 xml:space="preserve">Zarządzanie </w:t>
            </w:r>
            <w:r w:rsidR="006064C2" w:rsidRPr="00D73EA6">
              <w:rPr>
                <w:rFonts w:ascii="Arial" w:eastAsia="Calibri" w:hAnsi="Arial" w:cs="Arial"/>
                <w:kern w:val="0"/>
                <w14:ligatures w14:val="none"/>
              </w:rPr>
              <w:t>serwerem</w:t>
            </w:r>
          </w:p>
        </w:tc>
        <w:tc>
          <w:tcPr>
            <w:tcW w:w="6686" w:type="dxa"/>
            <w:tcBorders>
              <w:top w:val="single" w:sz="4" w:space="0" w:color="auto"/>
              <w:left w:val="single" w:sz="6" w:space="0" w:color="auto"/>
              <w:bottom w:val="single" w:sz="6" w:space="0" w:color="auto"/>
              <w:right w:val="single" w:sz="12" w:space="0" w:color="auto"/>
            </w:tcBorders>
          </w:tcPr>
          <w:p w14:paraId="41127558" w14:textId="3D8C9401" w:rsidR="006064C2" w:rsidRPr="00D73EA6" w:rsidRDefault="009416DD" w:rsidP="0008169B">
            <w:pPr>
              <w:pStyle w:val="Akapitzlist"/>
              <w:numPr>
                <w:ilvl w:val="0"/>
                <w:numId w:val="31"/>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Serwer musi być wyposażony w kartę zdalnego</w:t>
            </w:r>
            <w:r w:rsidR="001C23DF" w:rsidRPr="00D73EA6">
              <w:rPr>
                <w:rFonts w:ascii="Arial" w:eastAsia="Calibri" w:hAnsi="Arial" w:cs="Arial"/>
                <w:kern w:val="0"/>
                <w14:ligatures w14:val="none"/>
              </w:rPr>
              <w:t xml:space="preserve"> </w:t>
            </w:r>
            <w:r w:rsidR="006064C2" w:rsidRPr="00D73EA6">
              <w:rPr>
                <w:rFonts w:ascii="Arial" w:eastAsia="Calibri" w:hAnsi="Arial" w:cs="Arial"/>
                <w:kern w:val="0"/>
                <w14:ligatures w14:val="none"/>
              </w:rPr>
              <w:t>zarządzania (konsoli) pozwalającej na:</w:t>
            </w:r>
          </w:p>
          <w:p w14:paraId="7C2C9B37" w14:textId="1CB4A5D5"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włączenie, wyłączenie i restart serwera;</w:t>
            </w:r>
          </w:p>
          <w:p w14:paraId="564B7C8C" w14:textId="73382331"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podgląd logów sprzętowych serwera i karty;</w:t>
            </w:r>
          </w:p>
          <w:p w14:paraId="7E6625EB" w14:textId="27577B5F"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przejęcie zdalnej pełnej konsoli graficznej serwera</w:t>
            </w:r>
            <w:r w:rsidR="003E6746" w:rsidRPr="00D73EA6">
              <w:rPr>
                <w:rFonts w:ascii="Arial" w:eastAsia="Calibri" w:hAnsi="Arial" w:cs="Arial"/>
                <w:kern w:val="0"/>
                <w14:ligatures w14:val="none"/>
              </w:rPr>
              <w:t xml:space="preserve"> </w:t>
            </w:r>
            <w:r w:rsidRPr="00D73EA6">
              <w:rPr>
                <w:rFonts w:ascii="Arial" w:eastAsia="Calibri" w:hAnsi="Arial" w:cs="Arial"/>
                <w:kern w:val="0"/>
                <w14:ligatures w14:val="none"/>
              </w:rPr>
              <w:t>niezależnie od jego stanu (także podczas startu, restartu</w:t>
            </w:r>
            <w:r w:rsidR="003E6746" w:rsidRPr="00D73EA6">
              <w:rPr>
                <w:rFonts w:ascii="Arial" w:eastAsia="Calibri" w:hAnsi="Arial" w:cs="Arial"/>
                <w:kern w:val="0"/>
                <w14:ligatures w14:val="none"/>
              </w:rPr>
              <w:t xml:space="preserve"> </w:t>
            </w:r>
            <w:r w:rsidRPr="00D73EA6">
              <w:rPr>
                <w:rFonts w:ascii="Arial" w:eastAsia="Calibri" w:hAnsi="Arial" w:cs="Arial"/>
                <w:kern w:val="0"/>
                <w14:ligatures w14:val="none"/>
              </w:rPr>
              <w:t>OS);</w:t>
            </w:r>
          </w:p>
          <w:p w14:paraId="2FC99265" w14:textId="4079CF6A"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zdalne podłączenie wirtualnych napędów CD/DVD/ISO;</w:t>
            </w:r>
          </w:p>
          <w:p w14:paraId="6302076E" w14:textId="522888C4"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integrację z Active Directory;</w:t>
            </w:r>
          </w:p>
          <w:p w14:paraId="5FE3DF86" w14:textId="51CD754F"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powiadamianie o zdarzeniach za pomocą email 'a;</w:t>
            </w:r>
          </w:p>
          <w:p w14:paraId="44030C58" w14:textId="77B6C4FB"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współdzielenie jednej zdalnej konsoli graficznej przez</w:t>
            </w:r>
            <w:r w:rsidR="003E6746" w:rsidRPr="00D73EA6">
              <w:rPr>
                <w:rFonts w:ascii="Arial" w:eastAsia="Calibri" w:hAnsi="Arial" w:cs="Arial"/>
                <w:kern w:val="0"/>
                <w14:ligatures w14:val="none"/>
              </w:rPr>
              <w:t xml:space="preserve"> </w:t>
            </w:r>
            <w:r w:rsidRPr="00D73EA6">
              <w:rPr>
                <w:rFonts w:ascii="Arial" w:eastAsia="Calibri" w:hAnsi="Arial" w:cs="Arial"/>
                <w:kern w:val="0"/>
                <w14:ligatures w14:val="none"/>
              </w:rPr>
              <w:t>2 użytkowników;</w:t>
            </w:r>
          </w:p>
          <w:p w14:paraId="43FD5EB1" w14:textId="67015E96" w:rsidR="006064C2" w:rsidRPr="00D73EA6" w:rsidRDefault="006064C2" w:rsidP="0008169B">
            <w:pPr>
              <w:pStyle w:val="Akapitzlist"/>
              <w:numPr>
                <w:ilvl w:val="1"/>
                <w:numId w:val="31"/>
              </w:numPr>
              <w:tabs>
                <w:tab w:val="left" w:pos="907"/>
              </w:tabs>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szyfrowanie połączeń za pomocą protokołu TLS do karty</w:t>
            </w:r>
            <w:r w:rsidR="001C23DF" w:rsidRPr="00D73EA6">
              <w:rPr>
                <w:rFonts w:ascii="Arial" w:eastAsia="Calibri" w:hAnsi="Arial" w:cs="Arial"/>
                <w:kern w:val="0"/>
                <w14:ligatures w14:val="none"/>
              </w:rPr>
              <w:t xml:space="preserve"> </w:t>
            </w:r>
            <w:r w:rsidRPr="00D73EA6">
              <w:rPr>
                <w:rFonts w:ascii="Arial" w:eastAsia="Calibri" w:hAnsi="Arial" w:cs="Arial"/>
                <w:kern w:val="0"/>
                <w14:ligatures w14:val="none"/>
              </w:rPr>
              <w:t>zdalnego zarządzania.</w:t>
            </w:r>
          </w:p>
          <w:p w14:paraId="6A267428" w14:textId="3A641D24" w:rsidR="006064C2" w:rsidRPr="00D73EA6" w:rsidRDefault="006064C2" w:rsidP="0008169B">
            <w:pPr>
              <w:pStyle w:val="Akapitzlist"/>
              <w:numPr>
                <w:ilvl w:val="0"/>
                <w:numId w:val="31"/>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Rozwiązanie sprzętowe, niezależne od systemów operacyjnych, zintegrowane z płytą główną.</w:t>
            </w:r>
          </w:p>
        </w:tc>
      </w:tr>
      <w:tr w:rsidR="0022110F" w:rsidRPr="00B5109F" w14:paraId="5E21DAC9" w14:textId="77777777" w:rsidTr="009416DD">
        <w:tc>
          <w:tcPr>
            <w:tcW w:w="528" w:type="dxa"/>
            <w:tcBorders>
              <w:top w:val="single" w:sz="6" w:space="0" w:color="auto"/>
              <w:left w:val="single" w:sz="12" w:space="0" w:color="auto"/>
              <w:bottom w:val="single" w:sz="6" w:space="0" w:color="auto"/>
              <w:right w:val="single" w:sz="6" w:space="0" w:color="auto"/>
            </w:tcBorders>
          </w:tcPr>
          <w:p w14:paraId="05F52D62" w14:textId="37D34EE2" w:rsidR="006064C2" w:rsidRPr="00D73EA6" w:rsidRDefault="006064C2"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29DAC9A4" w14:textId="77777777" w:rsidR="006064C2" w:rsidRPr="00D73EA6" w:rsidRDefault="006064C2">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Inne</w:t>
            </w:r>
          </w:p>
        </w:tc>
        <w:tc>
          <w:tcPr>
            <w:tcW w:w="6686" w:type="dxa"/>
            <w:tcBorders>
              <w:top w:val="single" w:sz="6" w:space="0" w:color="auto"/>
              <w:left w:val="single" w:sz="6" w:space="0" w:color="auto"/>
              <w:bottom w:val="single" w:sz="6" w:space="0" w:color="auto"/>
              <w:right w:val="single" w:sz="12" w:space="0" w:color="auto"/>
            </w:tcBorders>
          </w:tcPr>
          <w:p w14:paraId="29EEC4C5" w14:textId="47FF913B" w:rsidR="006064C2" w:rsidRPr="00D73EA6" w:rsidRDefault="006064C2" w:rsidP="0008169B">
            <w:pPr>
              <w:pStyle w:val="Akapitzlist"/>
              <w:numPr>
                <w:ilvl w:val="0"/>
                <w:numId w:val="20"/>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Serwer musi być fabrycznie nowy, wyprodukowany nie wcześniej niż 6 miesięcy przed datą dostarczenia do Zamawiającego i pochodzić z oficjalnego kanału dystrybucyjnego producenta na rynek polski.</w:t>
            </w:r>
          </w:p>
          <w:p w14:paraId="49766587" w14:textId="6B12231D" w:rsidR="003E6746" w:rsidRPr="00D73EA6" w:rsidRDefault="003E6746" w:rsidP="0008169B">
            <w:pPr>
              <w:numPr>
                <w:ilvl w:val="0"/>
                <w:numId w:val="20"/>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 xml:space="preserve">Zamawiający zastrzega sobie, aby Wykonawca na żądanie Zamawiającego przedłożył oświadczenie producenta oferowanego sprzętu, potwierdzające pochodzenie sprzętu z autoryzowanego kanału sprzedaży. Serwer musi być kompatybilny z oferowaną obudową Blade opisaną w </w:t>
            </w:r>
            <w:r w:rsidR="00E9602C" w:rsidRPr="00D73EA6">
              <w:rPr>
                <w:rFonts w:ascii="Arial" w:eastAsia="Calibri" w:hAnsi="Arial" w:cs="Arial"/>
                <w:kern w:val="0"/>
                <w14:ligatures w14:val="none"/>
              </w:rPr>
              <w:fldChar w:fldCharType="begin"/>
            </w:r>
            <w:r w:rsidR="00E9602C" w:rsidRPr="00D73EA6">
              <w:rPr>
                <w:rFonts w:ascii="Arial" w:eastAsia="Calibri" w:hAnsi="Arial" w:cs="Arial"/>
                <w:kern w:val="0"/>
                <w14:ligatures w14:val="none"/>
              </w:rPr>
              <w:instrText xml:space="preserve"> REF _Ref164934099 \h </w:instrText>
            </w:r>
            <w:r w:rsidR="00B5109F" w:rsidRPr="00D73EA6">
              <w:rPr>
                <w:rFonts w:ascii="Arial" w:eastAsia="Calibri" w:hAnsi="Arial" w:cs="Arial"/>
                <w:kern w:val="0"/>
                <w14:ligatures w14:val="none"/>
              </w:rPr>
              <w:instrText xml:space="preserve"> \* MERGEFORMAT </w:instrText>
            </w:r>
            <w:r w:rsidR="00E9602C" w:rsidRPr="00D73EA6">
              <w:rPr>
                <w:rFonts w:ascii="Arial" w:eastAsia="Calibri" w:hAnsi="Arial" w:cs="Arial"/>
                <w:kern w:val="0"/>
                <w14:ligatures w14:val="none"/>
              </w:rPr>
            </w:r>
            <w:r w:rsidR="00E9602C" w:rsidRPr="00D73EA6">
              <w:rPr>
                <w:rFonts w:ascii="Arial" w:eastAsia="Calibri" w:hAnsi="Arial" w:cs="Arial"/>
                <w:kern w:val="0"/>
                <w14:ligatures w14:val="none"/>
              </w:rPr>
              <w:fldChar w:fldCharType="separate"/>
            </w:r>
            <w:r w:rsidR="00E9602C" w:rsidRPr="00D73EA6">
              <w:rPr>
                <w:rFonts w:ascii="Arial" w:hAnsi="Arial" w:cs="Arial"/>
              </w:rPr>
              <w:t xml:space="preserve">Tabela </w:t>
            </w:r>
            <w:r w:rsidR="00E9602C" w:rsidRPr="00D73EA6">
              <w:rPr>
                <w:rFonts w:ascii="Arial" w:hAnsi="Arial" w:cs="Arial"/>
                <w:noProof/>
              </w:rPr>
              <w:t>1</w:t>
            </w:r>
            <w:r w:rsidR="00E9602C" w:rsidRPr="00D73EA6">
              <w:rPr>
                <w:rFonts w:ascii="Arial" w:eastAsia="Calibri" w:hAnsi="Arial" w:cs="Arial"/>
                <w:kern w:val="0"/>
                <w14:ligatures w14:val="none"/>
              </w:rPr>
              <w:fldChar w:fldCharType="end"/>
            </w:r>
            <w:r w:rsidR="00E9602C" w:rsidRPr="00D73EA6">
              <w:rPr>
                <w:rFonts w:ascii="Arial" w:eastAsia="Calibri" w:hAnsi="Arial" w:cs="Arial"/>
                <w:kern w:val="0"/>
                <w14:ligatures w14:val="none"/>
              </w:rPr>
              <w:t>.</w:t>
            </w:r>
          </w:p>
        </w:tc>
      </w:tr>
      <w:tr w:rsidR="003E6746" w:rsidRPr="00B5109F" w14:paraId="42B77338" w14:textId="77777777" w:rsidTr="009416DD">
        <w:tc>
          <w:tcPr>
            <w:tcW w:w="528" w:type="dxa"/>
            <w:tcBorders>
              <w:top w:val="single" w:sz="6" w:space="0" w:color="auto"/>
              <w:left w:val="single" w:sz="12" w:space="0" w:color="auto"/>
              <w:bottom w:val="single" w:sz="6" w:space="0" w:color="auto"/>
              <w:right w:val="single" w:sz="6" w:space="0" w:color="auto"/>
            </w:tcBorders>
          </w:tcPr>
          <w:p w14:paraId="056F16E5" w14:textId="77777777" w:rsidR="003E6746" w:rsidRPr="00D73EA6" w:rsidRDefault="003E6746"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6" w:space="0" w:color="auto"/>
              <w:right w:val="single" w:sz="6" w:space="0" w:color="auto"/>
            </w:tcBorders>
          </w:tcPr>
          <w:p w14:paraId="11CE0FA2" w14:textId="1D6D586C" w:rsidR="003E6746" w:rsidRPr="00D73EA6" w:rsidRDefault="003E6746">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Oprogramowanie do zarządzania</w:t>
            </w:r>
          </w:p>
        </w:tc>
        <w:tc>
          <w:tcPr>
            <w:tcW w:w="6686" w:type="dxa"/>
            <w:tcBorders>
              <w:top w:val="single" w:sz="6" w:space="0" w:color="auto"/>
              <w:left w:val="single" w:sz="6" w:space="0" w:color="auto"/>
              <w:bottom w:val="single" w:sz="6" w:space="0" w:color="auto"/>
              <w:right w:val="single" w:sz="12" w:space="0" w:color="auto"/>
            </w:tcBorders>
          </w:tcPr>
          <w:p w14:paraId="293A756C" w14:textId="20113F0C" w:rsidR="003E6746" w:rsidRPr="00D73EA6" w:rsidRDefault="003E6746" w:rsidP="00E9602C">
            <w:p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Z serwerami należy dostarczyć licencje oprogramowania</w:t>
            </w:r>
            <w:r w:rsidR="00E9602C" w:rsidRPr="00D73EA6">
              <w:rPr>
                <w:rFonts w:ascii="Arial" w:eastAsia="Calibri" w:hAnsi="Arial" w:cs="Arial"/>
                <w:kern w:val="0"/>
                <w14:ligatures w14:val="none"/>
              </w:rPr>
              <w:t xml:space="preserve"> </w:t>
            </w:r>
            <w:r w:rsidRPr="00D73EA6">
              <w:rPr>
                <w:rFonts w:ascii="Arial" w:eastAsia="Calibri" w:hAnsi="Arial" w:cs="Arial"/>
                <w:kern w:val="0"/>
                <w14:ligatures w14:val="none"/>
              </w:rPr>
              <w:t>do zarządzania oferowaną infrastrukturą, wyspecyfikowanego</w:t>
            </w:r>
            <w:r w:rsidR="00E9602C" w:rsidRPr="00D73EA6">
              <w:rPr>
                <w:rFonts w:ascii="Arial" w:eastAsia="Calibri" w:hAnsi="Arial" w:cs="Arial"/>
                <w:kern w:val="0"/>
                <w14:ligatures w14:val="none"/>
              </w:rPr>
              <w:t xml:space="preserve"> </w:t>
            </w:r>
            <w:r w:rsidRPr="00D73EA6">
              <w:rPr>
                <w:rFonts w:ascii="Arial" w:eastAsia="Calibri" w:hAnsi="Arial" w:cs="Arial"/>
                <w:kern w:val="0"/>
                <w14:ligatures w14:val="none"/>
              </w:rPr>
              <w:t>w Rozdział III pkt. 2</w:t>
            </w:r>
          </w:p>
        </w:tc>
      </w:tr>
      <w:tr w:rsidR="003E6746" w:rsidRPr="00B5109F" w14:paraId="5CFA8823" w14:textId="77777777" w:rsidTr="009416DD">
        <w:tc>
          <w:tcPr>
            <w:tcW w:w="528" w:type="dxa"/>
            <w:tcBorders>
              <w:top w:val="single" w:sz="6" w:space="0" w:color="auto"/>
              <w:left w:val="single" w:sz="12" w:space="0" w:color="auto"/>
              <w:bottom w:val="single" w:sz="12" w:space="0" w:color="auto"/>
              <w:right w:val="single" w:sz="6" w:space="0" w:color="auto"/>
            </w:tcBorders>
          </w:tcPr>
          <w:p w14:paraId="4E9BC743" w14:textId="77777777" w:rsidR="003E6746" w:rsidRPr="00D73EA6" w:rsidRDefault="003E6746" w:rsidP="0008169B">
            <w:pPr>
              <w:pStyle w:val="Akapitzlist"/>
              <w:numPr>
                <w:ilvl w:val="0"/>
                <w:numId w:val="5"/>
              </w:numPr>
              <w:spacing w:after="0" w:line="240" w:lineRule="auto"/>
              <w:rPr>
                <w:rFonts w:ascii="Arial" w:eastAsia="Calibri" w:hAnsi="Arial" w:cs="Arial"/>
                <w:kern w:val="0"/>
                <w14:ligatures w14:val="none"/>
              </w:rPr>
            </w:pPr>
          </w:p>
        </w:tc>
        <w:tc>
          <w:tcPr>
            <w:tcW w:w="2405" w:type="dxa"/>
            <w:tcBorders>
              <w:top w:val="single" w:sz="6" w:space="0" w:color="auto"/>
              <w:left w:val="single" w:sz="6" w:space="0" w:color="auto"/>
              <w:bottom w:val="single" w:sz="12" w:space="0" w:color="auto"/>
              <w:right w:val="single" w:sz="6" w:space="0" w:color="auto"/>
            </w:tcBorders>
          </w:tcPr>
          <w:p w14:paraId="49383A0B" w14:textId="41897F12" w:rsidR="003E6746" w:rsidRPr="00D73EA6" w:rsidRDefault="003E6746">
            <w:pPr>
              <w:spacing w:after="0" w:line="240" w:lineRule="auto"/>
              <w:rPr>
                <w:rFonts w:ascii="Arial" w:eastAsia="Calibri" w:hAnsi="Arial" w:cs="Arial"/>
                <w:kern w:val="0"/>
                <w14:ligatures w14:val="none"/>
              </w:rPr>
            </w:pPr>
            <w:r w:rsidRPr="00D73EA6">
              <w:rPr>
                <w:rFonts w:ascii="Arial" w:eastAsia="Calibri" w:hAnsi="Arial" w:cs="Arial"/>
                <w:kern w:val="0"/>
                <w14:ligatures w14:val="none"/>
              </w:rPr>
              <w:t>W ramach gwarancji</w:t>
            </w:r>
          </w:p>
        </w:tc>
        <w:tc>
          <w:tcPr>
            <w:tcW w:w="6686" w:type="dxa"/>
            <w:tcBorders>
              <w:top w:val="single" w:sz="6" w:space="0" w:color="auto"/>
              <w:left w:val="single" w:sz="6" w:space="0" w:color="auto"/>
              <w:bottom w:val="single" w:sz="12" w:space="0" w:color="auto"/>
              <w:right w:val="single" w:sz="12" w:space="0" w:color="auto"/>
            </w:tcBorders>
          </w:tcPr>
          <w:p w14:paraId="3A010B50" w14:textId="5F8B1B51" w:rsidR="003E6746" w:rsidRPr="00D73EA6" w:rsidRDefault="003E6746" w:rsidP="0008169B">
            <w:pPr>
              <w:pStyle w:val="Akapitzlist"/>
              <w:numPr>
                <w:ilvl w:val="0"/>
                <w:numId w:val="21"/>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Wykonawca będzie przyjmował zgłoszenia w ramach realizacji gwarancji przez 24 godziny na dobę, 7 dni w tygodniu, 365 dni w roku bez względu, za pomocą zgłoszenia telefonicznego, z wykorzystaniem serwisu www udostępnionego przez Wykonawcę, za pomocą poczty elektronicznej.</w:t>
            </w:r>
          </w:p>
          <w:p w14:paraId="0D1796A2" w14:textId="37A2DEBB" w:rsidR="003E6746" w:rsidRPr="00D73EA6" w:rsidRDefault="003E6746" w:rsidP="0008169B">
            <w:pPr>
              <w:pStyle w:val="Akapitzlist"/>
              <w:numPr>
                <w:ilvl w:val="0"/>
                <w:numId w:val="21"/>
              </w:numPr>
              <w:spacing w:after="0" w:line="276" w:lineRule="auto"/>
              <w:ind w:right="91"/>
              <w:rPr>
                <w:rFonts w:ascii="Arial" w:eastAsia="Calibri" w:hAnsi="Arial" w:cs="Arial"/>
                <w:kern w:val="0"/>
                <w14:ligatures w14:val="none"/>
              </w:rPr>
            </w:pPr>
            <w:r w:rsidRPr="00D73EA6">
              <w:rPr>
                <w:rFonts w:ascii="Arial" w:eastAsia="Calibri" w:hAnsi="Arial" w:cs="Arial"/>
                <w:kern w:val="0"/>
                <w14:ligatures w14:val="none"/>
              </w:rPr>
              <w:t>Wykonawca zobowiązany jest do usunięcia awarii sprzętu zgodnie z ofertą Wykonawcy od chwili zgłoszenia awarii, na to, czy zgłoszenie zostało potwierdzone czy nie.</w:t>
            </w:r>
          </w:p>
        </w:tc>
      </w:tr>
    </w:tbl>
    <w:p w14:paraId="1C81B552" w14:textId="77777777" w:rsidR="003E6746" w:rsidRPr="00B5109F" w:rsidRDefault="003E6746">
      <w:pPr>
        <w:spacing w:after="0" w:line="240" w:lineRule="auto"/>
        <w:rPr>
          <w:rFonts w:ascii="Arial" w:eastAsia="Calibri" w:hAnsi="Arial" w:cs="Arial"/>
          <w:kern w:val="0"/>
          <w:sz w:val="24"/>
          <w:szCs w:val="24"/>
          <w14:ligatures w14:val="none"/>
        </w:rPr>
      </w:pPr>
    </w:p>
    <w:p w14:paraId="057E50A2" w14:textId="77777777" w:rsidR="000E2F1D" w:rsidRPr="00B5109F" w:rsidRDefault="000E2F1D">
      <w:pPr>
        <w:spacing w:after="0" w:line="240" w:lineRule="auto"/>
        <w:rPr>
          <w:rFonts w:ascii="Arial" w:eastAsia="Calibri" w:hAnsi="Arial" w:cs="Arial"/>
          <w:kern w:val="0"/>
          <w:sz w:val="24"/>
          <w:szCs w:val="24"/>
          <w14:ligatures w14:val="none"/>
        </w:rPr>
      </w:pPr>
    </w:p>
    <w:p w14:paraId="0F9441DF" w14:textId="0040F917" w:rsidR="000E2F1D" w:rsidRPr="00FD3398" w:rsidRDefault="000E2F1D" w:rsidP="00FD3398">
      <w:pPr>
        <w:pStyle w:val="Akapitzlist"/>
        <w:numPr>
          <w:ilvl w:val="0"/>
          <w:numId w:val="35"/>
        </w:numPr>
        <w:rPr>
          <w:rFonts w:ascii="Arial" w:hAnsi="Arial" w:cs="Arial"/>
          <w:sz w:val="24"/>
          <w:szCs w:val="24"/>
        </w:rPr>
      </w:pPr>
      <w:r w:rsidRPr="00FD3398">
        <w:rPr>
          <w:rFonts w:ascii="Arial" w:hAnsi="Arial" w:cs="Arial"/>
          <w:sz w:val="24"/>
          <w:szCs w:val="24"/>
        </w:rPr>
        <w:t>Opis minimalnych wymagań serwera klasy RACK</w:t>
      </w:r>
    </w:p>
    <w:p w14:paraId="18AFE7F1" w14:textId="77777777" w:rsidR="006F5840" w:rsidRPr="00B5109F" w:rsidRDefault="006F5840">
      <w:pPr>
        <w:spacing w:after="0" w:line="240" w:lineRule="auto"/>
        <w:rPr>
          <w:rFonts w:ascii="Arial" w:eastAsia="Calibri" w:hAnsi="Arial" w:cs="Arial"/>
          <w:kern w:val="0"/>
          <w:sz w:val="24"/>
          <w:szCs w:val="24"/>
          <w14:ligatures w14:val="none"/>
        </w:rPr>
      </w:pPr>
    </w:p>
    <w:p w14:paraId="53858991" w14:textId="1C812F50" w:rsidR="006F5840" w:rsidRPr="00B5109F" w:rsidRDefault="00550F28" w:rsidP="00550F28">
      <w:pPr>
        <w:pStyle w:val="Legenda"/>
        <w:rPr>
          <w:rFonts w:ascii="Arial" w:eastAsia="Calibri" w:hAnsi="Arial" w:cs="Arial"/>
          <w:kern w:val="0"/>
          <w:sz w:val="24"/>
          <w:szCs w:val="24"/>
          <w14:ligatures w14:val="none"/>
        </w:rPr>
      </w:pPr>
      <w:bookmarkStart w:id="2" w:name="_Ref168251409"/>
      <w:r w:rsidRPr="00B5109F">
        <w:rPr>
          <w:rFonts w:ascii="Arial" w:hAnsi="Arial" w:cs="Arial"/>
          <w:sz w:val="24"/>
          <w:szCs w:val="24"/>
        </w:rPr>
        <w:t xml:space="preserve">Tabela </w:t>
      </w:r>
      <w:r w:rsidR="0008169B" w:rsidRPr="00B5109F">
        <w:rPr>
          <w:rFonts w:ascii="Arial" w:hAnsi="Arial" w:cs="Arial"/>
          <w:sz w:val="24"/>
          <w:szCs w:val="24"/>
        </w:rPr>
        <w:fldChar w:fldCharType="begin"/>
      </w:r>
      <w:r w:rsidR="0008169B" w:rsidRPr="00B5109F">
        <w:rPr>
          <w:rFonts w:ascii="Arial" w:hAnsi="Arial" w:cs="Arial"/>
          <w:sz w:val="24"/>
          <w:szCs w:val="24"/>
        </w:rPr>
        <w:instrText xml:space="preserve"> SEQ Tabela \* ARABIC </w:instrText>
      </w:r>
      <w:r w:rsidR="0008169B" w:rsidRPr="00B5109F">
        <w:rPr>
          <w:rFonts w:ascii="Arial" w:hAnsi="Arial" w:cs="Arial"/>
          <w:sz w:val="24"/>
          <w:szCs w:val="24"/>
        </w:rPr>
        <w:fldChar w:fldCharType="separate"/>
      </w:r>
      <w:r w:rsidRPr="00B5109F">
        <w:rPr>
          <w:rFonts w:ascii="Arial" w:hAnsi="Arial" w:cs="Arial"/>
          <w:noProof/>
          <w:sz w:val="24"/>
          <w:szCs w:val="24"/>
        </w:rPr>
        <w:t>3</w:t>
      </w:r>
      <w:r w:rsidR="0008169B" w:rsidRPr="00B5109F">
        <w:rPr>
          <w:rFonts w:ascii="Arial" w:hAnsi="Arial" w:cs="Arial"/>
          <w:noProof/>
          <w:sz w:val="24"/>
          <w:szCs w:val="24"/>
        </w:rPr>
        <w:fldChar w:fldCharType="end"/>
      </w:r>
      <w:r w:rsidRPr="00B5109F">
        <w:rPr>
          <w:rFonts w:ascii="Arial" w:hAnsi="Arial" w:cs="Arial"/>
          <w:sz w:val="24"/>
          <w:szCs w:val="24"/>
        </w:rPr>
        <w:t xml:space="preserve"> Minimalne wymagania na serwer klasy RACK</w:t>
      </w:r>
      <w:bookmarkEnd w:id="2"/>
    </w:p>
    <w:tbl>
      <w:tblPr>
        <w:tblW w:w="9584" w:type="dxa"/>
        <w:tblInd w:w="40" w:type="dxa"/>
        <w:tblLayout w:type="fixed"/>
        <w:tblCellMar>
          <w:left w:w="40" w:type="dxa"/>
          <w:right w:w="40" w:type="dxa"/>
        </w:tblCellMar>
        <w:tblLook w:val="04A0" w:firstRow="1" w:lastRow="0" w:firstColumn="1" w:lastColumn="0" w:noHBand="0" w:noVBand="1"/>
      </w:tblPr>
      <w:tblGrid>
        <w:gridCol w:w="511"/>
        <w:gridCol w:w="2411"/>
        <w:gridCol w:w="6662"/>
      </w:tblGrid>
      <w:tr w:rsidR="006F5840" w:rsidRPr="00B5109F" w14:paraId="40AB63D8" w14:textId="77777777" w:rsidTr="00FF3188">
        <w:trPr>
          <w:trHeight w:val="371"/>
        </w:trPr>
        <w:tc>
          <w:tcPr>
            <w:tcW w:w="511" w:type="dxa"/>
            <w:tcBorders>
              <w:top w:val="single" w:sz="12" w:space="0" w:color="auto"/>
              <w:left w:val="single" w:sz="12" w:space="0" w:color="auto"/>
              <w:bottom w:val="single" w:sz="12" w:space="0" w:color="auto"/>
              <w:right w:val="single" w:sz="12" w:space="0" w:color="auto"/>
            </w:tcBorders>
            <w:vAlign w:val="center"/>
          </w:tcPr>
          <w:p w14:paraId="19EE012C" w14:textId="77777777" w:rsidR="006F5840" w:rsidRPr="00B5109F" w:rsidRDefault="006F5840" w:rsidP="00457791">
            <w:pPr>
              <w:spacing w:after="0" w:line="240" w:lineRule="auto"/>
              <w:jc w:val="center"/>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Lp.</w:t>
            </w:r>
          </w:p>
        </w:tc>
        <w:tc>
          <w:tcPr>
            <w:tcW w:w="2411" w:type="dxa"/>
            <w:tcBorders>
              <w:top w:val="single" w:sz="12" w:space="0" w:color="auto"/>
              <w:left w:val="single" w:sz="12" w:space="0" w:color="auto"/>
              <w:bottom w:val="single" w:sz="12" w:space="0" w:color="auto"/>
              <w:right w:val="single" w:sz="12" w:space="0" w:color="auto"/>
            </w:tcBorders>
            <w:vAlign w:val="center"/>
          </w:tcPr>
          <w:p w14:paraId="5AAFB5F2" w14:textId="77777777" w:rsidR="006F5840" w:rsidRPr="00B5109F" w:rsidRDefault="006F5840" w:rsidP="00457791">
            <w:pPr>
              <w:spacing w:after="0" w:line="240" w:lineRule="auto"/>
              <w:jc w:val="center"/>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Element konfiguracji</w:t>
            </w:r>
          </w:p>
        </w:tc>
        <w:tc>
          <w:tcPr>
            <w:tcW w:w="6662" w:type="dxa"/>
            <w:tcBorders>
              <w:top w:val="single" w:sz="12" w:space="0" w:color="auto"/>
              <w:left w:val="single" w:sz="12" w:space="0" w:color="auto"/>
              <w:bottom w:val="single" w:sz="12" w:space="0" w:color="auto"/>
              <w:right w:val="single" w:sz="12" w:space="0" w:color="auto"/>
            </w:tcBorders>
            <w:vAlign w:val="center"/>
          </w:tcPr>
          <w:p w14:paraId="21E3F143" w14:textId="77777777" w:rsidR="006F5840" w:rsidRPr="00B5109F" w:rsidRDefault="006F5840" w:rsidP="00457791">
            <w:pPr>
              <w:spacing w:after="0" w:line="240" w:lineRule="auto"/>
              <w:jc w:val="center"/>
              <w:rPr>
                <w:rFonts w:ascii="Arial" w:eastAsia="Calibri" w:hAnsi="Arial" w:cs="Arial"/>
                <w:kern w:val="0"/>
                <w:sz w:val="24"/>
                <w:szCs w:val="24"/>
                <w14:ligatures w14:val="none"/>
              </w:rPr>
            </w:pPr>
            <w:r w:rsidRPr="00B5109F">
              <w:rPr>
                <w:rFonts w:ascii="Arial" w:eastAsia="Calibri" w:hAnsi="Arial" w:cs="Arial"/>
                <w:b/>
                <w:bCs/>
                <w:kern w:val="0"/>
                <w:sz w:val="24"/>
                <w:szCs w:val="24"/>
                <w14:ligatures w14:val="none"/>
              </w:rPr>
              <w:t>Parametry minimalne</w:t>
            </w:r>
          </w:p>
        </w:tc>
      </w:tr>
      <w:tr w:rsidR="006F5840" w:rsidRPr="00B5109F" w14:paraId="25E60491"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54F0C17F" w14:textId="77777777" w:rsidR="006F5840" w:rsidRPr="00B5109F" w:rsidRDefault="006F5840"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7FCC038A" w14:textId="2A1313E8" w:rsidR="006F5840" w:rsidRPr="00B5109F" w:rsidRDefault="006F5840" w:rsidP="006F5840">
            <w:pPr>
              <w:spacing w:line="276" w:lineRule="auto"/>
              <w:contextualSpacing/>
              <w:rPr>
                <w:rFonts w:ascii="Arial" w:hAnsi="Arial" w:cs="Arial"/>
                <w:color w:val="000000" w:themeColor="text1"/>
                <w:sz w:val="24"/>
                <w:szCs w:val="24"/>
                <w:lang w:bidi="en-US"/>
              </w:rPr>
            </w:pPr>
            <w:bookmarkStart w:id="3" w:name="_Hlk8638548"/>
            <w:r w:rsidRPr="00B5109F">
              <w:rPr>
                <w:rFonts w:ascii="Arial" w:eastAsia="Calibri" w:hAnsi="Arial" w:cs="Arial"/>
                <w:kern w:val="0"/>
                <w:sz w:val="24"/>
                <w:szCs w:val="24"/>
                <w14:ligatures w14:val="none"/>
              </w:rPr>
              <w:t>Procesor</w:t>
            </w:r>
          </w:p>
        </w:tc>
        <w:tc>
          <w:tcPr>
            <w:tcW w:w="6662" w:type="dxa"/>
          </w:tcPr>
          <w:p w14:paraId="24264EB3" w14:textId="77777777" w:rsidR="006F5840" w:rsidRPr="00B5109F" w:rsidRDefault="006F5840" w:rsidP="0008169B">
            <w:pPr>
              <w:pStyle w:val="Akapitzlist"/>
              <w:numPr>
                <w:ilvl w:val="0"/>
                <w:numId w:val="28"/>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2 procesory, każdy z uwagi na wymóg wielozadaniowości wyposażony w co najmniej 32 rdzenie fizyczne klasy x86-64bit, każdy z rdzeni z uwagi na wydajność aplikacji jednowątkowych, pracujący z bazową częstotliwością taktowania nie niższą niż 2,8 GHz. </w:t>
            </w:r>
          </w:p>
          <w:p w14:paraId="6CA5E9C3" w14:textId="77777777" w:rsidR="006F5840" w:rsidRPr="00B5109F" w:rsidRDefault="006F5840" w:rsidP="0008169B">
            <w:pPr>
              <w:pStyle w:val="Akapitzlist"/>
              <w:numPr>
                <w:ilvl w:val="0"/>
                <w:numId w:val="28"/>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Procesory osiągające wyniki dla testu: </w:t>
            </w:r>
          </w:p>
          <w:p w14:paraId="3405DBA5" w14:textId="77777777" w:rsidR="006F5840" w:rsidRPr="00B5109F" w:rsidRDefault="006F5840" w:rsidP="0008169B">
            <w:pPr>
              <w:pStyle w:val="Akapitzlist"/>
              <w:numPr>
                <w:ilvl w:val="1"/>
                <w:numId w:val="28"/>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SPEC CPU 2017 </w:t>
            </w:r>
            <w:proofErr w:type="spellStart"/>
            <w:r w:rsidRPr="00B5109F">
              <w:rPr>
                <w:rFonts w:ascii="Arial" w:eastAsia="Calibri" w:hAnsi="Arial" w:cs="Arial"/>
                <w:kern w:val="0"/>
                <w:sz w:val="24"/>
                <w:szCs w:val="24"/>
                <w14:ligatures w14:val="none"/>
              </w:rPr>
              <w:t>Integer</w:t>
            </w:r>
            <w:proofErr w:type="spellEnd"/>
            <w:r w:rsidRPr="00B5109F">
              <w:rPr>
                <w:rFonts w:ascii="Arial" w:eastAsia="Calibri" w:hAnsi="Arial" w:cs="Arial"/>
                <w:kern w:val="0"/>
                <w:sz w:val="24"/>
                <w:szCs w:val="24"/>
                <w14:ligatures w14:val="none"/>
              </w:rPr>
              <w:t xml:space="preserve"> </w:t>
            </w:r>
            <w:proofErr w:type="spellStart"/>
            <w:r w:rsidRPr="00B5109F">
              <w:rPr>
                <w:rFonts w:ascii="Arial" w:eastAsia="Calibri" w:hAnsi="Arial" w:cs="Arial"/>
                <w:kern w:val="0"/>
                <w:sz w:val="24"/>
                <w:szCs w:val="24"/>
                <w14:ligatures w14:val="none"/>
              </w:rPr>
              <w:t>Speed</w:t>
            </w:r>
            <w:proofErr w:type="spellEnd"/>
            <w:r w:rsidRPr="00B5109F">
              <w:rPr>
                <w:rFonts w:ascii="Arial" w:eastAsia="Calibri" w:hAnsi="Arial" w:cs="Arial"/>
                <w:kern w:val="0"/>
                <w:sz w:val="24"/>
                <w:szCs w:val="24"/>
                <w14:ligatures w14:val="none"/>
              </w:rPr>
              <w:t xml:space="preserve"> </w:t>
            </w:r>
            <w:proofErr w:type="spellStart"/>
            <w:r w:rsidRPr="00B5109F">
              <w:rPr>
                <w:rFonts w:ascii="Arial" w:eastAsia="Calibri" w:hAnsi="Arial" w:cs="Arial"/>
                <w:kern w:val="0"/>
                <w:sz w:val="24"/>
                <w:szCs w:val="24"/>
                <w14:ligatures w14:val="none"/>
              </w:rPr>
              <w:t>Result</w:t>
            </w:r>
            <w:proofErr w:type="spellEnd"/>
            <w:r w:rsidRPr="00B5109F">
              <w:rPr>
                <w:rFonts w:ascii="Arial" w:eastAsia="Calibri" w:hAnsi="Arial" w:cs="Arial"/>
                <w:kern w:val="0"/>
                <w:sz w:val="24"/>
                <w:szCs w:val="24"/>
                <w14:ligatures w14:val="none"/>
              </w:rPr>
              <w:t xml:space="preserve"> – </w:t>
            </w:r>
            <w:proofErr w:type="spellStart"/>
            <w:r w:rsidRPr="00B5109F">
              <w:rPr>
                <w:rFonts w:ascii="Arial" w:eastAsia="Calibri" w:hAnsi="Arial" w:cs="Arial"/>
                <w:kern w:val="0"/>
                <w:sz w:val="24"/>
                <w:szCs w:val="24"/>
                <w14:ligatures w14:val="none"/>
              </w:rPr>
              <w:t>SPECspeed</w:t>
            </w:r>
            <w:proofErr w:type="spellEnd"/>
            <w:r w:rsidRPr="00B5109F">
              <w:rPr>
                <w:rFonts w:ascii="Arial" w:eastAsia="Calibri" w:hAnsi="Arial" w:cs="Arial"/>
                <w:kern w:val="0"/>
                <w:sz w:val="24"/>
                <w:szCs w:val="24"/>
                <w14:ligatures w14:val="none"/>
              </w:rPr>
              <w:t xml:space="preserve"> 2017_int_base, nie niższy niż 15.0 </w:t>
            </w:r>
          </w:p>
          <w:p w14:paraId="5FC821E1" w14:textId="77777777" w:rsidR="006F5840" w:rsidRPr="00B5109F" w:rsidRDefault="006F5840" w:rsidP="0008169B">
            <w:pPr>
              <w:pStyle w:val="Akapitzlist"/>
              <w:numPr>
                <w:ilvl w:val="1"/>
                <w:numId w:val="28"/>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oraz dla testu: SPEC CPU 2017 </w:t>
            </w:r>
            <w:proofErr w:type="spellStart"/>
            <w:r w:rsidRPr="00B5109F">
              <w:rPr>
                <w:rFonts w:ascii="Arial" w:eastAsia="Calibri" w:hAnsi="Arial" w:cs="Arial"/>
                <w:kern w:val="0"/>
                <w:sz w:val="24"/>
                <w:szCs w:val="24"/>
                <w14:ligatures w14:val="none"/>
              </w:rPr>
              <w:t>Integer</w:t>
            </w:r>
            <w:proofErr w:type="spellEnd"/>
            <w:r w:rsidRPr="00B5109F">
              <w:rPr>
                <w:rFonts w:ascii="Arial" w:eastAsia="Calibri" w:hAnsi="Arial" w:cs="Arial"/>
                <w:kern w:val="0"/>
                <w:sz w:val="24"/>
                <w:szCs w:val="24"/>
                <w14:ligatures w14:val="none"/>
              </w:rPr>
              <w:t xml:space="preserve"> </w:t>
            </w:r>
            <w:proofErr w:type="spellStart"/>
            <w:r w:rsidRPr="00B5109F">
              <w:rPr>
                <w:rFonts w:ascii="Arial" w:eastAsia="Calibri" w:hAnsi="Arial" w:cs="Arial"/>
                <w:kern w:val="0"/>
                <w:sz w:val="24"/>
                <w:szCs w:val="24"/>
                <w14:ligatures w14:val="none"/>
              </w:rPr>
              <w:t>Rate</w:t>
            </w:r>
            <w:proofErr w:type="spellEnd"/>
            <w:r w:rsidRPr="00B5109F">
              <w:rPr>
                <w:rFonts w:ascii="Arial" w:eastAsia="Calibri" w:hAnsi="Arial" w:cs="Arial"/>
                <w:kern w:val="0"/>
                <w:sz w:val="24"/>
                <w:szCs w:val="24"/>
                <w14:ligatures w14:val="none"/>
              </w:rPr>
              <w:t xml:space="preserve"> </w:t>
            </w:r>
            <w:proofErr w:type="spellStart"/>
            <w:r w:rsidRPr="00B5109F">
              <w:rPr>
                <w:rFonts w:ascii="Arial" w:eastAsia="Calibri" w:hAnsi="Arial" w:cs="Arial"/>
                <w:kern w:val="0"/>
                <w:sz w:val="24"/>
                <w:szCs w:val="24"/>
                <w14:ligatures w14:val="none"/>
              </w:rPr>
              <w:t>Result</w:t>
            </w:r>
            <w:proofErr w:type="spellEnd"/>
            <w:r w:rsidRPr="00B5109F">
              <w:rPr>
                <w:rFonts w:ascii="Arial" w:eastAsia="Calibri" w:hAnsi="Arial" w:cs="Arial"/>
                <w:kern w:val="0"/>
                <w:sz w:val="24"/>
                <w:szCs w:val="24"/>
                <w14:ligatures w14:val="none"/>
              </w:rPr>
              <w:t xml:space="preserve"> – </w:t>
            </w:r>
            <w:proofErr w:type="spellStart"/>
            <w:r w:rsidRPr="00B5109F">
              <w:rPr>
                <w:rFonts w:ascii="Arial" w:eastAsia="Calibri" w:hAnsi="Arial" w:cs="Arial"/>
                <w:kern w:val="0"/>
                <w:sz w:val="24"/>
                <w:szCs w:val="24"/>
                <w14:ligatures w14:val="none"/>
              </w:rPr>
              <w:t>SPECrate</w:t>
            </w:r>
            <w:proofErr w:type="spellEnd"/>
            <w:r w:rsidRPr="00B5109F">
              <w:rPr>
                <w:rFonts w:ascii="Arial" w:eastAsia="Calibri" w:hAnsi="Arial" w:cs="Arial"/>
                <w:kern w:val="0"/>
                <w:sz w:val="24"/>
                <w:szCs w:val="24"/>
                <w14:ligatures w14:val="none"/>
              </w:rPr>
              <w:t xml:space="preserve"> 2017_int_base, nie niższy niż 654. </w:t>
            </w:r>
          </w:p>
          <w:p w14:paraId="50B0B394" w14:textId="1BC8A5E2" w:rsidR="006F5840" w:rsidRPr="00B5109F" w:rsidRDefault="006F5840" w:rsidP="0008169B">
            <w:pPr>
              <w:pStyle w:val="Akapitzlist"/>
              <w:numPr>
                <w:ilvl w:val="0"/>
                <w:numId w:val="28"/>
              </w:numPr>
              <w:spacing w:after="0" w:line="276" w:lineRule="auto"/>
              <w:ind w:right="91"/>
              <w:rPr>
                <w:rFonts w:ascii="Arial" w:hAnsi="Arial" w:cs="Arial"/>
                <w:bCs/>
                <w:color w:val="000000" w:themeColor="text1"/>
                <w:sz w:val="24"/>
                <w:szCs w:val="24"/>
              </w:rPr>
            </w:pPr>
            <w:r w:rsidRPr="00B5109F">
              <w:rPr>
                <w:rFonts w:ascii="Arial" w:eastAsia="Calibri" w:hAnsi="Arial" w:cs="Arial"/>
                <w:kern w:val="0"/>
                <w:sz w:val="24"/>
                <w:szCs w:val="24"/>
                <w14:ligatures w14:val="none"/>
              </w:rPr>
              <w:t>Wynik testu musi być potwierdzony przez organizację SPEC i opublikowany na jej oficjalnej stronie internetowej (www.spec.org) najpóźniej w dniu złożenia ofert, dla konfiguracji pokrywającej się z oferowaną konfiguracją, co najmniej w zakresie producenta serwera, i ilości zainstalowanych procesorów.</w:t>
            </w:r>
          </w:p>
        </w:tc>
      </w:tr>
      <w:tr w:rsidR="006F5840" w:rsidRPr="00B5109F" w14:paraId="62E3A174"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1F6F7178" w14:textId="77777777" w:rsidR="006F5840" w:rsidRPr="00B5109F" w:rsidRDefault="006F5840"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0449F350" w14:textId="15ACD8CC" w:rsidR="006F5840" w:rsidRPr="00B5109F" w:rsidRDefault="006F5840" w:rsidP="006F5840">
            <w:pPr>
              <w:spacing w:line="276" w:lineRule="auto"/>
              <w:contextualSpacing/>
              <w:rPr>
                <w:rFonts w:ascii="Arial" w:hAnsi="Arial" w:cs="Arial"/>
                <w:color w:val="000000" w:themeColor="text1"/>
                <w:sz w:val="24"/>
                <w:szCs w:val="24"/>
                <w:lang w:bidi="en-US"/>
              </w:rPr>
            </w:pPr>
            <w:r w:rsidRPr="00B5109F">
              <w:rPr>
                <w:rFonts w:ascii="Arial" w:eastAsia="Calibri" w:hAnsi="Arial" w:cs="Arial"/>
                <w:kern w:val="0"/>
                <w:sz w:val="24"/>
                <w:szCs w:val="24"/>
                <w14:ligatures w14:val="none"/>
              </w:rPr>
              <w:t>Pamięć RAM</w:t>
            </w:r>
          </w:p>
        </w:tc>
        <w:tc>
          <w:tcPr>
            <w:tcW w:w="6662" w:type="dxa"/>
          </w:tcPr>
          <w:p w14:paraId="212F8EE1" w14:textId="1A68AC66" w:rsidR="006F5840" w:rsidRPr="00B5109F" w:rsidRDefault="006F5840" w:rsidP="0008169B">
            <w:pPr>
              <w:pStyle w:val="Akapitzlist"/>
              <w:numPr>
                <w:ilvl w:val="0"/>
                <w:numId w:val="29"/>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1 TB RAM Dual </w:t>
            </w:r>
            <w:proofErr w:type="spellStart"/>
            <w:r w:rsidRPr="00B5109F">
              <w:rPr>
                <w:rFonts w:ascii="Arial" w:eastAsia="Calibri" w:hAnsi="Arial" w:cs="Arial"/>
                <w:kern w:val="0"/>
                <w:sz w:val="24"/>
                <w:szCs w:val="24"/>
                <w14:ligatures w14:val="none"/>
              </w:rPr>
              <w:t>Rank</w:t>
            </w:r>
            <w:proofErr w:type="spellEnd"/>
            <w:r w:rsidRPr="00B5109F">
              <w:rPr>
                <w:rFonts w:ascii="Arial" w:eastAsia="Calibri" w:hAnsi="Arial" w:cs="Arial"/>
                <w:kern w:val="0"/>
                <w:sz w:val="24"/>
                <w:szCs w:val="24"/>
                <w14:ligatures w14:val="none"/>
              </w:rPr>
              <w:t xml:space="preserve"> x4 DDR5-5600 </w:t>
            </w:r>
            <w:proofErr w:type="spellStart"/>
            <w:r w:rsidRPr="00B5109F">
              <w:rPr>
                <w:rFonts w:ascii="Arial" w:eastAsia="Calibri" w:hAnsi="Arial" w:cs="Arial"/>
                <w:kern w:val="0"/>
                <w:sz w:val="24"/>
                <w:szCs w:val="24"/>
                <w14:ligatures w14:val="none"/>
              </w:rPr>
              <w:t>Registered</w:t>
            </w:r>
            <w:proofErr w:type="spellEnd"/>
            <w:r w:rsidRPr="00B5109F">
              <w:rPr>
                <w:rFonts w:ascii="Arial" w:eastAsia="Calibri" w:hAnsi="Arial" w:cs="Arial"/>
                <w:kern w:val="0"/>
                <w:sz w:val="24"/>
                <w:szCs w:val="24"/>
                <w14:ligatures w14:val="none"/>
              </w:rPr>
              <w:t xml:space="preserve"> Memory, w modułach min. w 64GB. Zestaw modułów pamięci wykorzystujący wszystkie kanały pamięci wszystkich procesorów i pełną częstotliwość pamięci obsługiwaną przez procesor oraz pozostawiający co najmniej 16 wolnych slotów na płycie głównej na potrzeby przyszłej rozbudowy. </w:t>
            </w:r>
          </w:p>
          <w:p w14:paraId="2408063A" w14:textId="13C0B3C0" w:rsidR="006F5840" w:rsidRPr="00B5109F" w:rsidRDefault="006F5840" w:rsidP="0008169B">
            <w:pPr>
              <w:pStyle w:val="Akapitzlist"/>
              <w:numPr>
                <w:ilvl w:val="0"/>
                <w:numId w:val="29"/>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Zaoferowan</w:t>
            </w:r>
            <w:r w:rsidR="003C69E7" w:rsidRPr="00B5109F">
              <w:rPr>
                <w:rFonts w:ascii="Arial" w:eastAsia="Calibri" w:hAnsi="Arial" w:cs="Arial"/>
                <w:kern w:val="0"/>
                <w:sz w:val="24"/>
                <w:szCs w:val="24"/>
                <w14:ligatures w14:val="none"/>
              </w:rPr>
              <w:t>y</w:t>
            </w:r>
            <w:r w:rsidRPr="00B5109F">
              <w:rPr>
                <w:rFonts w:ascii="Arial" w:eastAsia="Calibri" w:hAnsi="Arial" w:cs="Arial"/>
                <w:kern w:val="0"/>
                <w:sz w:val="24"/>
                <w:szCs w:val="24"/>
                <w14:ligatures w14:val="none"/>
              </w:rPr>
              <w:t xml:space="preserve"> serwer mus</w:t>
            </w:r>
            <w:r w:rsidR="003C69E7" w:rsidRPr="00B5109F">
              <w:rPr>
                <w:rFonts w:ascii="Arial" w:eastAsia="Calibri" w:hAnsi="Arial" w:cs="Arial"/>
                <w:kern w:val="0"/>
                <w:sz w:val="24"/>
                <w:szCs w:val="24"/>
                <w14:ligatures w14:val="none"/>
              </w:rPr>
              <w:t>i</w:t>
            </w:r>
            <w:r w:rsidRPr="00B5109F">
              <w:rPr>
                <w:rFonts w:ascii="Arial" w:eastAsia="Calibri" w:hAnsi="Arial" w:cs="Arial"/>
                <w:kern w:val="0"/>
                <w:sz w:val="24"/>
                <w:szCs w:val="24"/>
                <w14:ligatures w14:val="none"/>
              </w:rPr>
              <w:t xml:space="preserve"> mieć wszystkie </w:t>
            </w:r>
            <w:proofErr w:type="spellStart"/>
            <w:r w:rsidRPr="00B5109F">
              <w:rPr>
                <w:rFonts w:ascii="Arial" w:eastAsia="Calibri" w:hAnsi="Arial" w:cs="Arial"/>
                <w:kern w:val="0"/>
                <w:sz w:val="24"/>
                <w:szCs w:val="24"/>
                <w14:ligatures w14:val="none"/>
              </w:rPr>
              <w:t>sloty</w:t>
            </w:r>
            <w:proofErr w:type="spellEnd"/>
            <w:r w:rsidRPr="00B5109F">
              <w:rPr>
                <w:rFonts w:ascii="Arial" w:eastAsia="Calibri" w:hAnsi="Arial" w:cs="Arial"/>
                <w:kern w:val="0"/>
                <w:sz w:val="24"/>
                <w:szCs w:val="24"/>
                <w14:ligatures w14:val="none"/>
              </w:rPr>
              <w:t xml:space="preserve"> na pamięć aktywne, nawet przy zastosowaniu procesorów o mocy 145W i wyższej. Zabezpieczania pamięci Advanced ECC, Online </w:t>
            </w:r>
            <w:proofErr w:type="spellStart"/>
            <w:r w:rsidRPr="00B5109F">
              <w:rPr>
                <w:rFonts w:ascii="Arial" w:eastAsia="Calibri" w:hAnsi="Arial" w:cs="Arial"/>
                <w:kern w:val="0"/>
                <w:sz w:val="24"/>
                <w:szCs w:val="24"/>
                <w14:ligatures w14:val="none"/>
              </w:rPr>
              <w:t>Spare</w:t>
            </w:r>
            <w:proofErr w:type="spellEnd"/>
            <w:r w:rsidRPr="00B5109F">
              <w:rPr>
                <w:rFonts w:ascii="Arial" w:eastAsia="Calibri" w:hAnsi="Arial" w:cs="Arial"/>
                <w:kern w:val="0"/>
                <w:sz w:val="24"/>
                <w:szCs w:val="24"/>
                <w14:ligatures w14:val="none"/>
              </w:rPr>
              <w:t>.</w:t>
            </w:r>
          </w:p>
        </w:tc>
      </w:tr>
      <w:tr w:rsidR="002C6001" w:rsidRPr="00B5109F" w14:paraId="499C7AB2"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3D71D017" w14:textId="77777777" w:rsidR="002C6001" w:rsidRPr="00B5109F" w:rsidRDefault="002C6001"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5248E14A" w14:textId="131BE65E" w:rsidR="002C6001" w:rsidRPr="00B5109F" w:rsidRDefault="002C6001" w:rsidP="002C6001">
            <w:pPr>
              <w:spacing w:line="276" w:lineRule="auto"/>
              <w:contextualSpacing/>
              <w:rPr>
                <w:rFonts w:ascii="Arial" w:hAnsi="Arial" w:cs="Arial"/>
                <w:color w:val="000000" w:themeColor="text1"/>
                <w:sz w:val="24"/>
                <w:szCs w:val="24"/>
                <w:lang w:bidi="en-US"/>
              </w:rPr>
            </w:pPr>
            <w:r w:rsidRPr="00B5109F">
              <w:rPr>
                <w:rFonts w:ascii="Arial" w:eastAsia="Calibri" w:hAnsi="Arial" w:cs="Arial"/>
                <w:kern w:val="0"/>
                <w:sz w:val="24"/>
                <w:szCs w:val="24"/>
                <w14:ligatures w14:val="none"/>
              </w:rPr>
              <w:t>Interfejsy sieciowe</w:t>
            </w:r>
          </w:p>
        </w:tc>
        <w:tc>
          <w:tcPr>
            <w:tcW w:w="6662" w:type="dxa"/>
          </w:tcPr>
          <w:p w14:paraId="50F7B30B" w14:textId="20971878" w:rsidR="002C6001" w:rsidRPr="00B5109F" w:rsidRDefault="002C6001" w:rsidP="00457791">
            <w:pPr>
              <w:spacing w:line="276" w:lineRule="auto"/>
              <w:jc w:val="both"/>
              <w:rPr>
                <w:rFonts w:ascii="Arial" w:hAnsi="Arial" w:cs="Arial"/>
                <w:color w:val="000000" w:themeColor="text1"/>
                <w:sz w:val="24"/>
                <w:szCs w:val="24"/>
              </w:rPr>
            </w:pPr>
            <w:r w:rsidRPr="00B5109F">
              <w:rPr>
                <w:rFonts w:ascii="Arial" w:hAnsi="Arial" w:cs="Arial"/>
                <w:sz w:val="24"/>
                <w:szCs w:val="24"/>
              </w:rPr>
              <w:t>Minimum 2 karty sieciowe Ethernet, minimum 2 portowe, o przepustowości 10Gb/s SFP+ z możliwością obsługi stosu TCP/IP – TOE.</w:t>
            </w:r>
            <w:r w:rsidRPr="00B5109F" w:rsidDel="00D81F11">
              <w:rPr>
                <w:rFonts w:ascii="Arial" w:hAnsi="Arial" w:cs="Arial"/>
                <w:sz w:val="24"/>
                <w:szCs w:val="24"/>
              </w:rPr>
              <w:t xml:space="preserve"> </w:t>
            </w:r>
            <w:r w:rsidRPr="00B5109F">
              <w:rPr>
                <w:rFonts w:ascii="Arial" w:hAnsi="Arial" w:cs="Arial"/>
                <w:sz w:val="24"/>
                <w:szCs w:val="24"/>
              </w:rPr>
              <w:t xml:space="preserve">Dopuszczalne jest stosowanie kart wbudowanych w płytę główną lub w formie modułu rozszerzenia. Zewnętrzne karty PCI-E muszą być identyczne i kompatybilne z zamawianym serwerem </w:t>
            </w:r>
            <w:r w:rsidR="0033291A" w:rsidRPr="00B5109F">
              <w:rPr>
                <w:rFonts w:ascii="Arial" w:hAnsi="Arial" w:cs="Arial"/>
                <w:sz w:val="24"/>
                <w:szCs w:val="24"/>
              </w:rPr>
              <w:t xml:space="preserve">RACK </w:t>
            </w:r>
            <w:r w:rsidRPr="00B5109F">
              <w:rPr>
                <w:rFonts w:ascii="Arial" w:hAnsi="Arial" w:cs="Arial"/>
                <w:sz w:val="24"/>
                <w:szCs w:val="24"/>
              </w:rPr>
              <w:t>i zapewnić zgodność z oprogramowaniem do wirtualizacji (dotyczy również kart wbudowanych lub w formie modułu). Muszą być również umieszczone w portach minimum PCI-E 3.0 o przepustowości pozwalających na wykorzystanie pełnej wydajności ich transferu.</w:t>
            </w:r>
          </w:p>
        </w:tc>
      </w:tr>
      <w:tr w:rsidR="00550F28" w:rsidRPr="00B5109F" w14:paraId="36F860F2"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4D66A315" w14:textId="77777777" w:rsidR="00550F28" w:rsidRPr="00B5109F" w:rsidRDefault="00550F28"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758B4DEB" w14:textId="270C8294" w:rsidR="00550F28" w:rsidRPr="00B5109F" w:rsidRDefault="00550F28" w:rsidP="0052044D">
            <w:pPr>
              <w:spacing w:line="276" w:lineRule="auto"/>
              <w:contextualSpacing/>
              <w:rPr>
                <w:rFonts w:ascii="Arial" w:eastAsia="Calibri" w:hAnsi="Arial" w:cs="Arial"/>
                <w:kern w:val="0"/>
                <w:sz w:val="24"/>
                <w:szCs w:val="24"/>
                <w14:ligatures w14:val="none"/>
              </w:rPr>
            </w:pPr>
            <w:r w:rsidRPr="00B5109F">
              <w:rPr>
                <w:rFonts w:ascii="Arial" w:hAnsi="Arial" w:cs="Arial"/>
                <w:color w:val="000000" w:themeColor="text1"/>
                <w:sz w:val="24"/>
                <w:szCs w:val="24"/>
                <w:lang w:bidi="en-US"/>
              </w:rPr>
              <w:t>Kontroler dysków</w:t>
            </w:r>
          </w:p>
        </w:tc>
        <w:tc>
          <w:tcPr>
            <w:tcW w:w="6662" w:type="dxa"/>
          </w:tcPr>
          <w:p w14:paraId="7C3922C9" w14:textId="7B54BD14" w:rsidR="00550F28" w:rsidRPr="00B5109F" w:rsidRDefault="00550F28" w:rsidP="00550F28">
            <w:pPr>
              <w:spacing w:line="276" w:lineRule="auto"/>
              <w:jc w:val="both"/>
              <w:rPr>
                <w:rFonts w:ascii="Arial" w:eastAsia="Calibri" w:hAnsi="Arial" w:cs="Arial"/>
                <w:kern w:val="0"/>
                <w:sz w:val="24"/>
                <w:szCs w:val="24"/>
                <w14:ligatures w14:val="none"/>
              </w:rPr>
            </w:pPr>
            <w:r w:rsidRPr="00B5109F">
              <w:rPr>
                <w:rFonts w:ascii="Arial" w:hAnsi="Arial" w:cs="Arial"/>
                <w:color w:val="000000" w:themeColor="text1"/>
                <w:sz w:val="24"/>
                <w:szCs w:val="24"/>
              </w:rPr>
              <w:t>Kontroler dyskowy obsługujący poziomy RAID 0/1/5/10.</w:t>
            </w:r>
          </w:p>
        </w:tc>
      </w:tr>
      <w:tr w:rsidR="00550F28" w:rsidRPr="00B5109F" w14:paraId="63574FB3"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09E0C5BB" w14:textId="77777777" w:rsidR="00550F28" w:rsidRPr="00B5109F" w:rsidRDefault="00550F28"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0F0E5F64" w14:textId="165CF90B" w:rsidR="00550F28" w:rsidRPr="00B5109F" w:rsidRDefault="00550F28" w:rsidP="0052044D">
            <w:pPr>
              <w:spacing w:line="276" w:lineRule="auto"/>
              <w:contextualSpacing/>
              <w:rPr>
                <w:rFonts w:ascii="Arial" w:eastAsia="Calibri" w:hAnsi="Arial" w:cs="Arial"/>
                <w:kern w:val="0"/>
                <w:sz w:val="24"/>
                <w:szCs w:val="24"/>
                <w14:ligatures w14:val="none"/>
              </w:rPr>
            </w:pPr>
            <w:r w:rsidRPr="00B5109F">
              <w:rPr>
                <w:rFonts w:ascii="Arial" w:hAnsi="Arial" w:cs="Arial"/>
                <w:color w:val="000000" w:themeColor="text1"/>
                <w:sz w:val="24"/>
                <w:szCs w:val="24"/>
                <w:lang w:bidi="en-US"/>
              </w:rPr>
              <w:t>Dyski twarde</w:t>
            </w:r>
          </w:p>
        </w:tc>
        <w:tc>
          <w:tcPr>
            <w:tcW w:w="6662" w:type="dxa"/>
          </w:tcPr>
          <w:p w14:paraId="07CAE39B" w14:textId="77777777" w:rsidR="00550F28" w:rsidRPr="00B5109F" w:rsidRDefault="00550F28" w:rsidP="0008169B">
            <w:pPr>
              <w:pStyle w:val="Akapitzlist"/>
              <w:numPr>
                <w:ilvl w:val="0"/>
                <w:numId w:val="30"/>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Zainstalowane 2 dyski 480GB M.2 </w:t>
            </w:r>
            <w:proofErr w:type="spellStart"/>
            <w:r w:rsidRPr="00B5109F">
              <w:rPr>
                <w:rFonts w:ascii="Arial" w:eastAsia="Calibri" w:hAnsi="Arial" w:cs="Arial"/>
                <w:kern w:val="0"/>
                <w:sz w:val="24"/>
                <w:szCs w:val="24"/>
                <w14:ligatures w14:val="none"/>
              </w:rPr>
              <w:t>NVMe</w:t>
            </w:r>
            <w:proofErr w:type="spellEnd"/>
            <w:r w:rsidRPr="00B5109F">
              <w:rPr>
                <w:rFonts w:ascii="Arial" w:eastAsia="Calibri" w:hAnsi="Arial" w:cs="Arial"/>
                <w:kern w:val="0"/>
                <w:sz w:val="24"/>
                <w:szCs w:val="24"/>
                <w14:ligatures w14:val="none"/>
              </w:rPr>
              <w:t xml:space="preserve"> na potrzeby </w:t>
            </w:r>
            <w:proofErr w:type="spellStart"/>
            <w:r w:rsidRPr="00B5109F">
              <w:rPr>
                <w:rFonts w:ascii="Arial" w:eastAsia="Calibri" w:hAnsi="Arial" w:cs="Arial"/>
                <w:kern w:val="0"/>
                <w:sz w:val="24"/>
                <w:szCs w:val="24"/>
                <w14:ligatures w14:val="none"/>
              </w:rPr>
              <w:t>boot</w:t>
            </w:r>
            <w:proofErr w:type="spellEnd"/>
            <w:r w:rsidRPr="00B5109F">
              <w:rPr>
                <w:rFonts w:ascii="Arial" w:eastAsia="Calibri" w:hAnsi="Arial" w:cs="Arial"/>
                <w:kern w:val="0"/>
                <w:sz w:val="24"/>
                <w:szCs w:val="24"/>
                <w14:ligatures w14:val="none"/>
              </w:rPr>
              <w:t xml:space="preserve"> OS skonfigurowane w RAID 1 na dedykowanym kontrolerze sprzętowym.</w:t>
            </w:r>
          </w:p>
          <w:p w14:paraId="356E4B9B" w14:textId="0456FD43" w:rsidR="00550F28" w:rsidRPr="00B5109F" w:rsidRDefault="00550F28" w:rsidP="0008169B">
            <w:pPr>
              <w:pStyle w:val="Akapitzlist"/>
              <w:numPr>
                <w:ilvl w:val="0"/>
                <w:numId w:val="30"/>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Dodatkowo zainstalowane na froncie serwera co najmniej </w:t>
            </w:r>
            <w:r w:rsidR="00A745C9" w:rsidRPr="00B5109F">
              <w:rPr>
                <w:rFonts w:ascii="Arial" w:eastAsia="Calibri" w:hAnsi="Arial" w:cs="Arial"/>
                <w:kern w:val="0"/>
                <w:sz w:val="24"/>
                <w:szCs w:val="24"/>
                <w14:ligatures w14:val="none"/>
              </w:rPr>
              <w:t>1</w:t>
            </w:r>
            <w:r w:rsidRPr="00B5109F">
              <w:rPr>
                <w:rFonts w:ascii="Arial" w:eastAsia="Calibri" w:hAnsi="Arial" w:cs="Arial"/>
                <w:kern w:val="0"/>
                <w:sz w:val="24"/>
                <w:szCs w:val="24"/>
                <w14:ligatures w14:val="none"/>
              </w:rPr>
              <w:t>2 dysk</w:t>
            </w:r>
            <w:r w:rsidR="00A745C9" w:rsidRPr="00B5109F">
              <w:rPr>
                <w:rFonts w:ascii="Arial" w:eastAsia="Calibri" w:hAnsi="Arial" w:cs="Arial"/>
                <w:kern w:val="0"/>
                <w:sz w:val="24"/>
                <w:szCs w:val="24"/>
                <w14:ligatures w14:val="none"/>
              </w:rPr>
              <w:t>ów</w:t>
            </w:r>
            <w:r w:rsidRPr="00B5109F">
              <w:rPr>
                <w:rFonts w:ascii="Arial" w:eastAsia="Calibri" w:hAnsi="Arial" w:cs="Arial"/>
                <w:kern w:val="0"/>
                <w:sz w:val="24"/>
                <w:szCs w:val="24"/>
                <w14:ligatures w14:val="none"/>
              </w:rPr>
              <w:t xml:space="preserve"> </w:t>
            </w:r>
            <w:proofErr w:type="spellStart"/>
            <w:r w:rsidRPr="00B5109F">
              <w:rPr>
                <w:rFonts w:ascii="Arial" w:eastAsia="Calibri" w:hAnsi="Arial" w:cs="Arial"/>
                <w:kern w:val="0"/>
                <w:sz w:val="24"/>
                <w:szCs w:val="24"/>
                <w14:ligatures w14:val="none"/>
              </w:rPr>
              <w:t>NVMe</w:t>
            </w:r>
            <w:proofErr w:type="spellEnd"/>
            <w:r w:rsidRPr="00B5109F">
              <w:rPr>
                <w:rFonts w:ascii="Arial" w:eastAsia="Calibri" w:hAnsi="Arial" w:cs="Arial"/>
                <w:kern w:val="0"/>
                <w:sz w:val="24"/>
                <w:szCs w:val="24"/>
                <w14:ligatures w14:val="none"/>
              </w:rPr>
              <w:t xml:space="preserve">, każdy o pojemności nie mniej niż 3 TB, obsługujący </w:t>
            </w:r>
            <w:proofErr w:type="spellStart"/>
            <w:r w:rsidRPr="00B5109F">
              <w:rPr>
                <w:rFonts w:ascii="Arial" w:eastAsia="Calibri" w:hAnsi="Arial" w:cs="Arial"/>
                <w:kern w:val="0"/>
                <w:sz w:val="24"/>
                <w:szCs w:val="24"/>
                <w14:ligatures w14:val="none"/>
              </w:rPr>
              <w:t>NVMe</w:t>
            </w:r>
            <w:proofErr w:type="spellEnd"/>
            <w:r w:rsidRPr="00B5109F">
              <w:rPr>
                <w:rFonts w:ascii="Arial" w:eastAsia="Calibri" w:hAnsi="Arial" w:cs="Arial"/>
                <w:kern w:val="0"/>
                <w:sz w:val="24"/>
                <w:szCs w:val="24"/>
                <w14:ligatures w14:val="none"/>
              </w:rPr>
              <w:t xml:space="preserve"> Gen4, gwarantujący trwałość na poziomie nie niższym niż DWPD 3 (Drive </w:t>
            </w:r>
            <w:proofErr w:type="spellStart"/>
            <w:r w:rsidRPr="00B5109F">
              <w:rPr>
                <w:rFonts w:ascii="Arial" w:eastAsia="Calibri" w:hAnsi="Arial" w:cs="Arial"/>
                <w:kern w:val="0"/>
                <w:sz w:val="24"/>
                <w:szCs w:val="24"/>
                <w14:ligatures w14:val="none"/>
              </w:rPr>
              <w:t>Writes</w:t>
            </w:r>
            <w:proofErr w:type="spellEnd"/>
            <w:r w:rsidRPr="00B5109F">
              <w:rPr>
                <w:rFonts w:ascii="Arial" w:eastAsia="Calibri" w:hAnsi="Arial" w:cs="Arial"/>
                <w:kern w:val="0"/>
                <w:sz w:val="24"/>
                <w:szCs w:val="24"/>
                <w14:ligatures w14:val="none"/>
              </w:rPr>
              <w:t xml:space="preserve"> Per Day), z możliwością dołożenia kolejnych </w:t>
            </w:r>
            <w:r w:rsidR="00810A4D" w:rsidRPr="00B5109F">
              <w:rPr>
                <w:rFonts w:ascii="Arial" w:eastAsia="Calibri" w:hAnsi="Arial" w:cs="Arial"/>
                <w:kern w:val="0"/>
                <w:sz w:val="24"/>
                <w:szCs w:val="24"/>
                <w14:ligatures w14:val="none"/>
              </w:rPr>
              <w:t>8</w:t>
            </w:r>
            <w:r w:rsidRPr="00B5109F">
              <w:rPr>
                <w:rFonts w:ascii="Arial" w:eastAsia="Calibri" w:hAnsi="Arial" w:cs="Arial"/>
                <w:kern w:val="0"/>
                <w:sz w:val="24"/>
                <w:szCs w:val="24"/>
                <w14:ligatures w14:val="none"/>
              </w:rPr>
              <w:t xml:space="preserve"> szt. dysków.</w:t>
            </w:r>
          </w:p>
        </w:tc>
      </w:tr>
      <w:tr w:rsidR="00550F28" w:rsidRPr="00B5109F" w14:paraId="689CDBF1"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30DAFDE1" w14:textId="77777777" w:rsidR="00550F28" w:rsidRPr="00B5109F" w:rsidRDefault="00550F28"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5C4A66CB" w14:textId="77066298" w:rsidR="00550F28" w:rsidRPr="00B5109F" w:rsidRDefault="00550F28" w:rsidP="0052044D">
            <w:pPr>
              <w:spacing w:line="276" w:lineRule="auto"/>
              <w:contextualSpacing/>
              <w:rPr>
                <w:rFonts w:ascii="Arial" w:hAnsi="Arial" w:cs="Arial"/>
                <w:color w:val="000000" w:themeColor="text1"/>
                <w:sz w:val="24"/>
                <w:szCs w:val="24"/>
                <w:lang w:bidi="en-US"/>
              </w:rPr>
            </w:pPr>
            <w:r w:rsidRPr="00B5109F">
              <w:rPr>
                <w:rFonts w:ascii="Arial" w:eastAsia="Calibri" w:hAnsi="Arial" w:cs="Arial"/>
                <w:kern w:val="0"/>
                <w:sz w:val="24"/>
                <w:szCs w:val="24"/>
                <w14:ligatures w14:val="none"/>
              </w:rPr>
              <w:t>Bezpieczeństwo</w:t>
            </w:r>
          </w:p>
        </w:tc>
        <w:tc>
          <w:tcPr>
            <w:tcW w:w="6662" w:type="dxa"/>
          </w:tcPr>
          <w:p w14:paraId="2D567395" w14:textId="4B014F10" w:rsidR="00550F28" w:rsidRPr="00B5109F" w:rsidRDefault="00550F28" w:rsidP="00550F28">
            <w:pPr>
              <w:spacing w:line="276" w:lineRule="auto"/>
              <w:jc w:val="both"/>
              <w:rPr>
                <w:rFonts w:ascii="Arial" w:hAnsi="Arial" w:cs="Arial"/>
                <w:color w:val="000000" w:themeColor="text1"/>
                <w:sz w:val="24"/>
                <w:szCs w:val="24"/>
              </w:rPr>
            </w:pPr>
            <w:r w:rsidRPr="00B5109F">
              <w:rPr>
                <w:rFonts w:ascii="Arial" w:eastAsia="Calibri" w:hAnsi="Arial" w:cs="Arial"/>
                <w:kern w:val="0"/>
                <w:sz w:val="24"/>
                <w:szCs w:val="24"/>
                <w14:ligatures w14:val="none"/>
              </w:rPr>
              <w:t>Moduł TPM 2.0</w:t>
            </w:r>
          </w:p>
        </w:tc>
      </w:tr>
      <w:tr w:rsidR="00550F28" w:rsidRPr="00B5109F" w14:paraId="713F4373"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4623B151" w14:textId="77777777" w:rsidR="00550F28" w:rsidRPr="00B5109F" w:rsidRDefault="00550F28"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62564D8F" w14:textId="5EF0C5D4" w:rsidR="00550F28" w:rsidRPr="00B5109F" w:rsidRDefault="00550F28" w:rsidP="0052044D">
            <w:pPr>
              <w:spacing w:line="276" w:lineRule="auto"/>
              <w:contextualSpacing/>
              <w:rPr>
                <w:rFonts w:ascii="Arial" w:hAnsi="Arial" w:cs="Arial"/>
                <w:color w:val="000000" w:themeColor="text1"/>
                <w:sz w:val="24"/>
                <w:szCs w:val="24"/>
                <w:lang w:bidi="en-US"/>
              </w:rPr>
            </w:pPr>
            <w:r w:rsidRPr="00B5109F">
              <w:rPr>
                <w:rFonts w:ascii="Arial" w:eastAsia="Calibri" w:hAnsi="Arial" w:cs="Arial"/>
                <w:kern w:val="0"/>
                <w:sz w:val="24"/>
                <w:szCs w:val="24"/>
                <w14:ligatures w14:val="none"/>
              </w:rPr>
              <w:t>Porty</w:t>
            </w:r>
          </w:p>
        </w:tc>
        <w:tc>
          <w:tcPr>
            <w:tcW w:w="6662" w:type="dxa"/>
          </w:tcPr>
          <w:p w14:paraId="23EA5EB0" w14:textId="7CC105FA" w:rsidR="00550F28" w:rsidRPr="00B5109F" w:rsidRDefault="0077239B" w:rsidP="00550F28">
            <w:pPr>
              <w:spacing w:line="276" w:lineRule="auto"/>
              <w:jc w:val="both"/>
              <w:rPr>
                <w:rFonts w:ascii="Arial" w:hAnsi="Arial" w:cs="Arial"/>
                <w:color w:val="000000" w:themeColor="text1"/>
                <w:sz w:val="24"/>
                <w:szCs w:val="24"/>
              </w:rPr>
            </w:pPr>
            <w:r w:rsidRPr="00B5109F">
              <w:rPr>
                <w:rFonts w:ascii="Arial" w:eastAsia="Calibri" w:hAnsi="Arial" w:cs="Arial"/>
                <w:kern w:val="0"/>
                <w:sz w:val="24"/>
                <w:szCs w:val="24"/>
                <w14:ligatures w14:val="none"/>
              </w:rPr>
              <w:t>Minimum 2</w:t>
            </w:r>
            <w:r w:rsidR="00550F28" w:rsidRPr="00B5109F">
              <w:rPr>
                <w:rFonts w:ascii="Arial" w:eastAsia="Calibri" w:hAnsi="Arial" w:cs="Arial"/>
                <w:kern w:val="0"/>
                <w:sz w:val="24"/>
                <w:szCs w:val="24"/>
                <w14:ligatures w14:val="none"/>
              </w:rPr>
              <w:t xml:space="preserve"> x USB 3.2 Gen 1 (zewnętrzny)</w:t>
            </w:r>
          </w:p>
        </w:tc>
      </w:tr>
      <w:tr w:rsidR="00550F28" w:rsidRPr="00B5109F" w14:paraId="071712C8"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7BE8FC8C" w14:textId="77777777" w:rsidR="00550F28" w:rsidRPr="00B5109F" w:rsidRDefault="00550F28"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342D881D" w14:textId="7CC0BE50" w:rsidR="00550F28" w:rsidRPr="00B5109F" w:rsidRDefault="00550F28" w:rsidP="0052044D">
            <w:pPr>
              <w:spacing w:line="276" w:lineRule="auto"/>
              <w:contextualSpacing/>
              <w:rPr>
                <w:rFonts w:ascii="Arial" w:hAnsi="Arial" w:cs="Arial"/>
                <w:color w:val="000000" w:themeColor="text1"/>
                <w:sz w:val="24"/>
                <w:szCs w:val="24"/>
                <w:lang w:bidi="en-US"/>
              </w:rPr>
            </w:pPr>
            <w:r w:rsidRPr="00B5109F">
              <w:rPr>
                <w:rFonts w:ascii="Arial" w:eastAsia="Calibri" w:hAnsi="Arial" w:cs="Arial"/>
                <w:kern w:val="0"/>
                <w:sz w:val="24"/>
                <w:szCs w:val="24"/>
                <w14:ligatures w14:val="none"/>
              </w:rPr>
              <w:t>Wsparcie dla systemów operacyjnych</w:t>
            </w:r>
          </w:p>
        </w:tc>
        <w:tc>
          <w:tcPr>
            <w:tcW w:w="6662" w:type="dxa"/>
          </w:tcPr>
          <w:p w14:paraId="0951FA5A" w14:textId="77777777" w:rsidR="00550F28" w:rsidRPr="00B5109F" w:rsidRDefault="00550F28" w:rsidP="0008169B">
            <w:pPr>
              <w:pStyle w:val="Akapitzlist"/>
              <w:numPr>
                <w:ilvl w:val="0"/>
                <w:numId w:val="32"/>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VMware vSphere ESXi 8.0</w:t>
            </w:r>
          </w:p>
          <w:p w14:paraId="28FE08C4" w14:textId="77777777" w:rsidR="00550F28" w:rsidRPr="00B5109F" w:rsidRDefault="00550F28" w:rsidP="0008169B">
            <w:pPr>
              <w:pStyle w:val="Akapitzlist"/>
              <w:numPr>
                <w:ilvl w:val="0"/>
                <w:numId w:val="32"/>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Microsoft Windows Server 2019/2022</w:t>
            </w:r>
          </w:p>
          <w:p w14:paraId="34A31847" w14:textId="363DFB75" w:rsidR="00550F28" w:rsidRPr="00B5109F" w:rsidRDefault="00550F28" w:rsidP="0008169B">
            <w:pPr>
              <w:pStyle w:val="Akapitzlist"/>
              <w:numPr>
                <w:ilvl w:val="0"/>
                <w:numId w:val="32"/>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Red Hat Enterprise Linux (RHEL) 8.x</w:t>
            </w:r>
            <w:r w:rsidR="0052044D" w:rsidRPr="00B5109F">
              <w:rPr>
                <w:rFonts w:ascii="Arial" w:eastAsia="Calibri" w:hAnsi="Arial" w:cs="Arial"/>
                <w:kern w:val="0"/>
                <w:sz w:val="24"/>
                <w:szCs w:val="24"/>
                <w14:ligatures w14:val="none"/>
              </w:rPr>
              <w:t xml:space="preserve"> i nowszy</w:t>
            </w:r>
          </w:p>
          <w:p w14:paraId="1E8B3698" w14:textId="77777777" w:rsidR="00550F28" w:rsidRPr="00B5109F" w:rsidRDefault="00550F28" w:rsidP="0008169B">
            <w:pPr>
              <w:pStyle w:val="Akapitzlist"/>
              <w:numPr>
                <w:ilvl w:val="0"/>
                <w:numId w:val="32"/>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SUSE Linux Enterprise Server (SLES) 12 i nowszy</w:t>
            </w:r>
          </w:p>
          <w:p w14:paraId="51CB80BF" w14:textId="52BFAE36" w:rsidR="00550F28" w:rsidRPr="00B5109F" w:rsidRDefault="00550F28" w:rsidP="0008169B">
            <w:pPr>
              <w:pStyle w:val="Akapitzlist"/>
              <w:numPr>
                <w:ilvl w:val="0"/>
                <w:numId w:val="32"/>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SUSE Linux Enterprise Server for SAP Applications 12 I nowsze</w:t>
            </w:r>
          </w:p>
        </w:tc>
      </w:tr>
      <w:tr w:rsidR="00550F28" w:rsidRPr="00B5109F" w14:paraId="78D2D0AF"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49BF51D2" w14:textId="77777777" w:rsidR="00550F28" w:rsidRPr="00B5109F" w:rsidRDefault="00550F28"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51B5DCCB" w14:textId="2840BF3A" w:rsidR="00550F28" w:rsidRPr="00B5109F" w:rsidRDefault="0052044D" w:rsidP="0052044D">
            <w:pPr>
              <w:spacing w:line="276" w:lineRule="auto"/>
              <w:contextualSpacing/>
              <w:rPr>
                <w:rFonts w:ascii="Arial" w:hAnsi="Arial" w:cs="Arial"/>
                <w:color w:val="000000" w:themeColor="text1"/>
                <w:sz w:val="24"/>
                <w:szCs w:val="24"/>
                <w:lang w:bidi="en-US"/>
              </w:rPr>
            </w:pPr>
            <w:r w:rsidRPr="00B5109F">
              <w:rPr>
                <w:rFonts w:ascii="Arial" w:hAnsi="Arial" w:cs="Arial"/>
                <w:color w:val="000000" w:themeColor="text1"/>
                <w:sz w:val="24"/>
                <w:szCs w:val="24"/>
                <w:lang w:bidi="en-US"/>
              </w:rPr>
              <w:t>Płyta główna</w:t>
            </w:r>
          </w:p>
        </w:tc>
        <w:tc>
          <w:tcPr>
            <w:tcW w:w="6662" w:type="dxa"/>
          </w:tcPr>
          <w:p w14:paraId="48E4490A" w14:textId="77777777" w:rsidR="00550F28" w:rsidRPr="00B5109F" w:rsidRDefault="00550F28" w:rsidP="00550F28">
            <w:pPr>
              <w:spacing w:line="276" w:lineRule="auto"/>
              <w:jc w:val="both"/>
              <w:rPr>
                <w:rFonts w:ascii="Arial" w:hAnsi="Arial" w:cs="Arial"/>
                <w:color w:val="000000" w:themeColor="text1"/>
                <w:sz w:val="24"/>
                <w:szCs w:val="24"/>
              </w:rPr>
            </w:pPr>
            <w:r w:rsidRPr="00B5109F">
              <w:rPr>
                <w:rFonts w:ascii="Arial" w:hAnsi="Arial" w:cs="Arial"/>
                <w:color w:val="000000" w:themeColor="text1"/>
                <w:sz w:val="24"/>
                <w:szCs w:val="24"/>
              </w:rPr>
              <w:t>Płyta główna umożliwiająca obsługę procesora zaoferowanego przez Wykonawcę zaprojektowana i wyprodukowana przez producenta serwera. Chipset płyty głównej z natywną obsługą USB 3.0.</w:t>
            </w:r>
          </w:p>
        </w:tc>
      </w:tr>
      <w:tr w:rsidR="0052044D" w:rsidRPr="00B5109F" w14:paraId="1AFB76A8"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21E2979B" w14:textId="77777777" w:rsidR="0052044D" w:rsidRPr="00B5109F" w:rsidRDefault="0052044D" w:rsidP="0008169B">
            <w:pPr>
              <w:pStyle w:val="Akapitzlist"/>
              <w:numPr>
                <w:ilvl w:val="0"/>
                <w:numId w:val="27"/>
              </w:numPr>
              <w:spacing w:line="276" w:lineRule="auto"/>
              <w:jc w:val="center"/>
              <w:rPr>
                <w:rFonts w:ascii="Arial" w:hAnsi="Arial" w:cs="Arial"/>
                <w:color w:val="000000" w:themeColor="text1"/>
                <w:sz w:val="24"/>
                <w:szCs w:val="24"/>
                <w:lang w:bidi="en-US"/>
              </w:rPr>
            </w:pPr>
          </w:p>
        </w:tc>
        <w:tc>
          <w:tcPr>
            <w:tcW w:w="2411" w:type="dxa"/>
            <w:vAlign w:val="center"/>
          </w:tcPr>
          <w:p w14:paraId="4A9CB16D" w14:textId="44694DE8" w:rsidR="0052044D" w:rsidRPr="00B5109F" w:rsidRDefault="0052044D" w:rsidP="0052044D">
            <w:pPr>
              <w:spacing w:line="276" w:lineRule="auto"/>
              <w:contextualSpacing/>
              <w:rPr>
                <w:rFonts w:ascii="Arial" w:hAnsi="Arial" w:cs="Arial"/>
                <w:color w:val="000000" w:themeColor="text1"/>
                <w:sz w:val="24"/>
                <w:szCs w:val="24"/>
                <w:lang w:bidi="en-US"/>
              </w:rPr>
            </w:pPr>
            <w:r w:rsidRPr="00B5109F">
              <w:rPr>
                <w:rFonts w:ascii="Arial" w:hAnsi="Arial" w:cs="Arial"/>
                <w:color w:val="000000" w:themeColor="text1"/>
                <w:sz w:val="24"/>
                <w:szCs w:val="24"/>
                <w:lang w:bidi="en-US"/>
              </w:rPr>
              <w:t>Zasilacze</w:t>
            </w:r>
          </w:p>
        </w:tc>
        <w:tc>
          <w:tcPr>
            <w:tcW w:w="6662" w:type="dxa"/>
          </w:tcPr>
          <w:p w14:paraId="784F72FE" w14:textId="16DE9639" w:rsidR="0052044D" w:rsidRPr="00B5109F" w:rsidRDefault="0052044D" w:rsidP="0052044D">
            <w:pPr>
              <w:spacing w:line="276" w:lineRule="auto"/>
              <w:jc w:val="both"/>
              <w:rPr>
                <w:rFonts w:ascii="Arial" w:hAnsi="Arial" w:cs="Arial"/>
                <w:color w:val="000000" w:themeColor="text1"/>
                <w:sz w:val="24"/>
                <w:szCs w:val="24"/>
              </w:rPr>
            </w:pPr>
            <w:r w:rsidRPr="00B5109F">
              <w:rPr>
                <w:rFonts w:ascii="Arial" w:hAnsi="Arial" w:cs="Arial"/>
                <w:sz w:val="24"/>
                <w:szCs w:val="24"/>
              </w:rPr>
              <w:t xml:space="preserve">Dwa redundantne zasilacze hot-plug 230V 50-60Hz – gdzie przy awarii pojedynczego zasilacza serwer musi mieć możliwość pracy z pełną wydajnością. </w:t>
            </w:r>
          </w:p>
        </w:tc>
      </w:tr>
      <w:tr w:rsidR="0052044D" w:rsidRPr="00B5109F" w14:paraId="646B402C"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734CE5CF" w14:textId="77777777" w:rsidR="0052044D" w:rsidRPr="00B5109F" w:rsidRDefault="0052044D" w:rsidP="0008169B">
            <w:pPr>
              <w:pStyle w:val="Akapitzlist"/>
              <w:numPr>
                <w:ilvl w:val="0"/>
                <w:numId w:val="27"/>
              </w:numPr>
              <w:spacing w:line="276" w:lineRule="auto"/>
              <w:jc w:val="center"/>
              <w:rPr>
                <w:rFonts w:ascii="Arial" w:hAnsi="Arial" w:cs="Arial"/>
                <w:sz w:val="24"/>
                <w:szCs w:val="24"/>
                <w:lang w:bidi="en-US"/>
              </w:rPr>
            </w:pPr>
          </w:p>
        </w:tc>
        <w:tc>
          <w:tcPr>
            <w:tcW w:w="2411" w:type="dxa"/>
            <w:vAlign w:val="center"/>
          </w:tcPr>
          <w:p w14:paraId="001F7A8F" w14:textId="2850CB46" w:rsidR="0052044D" w:rsidRPr="00B5109F" w:rsidRDefault="0052044D" w:rsidP="0052044D">
            <w:pPr>
              <w:spacing w:line="276" w:lineRule="auto"/>
              <w:contextualSpacing/>
              <w:rPr>
                <w:rFonts w:ascii="Arial" w:hAnsi="Arial" w:cs="Arial"/>
                <w:color w:val="000000" w:themeColor="text1"/>
                <w:sz w:val="24"/>
                <w:szCs w:val="24"/>
                <w:lang w:bidi="en-US"/>
              </w:rPr>
            </w:pPr>
            <w:r w:rsidRPr="00B5109F">
              <w:rPr>
                <w:rFonts w:ascii="Arial" w:hAnsi="Arial" w:cs="Arial"/>
                <w:color w:val="000000" w:themeColor="text1"/>
                <w:sz w:val="24"/>
                <w:szCs w:val="24"/>
                <w:lang w:bidi="en-US"/>
              </w:rPr>
              <w:t>Obudowa serwera</w:t>
            </w:r>
          </w:p>
        </w:tc>
        <w:tc>
          <w:tcPr>
            <w:tcW w:w="6662" w:type="dxa"/>
          </w:tcPr>
          <w:p w14:paraId="52AD7B97" w14:textId="31938489" w:rsidR="0052044D" w:rsidRPr="00B5109F" w:rsidRDefault="0052044D" w:rsidP="0052044D">
            <w:pPr>
              <w:spacing w:line="276" w:lineRule="auto"/>
              <w:jc w:val="both"/>
              <w:rPr>
                <w:rFonts w:ascii="Arial" w:hAnsi="Arial" w:cs="Arial"/>
                <w:sz w:val="24"/>
                <w:szCs w:val="24"/>
              </w:rPr>
            </w:pPr>
            <w:r w:rsidRPr="00B5109F">
              <w:rPr>
                <w:rFonts w:ascii="Arial" w:hAnsi="Arial" w:cs="Arial"/>
                <w:sz w:val="24"/>
                <w:szCs w:val="24"/>
              </w:rPr>
              <w:t>Obudowa typu RACK o wielkości maksymalnej 2U, wentylatory redundantne typu hot-plug</w:t>
            </w:r>
            <w:r w:rsidR="00FF3188" w:rsidRPr="00B5109F">
              <w:rPr>
                <w:rFonts w:ascii="Arial" w:hAnsi="Arial" w:cs="Arial"/>
                <w:sz w:val="24"/>
                <w:szCs w:val="24"/>
              </w:rPr>
              <w:t xml:space="preserve"> – adekwatne do realizowanych obciążeń i TDM procesorów</w:t>
            </w:r>
            <w:r w:rsidRPr="00B5109F">
              <w:rPr>
                <w:rFonts w:ascii="Arial" w:hAnsi="Arial" w:cs="Arial"/>
                <w:sz w:val="24"/>
                <w:szCs w:val="24"/>
              </w:rPr>
              <w:t>.</w:t>
            </w:r>
          </w:p>
        </w:tc>
      </w:tr>
      <w:tr w:rsidR="0052044D" w:rsidRPr="00B5109F" w14:paraId="36908C26"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290F98BA" w14:textId="77777777" w:rsidR="0052044D" w:rsidRPr="00B5109F" w:rsidRDefault="0052044D" w:rsidP="0008169B">
            <w:pPr>
              <w:pStyle w:val="Akapitzlist"/>
              <w:numPr>
                <w:ilvl w:val="0"/>
                <w:numId w:val="27"/>
              </w:numPr>
              <w:spacing w:line="276" w:lineRule="auto"/>
              <w:jc w:val="center"/>
              <w:rPr>
                <w:rFonts w:ascii="Arial" w:hAnsi="Arial" w:cs="Arial"/>
                <w:sz w:val="24"/>
                <w:szCs w:val="24"/>
                <w:lang w:bidi="en-US"/>
              </w:rPr>
            </w:pPr>
          </w:p>
        </w:tc>
        <w:tc>
          <w:tcPr>
            <w:tcW w:w="2411" w:type="dxa"/>
            <w:vAlign w:val="center"/>
          </w:tcPr>
          <w:p w14:paraId="0189CAEE" w14:textId="4C728C52" w:rsidR="0052044D" w:rsidRPr="00B5109F" w:rsidRDefault="0052044D" w:rsidP="0052044D">
            <w:pPr>
              <w:spacing w:line="276" w:lineRule="auto"/>
              <w:contextualSpacing/>
              <w:rPr>
                <w:rFonts w:ascii="Arial" w:hAnsi="Arial" w:cs="Arial"/>
                <w:color w:val="000000" w:themeColor="text1"/>
                <w:sz w:val="24"/>
                <w:szCs w:val="24"/>
                <w:lang w:bidi="en-US"/>
              </w:rPr>
            </w:pPr>
            <w:r w:rsidRPr="00B5109F">
              <w:rPr>
                <w:rFonts w:ascii="Arial" w:hAnsi="Arial" w:cs="Arial"/>
                <w:color w:val="000000" w:themeColor="text1"/>
                <w:sz w:val="24"/>
                <w:szCs w:val="24"/>
                <w:lang w:bidi="en-US"/>
              </w:rPr>
              <w:t>Wymagania dodatkowe</w:t>
            </w:r>
          </w:p>
        </w:tc>
        <w:tc>
          <w:tcPr>
            <w:tcW w:w="6662" w:type="dxa"/>
          </w:tcPr>
          <w:p w14:paraId="2E092B61" w14:textId="77777777" w:rsidR="0052044D" w:rsidRPr="00B5109F" w:rsidRDefault="0052044D" w:rsidP="0052044D">
            <w:pPr>
              <w:spacing w:line="276" w:lineRule="auto"/>
              <w:jc w:val="both"/>
              <w:rPr>
                <w:rFonts w:ascii="Arial" w:hAnsi="Arial" w:cs="Arial"/>
                <w:sz w:val="24"/>
                <w:szCs w:val="24"/>
              </w:rPr>
            </w:pPr>
            <w:r w:rsidRPr="00B5109F">
              <w:rPr>
                <w:rFonts w:ascii="Arial" w:hAnsi="Arial" w:cs="Arial"/>
                <w:sz w:val="24"/>
                <w:szCs w:val="24"/>
              </w:rPr>
              <w:t>Karta graficzna umożliwiająca wyświetlanie obrazu o rozdzielczości 1280x1024 dopuszcza się możliwość stosowania zintegrowanych z płytą główną kart graficznych.</w:t>
            </w:r>
          </w:p>
          <w:p w14:paraId="4CCB83EA" w14:textId="195EFEB0" w:rsidR="0052044D" w:rsidRPr="00B5109F" w:rsidRDefault="0052044D" w:rsidP="0052044D">
            <w:pPr>
              <w:spacing w:line="276" w:lineRule="auto"/>
              <w:jc w:val="both"/>
              <w:rPr>
                <w:rFonts w:ascii="Arial" w:hAnsi="Arial" w:cs="Arial"/>
                <w:sz w:val="24"/>
                <w:szCs w:val="24"/>
              </w:rPr>
            </w:pPr>
            <w:r w:rsidRPr="00B5109F">
              <w:rPr>
                <w:rFonts w:ascii="Arial" w:hAnsi="Arial" w:cs="Arial"/>
                <w:bCs/>
                <w:sz w:val="24"/>
                <w:szCs w:val="24"/>
              </w:rPr>
              <w:t>Zestaw szybkiego montażu, czyli wszelkie elementy montażowe do szafy 19” np. śruby, nakrętki, uchwyty, maskownice, szyny, prowadnice i inne elementy, wymagane do późniejszej prawidłowej i bezpiecznej instalacji i eksploatacji urządzeń w szafach.</w:t>
            </w:r>
          </w:p>
        </w:tc>
      </w:tr>
      <w:tr w:rsidR="0052044D" w:rsidRPr="00B5109F" w14:paraId="0B055D22"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Pr>
          <w:p w14:paraId="0AE00863" w14:textId="77777777" w:rsidR="0052044D" w:rsidRPr="00B5109F" w:rsidRDefault="0052044D" w:rsidP="0008169B">
            <w:pPr>
              <w:pStyle w:val="Akapitzlist"/>
              <w:numPr>
                <w:ilvl w:val="0"/>
                <w:numId w:val="27"/>
              </w:numPr>
              <w:spacing w:line="276" w:lineRule="auto"/>
              <w:jc w:val="center"/>
              <w:rPr>
                <w:rFonts w:ascii="Arial" w:hAnsi="Arial" w:cs="Arial"/>
                <w:sz w:val="24"/>
                <w:szCs w:val="24"/>
                <w:lang w:bidi="en-US"/>
              </w:rPr>
            </w:pPr>
          </w:p>
        </w:tc>
        <w:tc>
          <w:tcPr>
            <w:tcW w:w="2411" w:type="dxa"/>
          </w:tcPr>
          <w:p w14:paraId="21367533" w14:textId="4CBF1163" w:rsidR="0052044D" w:rsidRPr="00B5109F" w:rsidRDefault="0052044D" w:rsidP="0052044D">
            <w:pPr>
              <w:spacing w:line="276" w:lineRule="auto"/>
              <w:contextualSpacing/>
              <w:rPr>
                <w:rFonts w:ascii="Arial" w:hAnsi="Arial" w:cs="Arial"/>
                <w:color w:val="000000" w:themeColor="text1"/>
                <w:sz w:val="24"/>
                <w:szCs w:val="24"/>
                <w:lang w:bidi="en-US"/>
              </w:rPr>
            </w:pPr>
            <w:r w:rsidRPr="00B5109F">
              <w:rPr>
                <w:rFonts w:ascii="Arial" w:hAnsi="Arial" w:cs="Arial"/>
                <w:color w:val="000000" w:themeColor="text1"/>
                <w:sz w:val="24"/>
                <w:szCs w:val="24"/>
                <w:lang w:bidi="en-US"/>
              </w:rPr>
              <w:t>Zarządzanie serwerem</w:t>
            </w:r>
          </w:p>
        </w:tc>
        <w:tc>
          <w:tcPr>
            <w:tcW w:w="6662" w:type="dxa"/>
          </w:tcPr>
          <w:p w14:paraId="590AE20C" w14:textId="77777777" w:rsidR="0052044D" w:rsidRPr="00B5109F" w:rsidRDefault="0052044D" w:rsidP="0008169B">
            <w:pPr>
              <w:pStyle w:val="Akapitzlist"/>
              <w:numPr>
                <w:ilvl w:val="0"/>
                <w:numId w:val="33"/>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Serwer musi być wyposażony w kartę zdalnego zarządzania (konsoli) pozwalającej na:</w:t>
            </w:r>
          </w:p>
          <w:p w14:paraId="118ED375"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włączenie, wyłączenie i restart serwera;</w:t>
            </w:r>
          </w:p>
          <w:p w14:paraId="2F52F4F7"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podgląd logów sprzętowych serwera i karty;</w:t>
            </w:r>
          </w:p>
          <w:p w14:paraId="1C8C69D2"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przejęcie zdalnej pełnej konsoli graficznej serwera niezależnie od jego stanu (także podczas startu, restartu OS);</w:t>
            </w:r>
          </w:p>
          <w:p w14:paraId="51C458B5"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zdalne podłączenie wirtualnych napędów CD/DVD/ISO;</w:t>
            </w:r>
          </w:p>
          <w:p w14:paraId="748BF32A"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integrację z Active Directory;</w:t>
            </w:r>
          </w:p>
          <w:p w14:paraId="37FC832D"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powiadamianie o zdarzeniach za pomocą email 'a;</w:t>
            </w:r>
          </w:p>
          <w:p w14:paraId="6D4124FE" w14:textId="77777777"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współdzielenie jednej zdalnej konsoli graficznej przez 2 użytkowników;</w:t>
            </w:r>
          </w:p>
          <w:p w14:paraId="0FE24C69" w14:textId="69AFB963" w:rsidR="0052044D" w:rsidRPr="00B5109F" w:rsidRDefault="0052044D" w:rsidP="0008169B">
            <w:pPr>
              <w:pStyle w:val="Akapitzlist"/>
              <w:numPr>
                <w:ilvl w:val="1"/>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szyfrowanie połączeń za pomocą protokołu TLS do karty zdalnego zarządzania.</w:t>
            </w:r>
          </w:p>
          <w:p w14:paraId="7DB0DCBA" w14:textId="77777777" w:rsidR="0052044D" w:rsidRPr="00B5109F" w:rsidRDefault="0052044D" w:rsidP="0008169B">
            <w:pPr>
              <w:pStyle w:val="Akapitzlist"/>
              <w:numPr>
                <w:ilvl w:val="0"/>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Rozwiązanie sprzętowe, niezależne od systemów operacyjnych, zintegrowane z płytą główną.</w:t>
            </w:r>
          </w:p>
          <w:p w14:paraId="413AE238" w14:textId="7D460136" w:rsidR="000E2F1D" w:rsidRPr="00B5109F" w:rsidRDefault="000E2F1D" w:rsidP="0008169B">
            <w:pPr>
              <w:pStyle w:val="Akapitzlist"/>
              <w:numPr>
                <w:ilvl w:val="0"/>
                <w:numId w:val="33"/>
              </w:numPr>
              <w:tabs>
                <w:tab w:val="left" w:pos="907"/>
              </w:tabs>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Wraz z serwerem należy dostarczyć niezbędne licencje do oprogramowania „HPE OneView” dla celów centralnego zarządzania infrastrukturą </w:t>
            </w:r>
            <w:r w:rsidR="00FF3188" w:rsidRPr="00B5109F">
              <w:rPr>
                <w:rFonts w:ascii="Arial" w:eastAsia="Calibri" w:hAnsi="Arial" w:cs="Arial"/>
                <w:kern w:val="0"/>
                <w:sz w:val="24"/>
                <w:szCs w:val="24"/>
                <w14:ligatures w14:val="none"/>
              </w:rPr>
              <w:t xml:space="preserve">posiadaną przez </w:t>
            </w:r>
            <w:r w:rsidRPr="00B5109F">
              <w:rPr>
                <w:rFonts w:ascii="Arial" w:eastAsia="Calibri" w:hAnsi="Arial" w:cs="Arial"/>
                <w:kern w:val="0"/>
                <w:sz w:val="24"/>
                <w:szCs w:val="24"/>
                <w14:ligatures w14:val="none"/>
              </w:rPr>
              <w:t>Zamawiającego.</w:t>
            </w:r>
          </w:p>
        </w:tc>
      </w:tr>
      <w:tr w:rsidR="0052044D" w:rsidRPr="00B5109F" w14:paraId="769659E6" w14:textId="77777777" w:rsidTr="00FF318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511" w:type="dxa"/>
            <w:tcBorders>
              <w:bottom w:val="single" w:sz="12" w:space="0" w:color="auto"/>
            </w:tcBorders>
          </w:tcPr>
          <w:p w14:paraId="731A6405" w14:textId="77777777" w:rsidR="0052044D" w:rsidRPr="00B5109F" w:rsidRDefault="0052044D" w:rsidP="0008169B">
            <w:pPr>
              <w:pStyle w:val="Akapitzlist"/>
              <w:numPr>
                <w:ilvl w:val="0"/>
                <w:numId w:val="27"/>
              </w:numPr>
              <w:spacing w:line="276" w:lineRule="auto"/>
              <w:jc w:val="center"/>
              <w:rPr>
                <w:rFonts w:ascii="Arial" w:hAnsi="Arial" w:cs="Arial"/>
                <w:sz w:val="24"/>
                <w:szCs w:val="24"/>
                <w:lang w:bidi="en-US"/>
              </w:rPr>
            </w:pPr>
          </w:p>
        </w:tc>
        <w:tc>
          <w:tcPr>
            <w:tcW w:w="2411" w:type="dxa"/>
            <w:tcBorders>
              <w:bottom w:val="single" w:sz="12" w:space="0" w:color="auto"/>
            </w:tcBorders>
          </w:tcPr>
          <w:p w14:paraId="67D28C35" w14:textId="2023310C" w:rsidR="0052044D" w:rsidRPr="00B5109F" w:rsidRDefault="0052044D" w:rsidP="0052044D">
            <w:pPr>
              <w:spacing w:line="276" w:lineRule="auto"/>
              <w:contextualSpacing/>
              <w:rPr>
                <w:rFonts w:ascii="Arial" w:hAnsi="Arial" w:cs="Arial"/>
                <w:color w:val="000000" w:themeColor="text1"/>
                <w:sz w:val="24"/>
                <w:szCs w:val="24"/>
                <w:lang w:bidi="en-US"/>
              </w:rPr>
            </w:pPr>
            <w:r w:rsidRPr="00B5109F">
              <w:rPr>
                <w:rFonts w:ascii="Arial" w:hAnsi="Arial" w:cs="Arial"/>
                <w:color w:val="000000" w:themeColor="text1"/>
                <w:sz w:val="24"/>
                <w:szCs w:val="24"/>
                <w:lang w:bidi="en-US"/>
              </w:rPr>
              <w:t>Wymagania inne</w:t>
            </w:r>
          </w:p>
        </w:tc>
        <w:tc>
          <w:tcPr>
            <w:tcW w:w="6662" w:type="dxa"/>
            <w:tcBorders>
              <w:bottom w:val="single" w:sz="12" w:space="0" w:color="auto"/>
            </w:tcBorders>
          </w:tcPr>
          <w:p w14:paraId="331E4D3B" w14:textId="2C85AF12" w:rsidR="0052044D" w:rsidRPr="00B5109F" w:rsidRDefault="0052044D" w:rsidP="0008169B">
            <w:pPr>
              <w:pStyle w:val="Akapitzlist"/>
              <w:numPr>
                <w:ilvl w:val="0"/>
                <w:numId w:val="34"/>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Serwer musi być fabrycznie nowy, wyprodukowany nie wcześniej niż 6 miesięcy przed datą dostarczenia do Zamawiającego i pochodzić z oficjalnego kanału dystrybucyjnego producenta na rynek polski.</w:t>
            </w:r>
          </w:p>
          <w:p w14:paraId="47525F34" w14:textId="68979EA1" w:rsidR="0052044D" w:rsidRPr="00B5109F" w:rsidRDefault="0052044D" w:rsidP="0008169B">
            <w:pPr>
              <w:pStyle w:val="Akapitzlist"/>
              <w:numPr>
                <w:ilvl w:val="0"/>
                <w:numId w:val="34"/>
              </w:numPr>
              <w:spacing w:after="0"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zastrzega sobie, aby Wykonawca na żądanie Zamawiającego przedłożył oświadczenie producenta oferowanego sprzętu, potwierdzające pochodzenie sprzętu z autoryzowanego kanału sprzedaży.</w:t>
            </w:r>
          </w:p>
          <w:p w14:paraId="1359C990" w14:textId="530D03B9" w:rsidR="000E2F1D" w:rsidRPr="00B5109F" w:rsidRDefault="000E2F1D" w:rsidP="0008169B">
            <w:pPr>
              <w:pStyle w:val="Akapitzlist"/>
              <w:numPr>
                <w:ilvl w:val="0"/>
                <w:numId w:val="34"/>
              </w:numPr>
              <w:spacing w:after="0" w:line="276" w:lineRule="auto"/>
              <w:ind w:right="91"/>
              <w:rPr>
                <w:rFonts w:ascii="Arial" w:eastAsia="Calibri" w:hAnsi="Arial" w:cs="Arial"/>
                <w:kern w:val="0"/>
                <w:sz w:val="24"/>
                <w:szCs w:val="24"/>
                <w14:ligatures w14:val="none"/>
              </w:rPr>
            </w:pPr>
            <w:r w:rsidRPr="00B5109F">
              <w:rPr>
                <w:rFonts w:ascii="Arial" w:hAnsi="Arial" w:cs="Arial"/>
                <w:sz w:val="24"/>
                <w:szCs w:val="24"/>
              </w:rPr>
              <w:t>Serwer musi być wyposażony w diody diagnostyczne lub panel LCD umieszczone na froncie obudowy, umożliwiający wyświetlenie informacji o stanie serwera.</w:t>
            </w:r>
          </w:p>
        </w:tc>
      </w:tr>
      <w:bookmarkEnd w:id="3"/>
    </w:tbl>
    <w:p w14:paraId="7C3DF0BF" w14:textId="77777777" w:rsidR="006F5840" w:rsidRPr="00B5109F" w:rsidRDefault="006F5840">
      <w:pPr>
        <w:spacing w:after="0" w:line="240" w:lineRule="auto"/>
        <w:rPr>
          <w:rFonts w:ascii="Arial" w:eastAsia="Calibri" w:hAnsi="Arial" w:cs="Arial"/>
          <w:kern w:val="0"/>
          <w:sz w:val="24"/>
          <w:szCs w:val="24"/>
          <w14:ligatures w14:val="none"/>
        </w:rPr>
      </w:pPr>
    </w:p>
    <w:p w14:paraId="6EC9EE59" w14:textId="62A1946D" w:rsidR="003E6746" w:rsidRPr="00FD3398" w:rsidRDefault="007D5ED1" w:rsidP="00FD3398">
      <w:pPr>
        <w:pStyle w:val="Akapitzlist"/>
        <w:numPr>
          <w:ilvl w:val="0"/>
          <w:numId w:val="35"/>
        </w:numPr>
        <w:rPr>
          <w:rFonts w:ascii="Arial" w:hAnsi="Arial" w:cs="Arial"/>
          <w:sz w:val="24"/>
          <w:szCs w:val="24"/>
        </w:rPr>
      </w:pPr>
      <w:r w:rsidRPr="00FD3398">
        <w:rPr>
          <w:rFonts w:ascii="Arial" w:hAnsi="Arial" w:cs="Arial"/>
          <w:sz w:val="24"/>
          <w:szCs w:val="24"/>
        </w:rPr>
        <w:t xml:space="preserve">Wymagania </w:t>
      </w:r>
      <w:r w:rsidR="00E9602C" w:rsidRPr="00FD3398">
        <w:rPr>
          <w:rFonts w:ascii="Arial" w:hAnsi="Arial" w:cs="Arial"/>
          <w:sz w:val="24"/>
          <w:szCs w:val="24"/>
        </w:rPr>
        <w:t>dodatkowe w ramach dostawy</w:t>
      </w:r>
    </w:p>
    <w:p w14:paraId="1565D6D3" w14:textId="3353FA44" w:rsidR="00E9602C" w:rsidRPr="00B5109F" w:rsidRDefault="00E9602C" w:rsidP="00E9602C">
      <w:pPr>
        <w:pStyle w:val="Legenda"/>
        <w:rPr>
          <w:rFonts w:ascii="Arial" w:hAnsi="Arial" w:cs="Arial"/>
          <w:sz w:val="24"/>
          <w:szCs w:val="24"/>
        </w:rPr>
      </w:pPr>
      <w:r w:rsidRPr="00B5109F">
        <w:rPr>
          <w:rFonts w:ascii="Arial" w:hAnsi="Arial" w:cs="Arial"/>
          <w:sz w:val="24"/>
          <w:szCs w:val="24"/>
        </w:rPr>
        <w:t xml:space="preserve">Tabela </w:t>
      </w:r>
      <w:r w:rsidR="0008169B" w:rsidRPr="00B5109F">
        <w:rPr>
          <w:rFonts w:ascii="Arial" w:hAnsi="Arial" w:cs="Arial"/>
          <w:sz w:val="24"/>
          <w:szCs w:val="24"/>
        </w:rPr>
        <w:fldChar w:fldCharType="begin"/>
      </w:r>
      <w:r w:rsidR="0008169B" w:rsidRPr="00B5109F">
        <w:rPr>
          <w:rFonts w:ascii="Arial" w:hAnsi="Arial" w:cs="Arial"/>
          <w:sz w:val="24"/>
          <w:szCs w:val="24"/>
        </w:rPr>
        <w:instrText xml:space="preserve"> SEQ Tabela \* ARABIC </w:instrText>
      </w:r>
      <w:r w:rsidR="0008169B" w:rsidRPr="00B5109F">
        <w:rPr>
          <w:rFonts w:ascii="Arial" w:hAnsi="Arial" w:cs="Arial"/>
          <w:sz w:val="24"/>
          <w:szCs w:val="24"/>
        </w:rPr>
        <w:fldChar w:fldCharType="separate"/>
      </w:r>
      <w:r w:rsidR="00550F28" w:rsidRPr="00B5109F">
        <w:rPr>
          <w:rFonts w:ascii="Arial" w:hAnsi="Arial" w:cs="Arial"/>
          <w:noProof/>
          <w:sz w:val="24"/>
          <w:szCs w:val="24"/>
        </w:rPr>
        <w:t>4</w:t>
      </w:r>
      <w:r w:rsidR="0008169B" w:rsidRPr="00B5109F">
        <w:rPr>
          <w:rFonts w:ascii="Arial" w:hAnsi="Arial" w:cs="Arial"/>
          <w:noProof/>
          <w:sz w:val="24"/>
          <w:szCs w:val="24"/>
        </w:rPr>
        <w:fldChar w:fldCharType="end"/>
      </w:r>
      <w:r w:rsidRPr="00B5109F">
        <w:rPr>
          <w:rFonts w:ascii="Arial" w:hAnsi="Arial" w:cs="Arial"/>
          <w:sz w:val="24"/>
          <w:szCs w:val="24"/>
        </w:rPr>
        <w:t xml:space="preserve"> Wymagania ogólne oraz dodatkowe dla dostarczanych urządzeń</w:t>
      </w:r>
    </w:p>
    <w:tbl>
      <w:tblPr>
        <w:tblStyle w:val="Tabela-Siatka"/>
        <w:tblW w:w="9634" w:type="dxa"/>
        <w:tblLook w:val="04A0" w:firstRow="1" w:lastRow="0" w:firstColumn="1" w:lastColumn="0" w:noHBand="0" w:noVBand="1"/>
      </w:tblPr>
      <w:tblGrid>
        <w:gridCol w:w="576"/>
        <w:gridCol w:w="2549"/>
        <w:gridCol w:w="6509"/>
      </w:tblGrid>
      <w:tr w:rsidR="00DD500D" w:rsidRPr="00B5109F" w14:paraId="7EAC9BE6" w14:textId="77777777" w:rsidTr="009416DD">
        <w:trPr>
          <w:trHeight w:val="384"/>
        </w:trPr>
        <w:tc>
          <w:tcPr>
            <w:tcW w:w="562" w:type="dxa"/>
            <w:tcBorders>
              <w:top w:val="single" w:sz="12" w:space="0" w:color="auto"/>
              <w:left w:val="single" w:sz="12" w:space="0" w:color="auto"/>
              <w:bottom w:val="single" w:sz="12" w:space="0" w:color="auto"/>
              <w:right w:val="single" w:sz="12" w:space="0" w:color="auto"/>
            </w:tcBorders>
            <w:vAlign w:val="center"/>
          </w:tcPr>
          <w:p w14:paraId="0DBA86A7" w14:textId="4AC745AA" w:rsidR="007D5ED1" w:rsidRPr="00B5109F" w:rsidRDefault="009416DD" w:rsidP="009416DD">
            <w:pPr>
              <w:jc w:val="center"/>
              <w:rPr>
                <w:rFonts w:ascii="Arial" w:hAnsi="Arial" w:cs="Arial"/>
                <w:b/>
                <w:bCs/>
                <w:sz w:val="24"/>
                <w:szCs w:val="24"/>
              </w:rPr>
            </w:pPr>
            <w:r w:rsidRPr="00B5109F">
              <w:rPr>
                <w:rFonts w:ascii="Arial" w:hAnsi="Arial" w:cs="Arial"/>
                <w:b/>
                <w:bCs/>
                <w:sz w:val="24"/>
                <w:szCs w:val="24"/>
              </w:rPr>
              <w:t>Lp.</w:t>
            </w:r>
          </w:p>
        </w:tc>
        <w:tc>
          <w:tcPr>
            <w:tcW w:w="2552" w:type="dxa"/>
            <w:tcBorders>
              <w:top w:val="single" w:sz="12" w:space="0" w:color="auto"/>
              <w:left w:val="single" w:sz="12" w:space="0" w:color="auto"/>
              <w:bottom w:val="single" w:sz="12" w:space="0" w:color="auto"/>
              <w:right w:val="single" w:sz="12" w:space="0" w:color="auto"/>
            </w:tcBorders>
            <w:vAlign w:val="center"/>
          </w:tcPr>
          <w:p w14:paraId="47CC752E" w14:textId="0233838E" w:rsidR="007D5ED1" w:rsidRPr="00B5109F" w:rsidRDefault="009416DD" w:rsidP="009416DD">
            <w:pPr>
              <w:jc w:val="center"/>
              <w:rPr>
                <w:rFonts w:ascii="Arial" w:hAnsi="Arial" w:cs="Arial"/>
                <w:b/>
                <w:bCs/>
                <w:sz w:val="24"/>
                <w:szCs w:val="24"/>
              </w:rPr>
            </w:pPr>
            <w:r w:rsidRPr="00B5109F">
              <w:rPr>
                <w:rFonts w:ascii="Arial" w:hAnsi="Arial" w:cs="Arial"/>
                <w:b/>
                <w:bCs/>
                <w:sz w:val="24"/>
                <w:szCs w:val="24"/>
              </w:rPr>
              <w:t>Element konfiguracji</w:t>
            </w:r>
          </w:p>
        </w:tc>
        <w:tc>
          <w:tcPr>
            <w:tcW w:w="6520" w:type="dxa"/>
            <w:tcBorders>
              <w:top w:val="single" w:sz="12" w:space="0" w:color="auto"/>
              <w:left w:val="single" w:sz="12" w:space="0" w:color="auto"/>
              <w:bottom w:val="single" w:sz="12" w:space="0" w:color="auto"/>
              <w:right w:val="single" w:sz="12" w:space="0" w:color="auto"/>
            </w:tcBorders>
            <w:vAlign w:val="center"/>
          </w:tcPr>
          <w:p w14:paraId="09B84E9D" w14:textId="41D7786B" w:rsidR="007D5ED1" w:rsidRPr="00B5109F" w:rsidRDefault="009416DD" w:rsidP="009416DD">
            <w:pPr>
              <w:jc w:val="center"/>
              <w:rPr>
                <w:rFonts w:ascii="Arial" w:hAnsi="Arial" w:cs="Arial"/>
                <w:b/>
                <w:bCs/>
                <w:sz w:val="24"/>
                <w:szCs w:val="24"/>
              </w:rPr>
            </w:pPr>
            <w:r w:rsidRPr="00B5109F">
              <w:rPr>
                <w:rFonts w:ascii="Arial" w:hAnsi="Arial" w:cs="Arial"/>
                <w:b/>
                <w:bCs/>
                <w:sz w:val="24"/>
                <w:szCs w:val="24"/>
              </w:rPr>
              <w:t>Wymaganie minimalne</w:t>
            </w:r>
          </w:p>
        </w:tc>
      </w:tr>
      <w:tr w:rsidR="00DD500D" w:rsidRPr="00B5109F" w14:paraId="02BADEBD" w14:textId="77777777" w:rsidTr="009416DD">
        <w:tc>
          <w:tcPr>
            <w:tcW w:w="562" w:type="dxa"/>
            <w:tcBorders>
              <w:top w:val="single" w:sz="12" w:space="0" w:color="auto"/>
              <w:left w:val="single" w:sz="12" w:space="0" w:color="auto"/>
            </w:tcBorders>
          </w:tcPr>
          <w:p w14:paraId="3EE5AF9B" w14:textId="3DB4C04F" w:rsidR="007D5ED1" w:rsidRPr="00B5109F" w:rsidRDefault="007D5ED1" w:rsidP="0008169B">
            <w:pPr>
              <w:pStyle w:val="Akapitzlist"/>
              <w:numPr>
                <w:ilvl w:val="0"/>
                <w:numId w:val="6"/>
              </w:numPr>
              <w:rPr>
                <w:rFonts w:ascii="Arial" w:hAnsi="Arial" w:cs="Arial"/>
                <w:sz w:val="24"/>
                <w:szCs w:val="24"/>
              </w:rPr>
            </w:pPr>
          </w:p>
        </w:tc>
        <w:tc>
          <w:tcPr>
            <w:tcW w:w="2552" w:type="dxa"/>
            <w:tcBorders>
              <w:top w:val="single" w:sz="12" w:space="0" w:color="auto"/>
            </w:tcBorders>
          </w:tcPr>
          <w:p w14:paraId="0C8E9A1D" w14:textId="5A426BF7" w:rsidR="007D5ED1" w:rsidRPr="00B5109F" w:rsidRDefault="007D5ED1">
            <w:pPr>
              <w:rPr>
                <w:rFonts w:ascii="Arial" w:hAnsi="Arial" w:cs="Arial"/>
                <w:sz w:val="24"/>
                <w:szCs w:val="24"/>
              </w:rPr>
            </w:pPr>
            <w:r w:rsidRPr="00B5109F">
              <w:rPr>
                <w:rFonts w:ascii="Arial" w:hAnsi="Arial" w:cs="Arial"/>
                <w:sz w:val="24"/>
                <w:szCs w:val="24"/>
              </w:rPr>
              <w:t>Wymagania ogólne</w:t>
            </w:r>
          </w:p>
        </w:tc>
        <w:tc>
          <w:tcPr>
            <w:tcW w:w="6520" w:type="dxa"/>
            <w:tcBorders>
              <w:top w:val="single" w:sz="12" w:space="0" w:color="auto"/>
              <w:right w:val="single" w:sz="12" w:space="0" w:color="auto"/>
            </w:tcBorders>
          </w:tcPr>
          <w:p w14:paraId="0CC6825D" w14:textId="77601029" w:rsidR="007D5ED1" w:rsidRPr="00B5109F" w:rsidRDefault="007D5ED1"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Dostawa musi obejmować wszystkie komponenty (kable logiczne UTP, FC, złącza, przejściówki, szyny mocujące serwery, przełączniki itp.) wymagane przez producentów oferowanego rozwiązania do jego prawidłowego podłączenia i konfiguracji w rozwiązaniu Zamawiającego</w:t>
            </w:r>
            <w:r w:rsidR="00E9602C" w:rsidRPr="00B5109F">
              <w:rPr>
                <w:rFonts w:ascii="Arial" w:eastAsia="Calibri" w:hAnsi="Arial" w:cs="Arial"/>
                <w:kern w:val="0"/>
                <w:sz w:val="24"/>
                <w:szCs w:val="24"/>
                <w14:ligatures w14:val="none"/>
              </w:rPr>
              <w:t>;</w:t>
            </w:r>
          </w:p>
          <w:p w14:paraId="3F2F1224" w14:textId="4D71F7A7" w:rsidR="00DD500D" w:rsidRPr="00B5109F" w:rsidRDefault="007D5ED1"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Wszystkie dostarczone urządzenia powinny zawierać osprzęt wymagany przez producenta oferowanego rozwiązania </w:t>
            </w:r>
            <w:r w:rsidR="00DD500D" w:rsidRPr="00B5109F">
              <w:rPr>
                <w:rFonts w:ascii="Arial" w:eastAsia="Calibri" w:hAnsi="Arial" w:cs="Arial"/>
                <w:kern w:val="0"/>
                <w:sz w:val="24"/>
                <w:szCs w:val="24"/>
                <w14:ligatures w14:val="none"/>
              </w:rPr>
              <w:t xml:space="preserve">(na przykład: okablowanie, urządzenia zasilające) niezbędny do jego prawidłowego podłączenia z siecią energetyczną Zamawiającego o parametrach: 230 V ± 10%, 50 </w:t>
            </w:r>
            <w:proofErr w:type="spellStart"/>
            <w:r w:rsidR="00DD500D" w:rsidRPr="00B5109F">
              <w:rPr>
                <w:rFonts w:ascii="Arial" w:eastAsia="Calibri" w:hAnsi="Arial" w:cs="Arial"/>
                <w:kern w:val="0"/>
                <w:sz w:val="24"/>
                <w:szCs w:val="24"/>
                <w14:ligatures w14:val="none"/>
              </w:rPr>
              <w:t>Hz</w:t>
            </w:r>
            <w:proofErr w:type="spellEnd"/>
            <w:r w:rsidR="00DD500D" w:rsidRPr="00B5109F">
              <w:rPr>
                <w:rFonts w:ascii="Arial" w:eastAsia="Calibri" w:hAnsi="Arial" w:cs="Arial"/>
                <w:kern w:val="0"/>
                <w:sz w:val="24"/>
                <w:szCs w:val="24"/>
                <w14:ligatures w14:val="none"/>
              </w:rPr>
              <w:t>;</w:t>
            </w:r>
          </w:p>
          <w:p w14:paraId="0BD7B5BD" w14:textId="2190DC6B" w:rsidR="00DD500D" w:rsidRPr="00B5109F" w:rsidRDefault="00672C28"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C</w:t>
            </w:r>
            <w:r w:rsidR="00DD500D" w:rsidRPr="00B5109F">
              <w:rPr>
                <w:rFonts w:ascii="Arial" w:eastAsia="Calibri" w:hAnsi="Arial" w:cs="Arial"/>
                <w:kern w:val="0"/>
                <w:sz w:val="24"/>
                <w:szCs w:val="24"/>
                <w14:ligatures w14:val="none"/>
              </w:rPr>
              <w:t>ałość dostarczonego sprzętu i oprogramowania</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wewnętrznego firmware musi zapewniać pełną</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kompatybilność, oraz jak najlepsze dopasowanie rozwiązań</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technicznych mających wpływ na pełną interoperacyjność,</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gwarantującą bezkolizyjną integrację zamawianych</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komponentów na poziomie funkcjonalnym z obecnie</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eksploatowanymi urządzaniami w infrastrukturze</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Zamawiającego;</w:t>
            </w:r>
          </w:p>
          <w:p w14:paraId="6D63D226" w14:textId="6FD077B8" w:rsidR="00DD500D" w:rsidRPr="00B5109F" w:rsidRDefault="00672C28"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w:t>
            </w:r>
            <w:r w:rsidR="00DD500D" w:rsidRPr="00B5109F">
              <w:rPr>
                <w:rFonts w:ascii="Arial" w:eastAsia="Calibri" w:hAnsi="Arial" w:cs="Arial"/>
                <w:kern w:val="0"/>
                <w:sz w:val="24"/>
                <w:szCs w:val="24"/>
                <w14:ligatures w14:val="none"/>
              </w:rPr>
              <w:t>szystkie oferowane urządzenia elektryczne muszą spełnić</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wymogi niezbędne do oznaczenia produktu znakiem CE;</w:t>
            </w:r>
          </w:p>
          <w:p w14:paraId="2981E861" w14:textId="0DC954BC" w:rsidR="00DD500D" w:rsidRPr="00B5109F" w:rsidRDefault="00DD500D"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zapewni Wykonawcy wcześniejsze</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przygotowanie instalacji elektrycznej w lokalizacjach</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Zamawiającego oraz asystę w podłączeniu oferowanych</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urządzeń do zasilania elektrycznego w tych lokalizacjach;</w:t>
            </w:r>
          </w:p>
          <w:p w14:paraId="77BC8C5B" w14:textId="0FA61826" w:rsidR="00DD500D" w:rsidRPr="00B5109F" w:rsidRDefault="00672C28"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O</w:t>
            </w:r>
            <w:r w:rsidR="00DD500D" w:rsidRPr="00B5109F">
              <w:rPr>
                <w:rFonts w:ascii="Arial" w:eastAsia="Calibri" w:hAnsi="Arial" w:cs="Arial"/>
                <w:kern w:val="0"/>
                <w:sz w:val="24"/>
                <w:szCs w:val="24"/>
                <w14:ligatures w14:val="none"/>
              </w:rPr>
              <w:t>ferowane produkty muszą być sprawne, fabrycznie nowe</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i nieużywane w innych projektach, musza być</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wyprodukowane nie później niż 6 (sześć) miesięcy przed datą</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dostawy;</w:t>
            </w:r>
          </w:p>
          <w:p w14:paraId="176164F7" w14:textId="2EDA1EAF" w:rsidR="00DD500D" w:rsidRPr="00B5109F" w:rsidRDefault="00672C28"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C</w:t>
            </w:r>
            <w:r w:rsidR="00DD500D" w:rsidRPr="00B5109F">
              <w:rPr>
                <w:rFonts w:ascii="Arial" w:eastAsia="Calibri" w:hAnsi="Arial" w:cs="Arial"/>
                <w:kern w:val="0"/>
                <w:sz w:val="24"/>
                <w:szCs w:val="24"/>
                <w14:ligatures w14:val="none"/>
              </w:rPr>
              <w:t>zynności związane z uruchomieniem muszą być</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przeprowadzone przez wykwalifikowany personel Wykonawcy</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we współpracy z personelem IT Zamawiającego;</w:t>
            </w:r>
          </w:p>
          <w:p w14:paraId="0E6B0C69" w14:textId="602BF971" w:rsidR="00DD500D" w:rsidRPr="00B5109F" w:rsidRDefault="00672C28"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L</w:t>
            </w:r>
            <w:r w:rsidR="00DD500D" w:rsidRPr="00B5109F">
              <w:rPr>
                <w:rFonts w:ascii="Arial" w:eastAsia="Calibri" w:hAnsi="Arial" w:cs="Arial"/>
                <w:kern w:val="0"/>
                <w:sz w:val="24"/>
                <w:szCs w:val="24"/>
                <w14:ligatures w14:val="none"/>
              </w:rPr>
              <w:t>icencje dostarczone w ramach przedmiotu umowy w zakresie</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sprzętu muszą być udzielone na czas nieokreślony i</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upoważniają Zamawiającego do korzystania na warunkach</w:t>
            </w:r>
            <w:r w:rsidRPr="00B5109F">
              <w:rPr>
                <w:rFonts w:ascii="Arial" w:eastAsia="Calibri" w:hAnsi="Arial" w:cs="Arial"/>
                <w:kern w:val="0"/>
                <w:sz w:val="24"/>
                <w:szCs w:val="24"/>
                <w14:ligatures w14:val="none"/>
              </w:rPr>
              <w:t xml:space="preserve"> </w:t>
            </w:r>
            <w:r w:rsidR="00DD500D" w:rsidRPr="00B5109F">
              <w:rPr>
                <w:rFonts w:ascii="Arial" w:eastAsia="Calibri" w:hAnsi="Arial" w:cs="Arial"/>
                <w:kern w:val="0"/>
                <w:sz w:val="24"/>
                <w:szCs w:val="24"/>
                <w14:ligatures w14:val="none"/>
              </w:rPr>
              <w:t>eksploatacji określonych przez producenta oprogramowania;</w:t>
            </w:r>
          </w:p>
          <w:p w14:paraId="3BC7BFDB" w14:textId="1D37EFCF" w:rsidR="00DD500D" w:rsidRPr="00B5109F" w:rsidRDefault="00DD500D"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Zamawiający wymaga, aby oferowany sprzęt posiadał stabilną</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wersję oprogramowania;</w:t>
            </w:r>
          </w:p>
          <w:p w14:paraId="55BB04FA" w14:textId="7CF46C9F" w:rsidR="007D5ED1" w:rsidRPr="00B5109F" w:rsidRDefault="00DD500D" w:rsidP="0008169B">
            <w:pPr>
              <w:pStyle w:val="Akapitzlist"/>
              <w:numPr>
                <w:ilvl w:val="0"/>
                <w:numId w:val="22"/>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wykona montaż urządzeń w miejscach</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wskazanych przez Zamawiającego oraz dokona konfiguracji w</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uzgodnieniu z Zamawiającym.</w:t>
            </w:r>
          </w:p>
        </w:tc>
      </w:tr>
      <w:tr w:rsidR="00DD500D" w:rsidRPr="00B5109F" w14:paraId="133F0998" w14:textId="77777777" w:rsidTr="00AE104F">
        <w:tc>
          <w:tcPr>
            <w:tcW w:w="562" w:type="dxa"/>
            <w:tcBorders>
              <w:left w:val="single" w:sz="12" w:space="0" w:color="auto"/>
            </w:tcBorders>
          </w:tcPr>
          <w:p w14:paraId="26F849ED" w14:textId="77777777" w:rsidR="00DD500D" w:rsidRPr="00B5109F" w:rsidRDefault="00DD500D" w:rsidP="0008169B">
            <w:pPr>
              <w:pStyle w:val="Akapitzlist"/>
              <w:numPr>
                <w:ilvl w:val="0"/>
                <w:numId w:val="6"/>
              </w:numPr>
              <w:rPr>
                <w:rFonts w:ascii="Arial" w:hAnsi="Arial" w:cs="Arial"/>
                <w:sz w:val="24"/>
                <w:szCs w:val="24"/>
              </w:rPr>
            </w:pPr>
          </w:p>
        </w:tc>
        <w:tc>
          <w:tcPr>
            <w:tcW w:w="2552" w:type="dxa"/>
          </w:tcPr>
          <w:p w14:paraId="1E38DBE5" w14:textId="33464BCD" w:rsidR="00DD500D" w:rsidRPr="00B5109F" w:rsidRDefault="00DD500D">
            <w:pPr>
              <w:rPr>
                <w:rFonts w:ascii="Arial" w:hAnsi="Arial" w:cs="Arial"/>
                <w:sz w:val="24"/>
                <w:szCs w:val="24"/>
              </w:rPr>
            </w:pPr>
            <w:r w:rsidRPr="00B5109F">
              <w:rPr>
                <w:rFonts w:ascii="Arial" w:eastAsia="Calibri" w:hAnsi="Arial" w:cs="Arial"/>
                <w:kern w:val="0"/>
                <w:sz w:val="24"/>
                <w:szCs w:val="24"/>
                <w14:ligatures w14:val="none"/>
              </w:rPr>
              <w:t>Wymagania dodatkowe</w:t>
            </w:r>
          </w:p>
        </w:tc>
        <w:tc>
          <w:tcPr>
            <w:tcW w:w="6520" w:type="dxa"/>
            <w:tcBorders>
              <w:right w:val="single" w:sz="12" w:space="0" w:color="auto"/>
            </w:tcBorders>
          </w:tcPr>
          <w:p w14:paraId="3E304E2E" w14:textId="77777777" w:rsidR="00DD500D" w:rsidRPr="00B5109F" w:rsidRDefault="00DD500D" w:rsidP="0008169B">
            <w:pPr>
              <w:pStyle w:val="Akapitzlist"/>
              <w:numPr>
                <w:ilvl w:val="0"/>
                <w:numId w:val="23"/>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Wykonawca wykona następujące prace:</w:t>
            </w:r>
          </w:p>
          <w:p w14:paraId="0FA06FEA" w14:textId="186A8C9C" w:rsidR="00DD500D" w:rsidRPr="00B5109F" w:rsidRDefault="00DD500D" w:rsidP="0008169B">
            <w:pPr>
              <w:numPr>
                <w:ilvl w:val="1"/>
                <w:numId w:val="23"/>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montaż, instalacja, uruchomienie serwerów i zasilaczy w kasetach serwerowych </w:t>
            </w:r>
            <w:r w:rsidR="00672C28" w:rsidRPr="00B5109F">
              <w:rPr>
                <w:rFonts w:ascii="Arial" w:eastAsia="Calibri" w:hAnsi="Arial" w:cs="Arial"/>
                <w:kern w:val="0"/>
                <w:sz w:val="24"/>
                <w:szCs w:val="24"/>
                <w14:ligatures w14:val="none"/>
              </w:rPr>
              <w:t>dostarczanych</w:t>
            </w:r>
            <w:r w:rsidRPr="00B5109F">
              <w:rPr>
                <w:rFonts w:ascii="Arial" w:eastAsia="Calibri" w:hAnsi="Arial" w:cs="Arial"/>
                <w:kern w:val="0"/>
                <w:sz w:val="24"/>
                <w:szCs w:val="24"/>
                <w14:ligatures w14:val="none"/>
              </w:rPr>
              <w:t xml:space="preserve"> Zamawiające</w:t>
            </w:r>
            <w:r w:rsidR="00672C28" w:rsidRPr="00B5109F">
              <w:rPr>
                <w:rFonts w:ascii="Arial" w:eastAsia="Calibri" w:hAnsi="Arial" w:cs="Arial"/>
                <w:kern w:val="0"/>
                <w:sz w:val="24"/>
                <w:szCs w:val="24"/>
                <w14:ligatures w14:val="none"/>
              </w:rPr>
              <w:t>mu</w:t>
            </w:r>
            <w:r w:rsidRPr="00B5109F">
              <w:rPr>
                <w:rFonts w:ascii="Arial" w:eastAsia="Calibri" w:hAnsi="Arial" w:cs="Arial"/>
                <w:kern w:val="0"/>
                <w:sz w:val="24"/>
                <w:szCs w:val="24"/>
                <w14:ligatures w14:val="none"/>
              </w:rPr>
              <w:t>;</w:t>
            </w:r>
          </w:p>
          <w:p w14:paraId="18F21EAE" w14:textId="1E0C723E" w:rsidR="00DD500D" w:rsidRPr="00B5109F" w:rsidRDefault="00DD500D" w:rsidP="0008169B">
            <w:pPr>
              <w:numPr>
                <w:ilvl w:val="1"/>
                <w:numId w:val="23"/>
              </w:numPr>
              <w:tabs>
                <w:tab w:val="left" w:pos="360"/>
              </w:tabs>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instalacja na oferowanych serwerach oprogramowania wewnętrznego (firmware) w wersji rekomendowanej, uzgodnionej z Zamawiającym;</w:t>
            </w:r>
          </w:p>
          <w:p w14:paraId="2F3D225B" w14:textId="54F2E24E" w:rsidR="00DD500D" w:rsidRPr="00B5109F" w:rsidRDefault="00DD500D" w:rsidP="0008169B">
            <w:pPr>
              <w:numPr>
                <w:ilvl w:val="1"/>
                <w:numId w:val="23"/>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konfiguracja oprogramowania do zarządzania w integracji z HPE OneView, w szczególności konfiguracja profili serwerowych, urządzeń LAN/SAN w obrębie szaf</w:t>
            </w:r>
            <w:r w:rsidR="00EE0BA4" w:rsidRPr="00B5109F">
              <w:rPr>
                <w:rFonts w:ascii="Arial" w:eastAsia="Calibri" w:hAnsi="Arial" w:cs="Arial"/>
                <w:kern w:val="0"/>
                <w:sz w:val="24"/>
                <w:szCs w:val="24"/>
                <w14:ligatures w14:val="none"/>
              </w:rPr>
              <w:t>y</w:t>
            </w:r>
            <w:r w:rsidRPr="00B5109F">
              <w:rPr>
                <w:rFonts w:ascii="Arial" w:eastAsia="Calibri" w:hAnsi="Arial" w:cs="Arial"/>
                <w:kern w:val="0"/>
                <w:sz w:val="24"/>
                <w:szCs w:val="24"/>
                <w14:ligatures w14:val="none"/>
              </w:rPr>
              <w:t xml:space="preserve"> serwerowej</w:t>
            </w:r>
            <w:r w:rsidR="00672C28"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 xml:space="preserve">w której zamontowany zostanie dostarczany serwer, zgodnie z wymogami Zamawiającego </w:t>
            </w:r>
            <w:r w:rsidR="00672C28" w:rsidRPr="00B5109F">
              <w:rPr>
                <w:rFonts w:ascii="Arial" w:eastAsia="Calibri" w:hAnsi="Arial" w:cs="Arial"/>
                <w:kern w:val="0"/>
                <w:sz w:val="24"/>
                <w:szCs w:val="24"/>
                <w14:ligatures w14:val="none"/>
              </w:rPr>
              <w:t>– j</w:t>
            </w:r>
            <w:r w:rsidRPr="00B5109F">
              <w:rPr>
                <w:rFonts w:ascii="Arial" w:eastAsia="Calibri" w:hAnsi="Arial" w:cs="Arial"/>
                <w:kern w:val="0"/>
                <w:sz w:val="24"/>
                <w:szCs w:val="24"/>
                <w14:ligatures w14:val="none"/>
              </w:rPr>
              <w:t>eżeli to konieczne, Wykonawca wykona konfiguracje od nowa,</w:t>
            </w:r>
          </w:p>
          <w:p w14:paraId="79C0222E" w14:textId="38226F32" w:rsidR="00DD500D" w:rsidRPr="00B5109F" w:rsidRDefault="00DD500D" w:rsidP="0008169B">
            <w:pPr>
              <w:numPr>
                <w:ilvl w:val="1"/>
                <w:numId w:val="23"/>
              </w:numPr>
              <w:tabs>
                <w:tab w:val="left" w:pos="830"/>
              </w:tabs>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projekt dokumentacji wdrożeniowej w uzgodnieniu z Zamawiającym i na swój koszt, w tym konfigurację sprzętową (model, numery seryjne, robocze nazewnictwo itp.) zarówno starych serwerów pozostających w dalszej eksploatacji jak i nowych serwerów, konfigurację sieciową kart zarządzających</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serwerami, połączeń sieciowych LAN i SAN instalowanych urządzeń, w terminie 15 dni roboczych od dnia zawarcia umowy, końcowa wersja dostarczona przed podpisaniem protokołu odbioru ilościowego urządzeń i licencj</w:t>
            </w:r>
            <w:r w:rsidR="00047902" w:rsidRPr="00B5109F">
              <w:rPr>
                <w:rFonts w:ascii="Arial" w:eastAsia="Calibri" w:hAnsi="Arial" w:cs="Arial"/>
                <w:kern w:val="0"/>
                <w:sz w:val="24"/>
                <w:szCs w:val="24"/>
                <w14:ligatures w14:val="none"/>
              </w:rPr>
              <w:t>i</w:t>
            </w:r>
            <w:r w:rsidRPr="00B5109F">
              <w:rPr>
                <w:rFonts w:ascii="Arial" w:eastAsia="Calibri" w:hAnsi="Arial" w:cs="Arial"/>
                <w:kern w:val="0"/>
                <w:sz w:val="24"/>
                <w:szCs w:val="24"/>
                <w14:ligatures w14:val="none"/>
              </w:rPr>
              <w:t>;</w:t>
            </w:r>
          </w:p>
          <w:p w14:paraId="5AEC3732" w14:textId="77777777" w:rsidR="00DD500D" w:rsidRPr="00B5109F" w:rsidRDefault="00DD500D" w:rsidP="0008169B">
            <w:pPr>
              <w:numPr>
                <w:ilvl w:val="1"/>
                <w:numId w:val="23"/>
              </w:numPr>
              <w:tabs>
                <w:tab w:val="left" w:pos="360"/>
              </w:tabs>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podstawowe testy przygotowanego wyposażenia serwerowego sprawdzające podstawowe funkcje systemowe i przekaże Zamawiającemu dokumentację wykonanych testów;</w:t>
            </w:r>
          </w:p>
          <w:p w14:paraId="5BB930DC" w14:textId="06D8863C" w:rsidR="00DD500D" w:rsidRPr="00B5109F" w:rsidRDefault="00DD500D" w:rsidP="0008169B">
            <w:pPr>
              <w:numPr>
                <w:ilvl w:val="1"/>
                <w:numId w:val="23"/>
              </w:numPr>
              <w:tabs>
                <w:tab w:val="left" w:pos="830"/>
              </w:tabs>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instalacja i konfiguracja na </w:t>
            </w:r>
            <w:r w:rsidR="00047902" w:rsidRPr="00B5109F">
              <w:rPr>
                <w:rFonts w:ascii="Arial" w:eastAsia="Calibri" w:hAnsi="Arial" w:cs="Arial"/>
                <w:kern w:val="0"/>
                <w:sz w:val="24"/>
                <w:szCs w:val="24"/>
                <w14:ligatures w14:val="none"/>
              </w:rPr>
              <w:t>wszystkich</w:t>
            </w:r>
            <w:r w:rsidRPr="00B5109F">
              <w:rPr>
                <w:rFonts w:ascii="Arial" w:eastAsia="Calibri" w:hAnsi="Arial" w:cs="Arial"/>
                <w:kern w:val="0"/>
                <w:sz w:val="24"/>
                <w:szCs w:val="24"/>
                <w14:ligatures w14:val="none"/>
              </w:rPr>
              <w:t xml:space="preserve"> </w:t>
            </w:r>
            <w:r w:rsidR="00047902" w:rsidRPr="00B5109F">
              <w:rPr>
                <w:rFonts w:ascii="Arial" w:eastAsia="Calibri" w:hAnsi="Arial" w:cs="Arial"/>
                <w:kern w:val="0"/>
                <w:sz w:val="24"/>
                <w:szCs w:val="24"/>
                <w14:ligatures w14:val="none"/>
              </w:rPr>
              <w:t>dostarczanych</w:t>
            </w:r>
            <w:r w:rsidRPr="00B5109F">
              <w:rPr>
                <w:rFonts w:ascii="Arial" w:eastAsia="Calibri" w:hAnsi="Arial" w:cs="Arial"/>
                <w:kern w:val="0"/>
                <w:sz w:val="24"/>
                <w:szCs w:val="24"/>
                <w14:ligatures w14:val="none"/>
              </w:rPr>
              <w:t xml:space="preserve"> serwerach systemów operacyjnych Windows Server 2019 i VMware ESXi, </w:t>
            </w:r>
            <w:r w:rsidR="00047902" w:rsidRPr="00B5109F">
              <w:rPr>
                <w:rFonts w:ascii="Arial" w:eastAsia="Calibri" w:hAnsi="Arial" w:cs="Arial"/>
                <w:kern w:val="0"/>
                <w:sz w:val="24"/>
                <w:szCs w:val="24"/>
                <w14:ligatures w14:val="none"/>
              </w:rPr>
              <w:t>8</w:t>
            </w:r>
            <w:r w:rsidRPr="00B5109F">
              <w:rPr>
                <w:rFonts w:ascii="Arial" w:eastAsia="Calibri" w:hAnsi="Arial" w:cs="Arial"/>
                <w:kern w:val="0"/>
                <w:sz w:val="24"/>
                <w:szCs w:val="24"/>
                <w14:ligatures w14:val="none"/>
              </w:rPr>
              <w:t>.0 z nośników dostarczonych przez Zamawiającego, zgodnie z dokonanymi uzgodnieniami i zaleceniami Zamawiającego,</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ustalonymi w terminie do 15 dni roboczych po podpisaniu umowy. Wykonawca po</w:t>
            </w:r>
            <w:r w:rsidR="00047902" w:rsidRPr="00B5109F">
              <w:rPr>
                <w:rFonts w:ascii="Arial" w:eastAsia="Calibri" w:hAnsi="Arial" w:cs="Arial"/>
                <w:kern w:val="0"/>
                <w:sz w:val="24"/>
                <w:szCs w:val="24"/>
                <w14:ligatures w14:val="none"/>
              </w:rPr>
              <w:t xml:space="preserve"> i</w:t>
            </w:r>
            <w:r w:rsidRPr="00B5109F">
              <w:rPr>
                <w:rFonts w:ascii="Arial" w:eastAsia="Calibri" w:hAnsi="Arial" w:cs="Arial"/>
                <w:kern w:val="0"/>
                <w:sz w:val="24"/>
                <w:szCs w:val="24"/>
                <w14:ligatures w14:val="none"/>
              </w:rPr>
              <w:t>nstalacji ww. oprogramowania, dokona konfiguracji na</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poziomie programowym i sprzętowym w uzgodnieniu z</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Zamawiającym oraz uruchomi podstawowe funkcje</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systemowe;</w:t>
            </w:r>
          </w:p>
          <w:p w14:paraId="0658AF05" w14:textId="093E7733" w:rsidR="00DD500D" w:rsidRPr="00B5109F" w:rsidRDefault="00DD500D" w:rsidP="0008169B">
            <w:pPr>
              <w:pStyle w:val="Akapitzlist"/>
              <w:numPr>
                <w:ilvl w:val="1"/>
                <w:numId w:val="23"/>
              </w:numPr>
              <w:tabs>
                <w:tab w:val="left" w:pos="360"/>
              </w:tabs>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jeśli nie zaznaczono inaczej, wszelkie zapisy konfiguracji</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 xml:space="preserve">„Wymagań minimalnych" należy </w:t>
            </w:r>
            <w:r w:rsidR="00FF3188" w:rsidRPr="00B5109F">
              <w:rPr>
                <w:rFonts w:ascii="Arial" w:eastAsia="Calibri" w:hAnsi="Arial" w:cs="Arial"/>
                <w:kern w:val="0"/>
                <w:sz w:val="24"/>
                <w:szCs w:val="24"/>
                <w14:ligatures w14:val="none"/>
              </w:rPr>
              <w:t>traktować</w:t>
            </w:r>
            <w:r w:rsidRPr="00B5109F">
              <w:rPr>
                <w:rFonts w:ascii="Arial" w:eastAsia="Calibri" w:hAnsi="Arial" w:cs="Arial"/>
                <w:kern w:val="0"/>
                <w:sz w:val="24"/>
                <w:szCs w:val="24"/>
                <w14:ligatures w14:val="none"/>
              </w:rPr>
              <w:t xml:space="preserve"> jako</w:t>
            </w:r>
            <w:r w:rsidR="00047902" w:rsidRPr="00B5109F">
              <w:rPr>
                <w:rFonts w:ascii="Arial" w:eastAsia="Calibri" w:hAnsi="Arial" w:cs="Arial"/>
                <w:kern w:val="0"/>
                <w:sz w:val="24"/>
                <w:szCs w:val="24"/>
                <w14:ligatures w14:val="none"/>
              </w:rPr>
              <w:t xml:space="preserve"> </w:t>
            </w:r>
            <w:r w:rsidRPr="00B5109F">
              <w:rPr>
                <w:rFonts w:ascii="Arial" w:eastAsia="Calibri" w:hAnsi="Arial" w:cs="Arial"/>
                <w:kern w:val="0"/>
                <w:sz w:val="24"/>
                <w:szCs w:val="24"/>
                <w14:ligatures w14:val="none"/>
              </w:rPr>
              <w:t>parametry i wymagania minimalne.</w:t>
            </w:r>
          </w:p>
        </w:tc>
      </w:tr>
      <w:tr w:rsidR="00AE104F" w:rsidRPr="00B5109F" w14:paraId="29DAF4D4" w14:textId="77777777" w:rsidTr="00065F94">
        <w:tc>
          <w:tcPr>
            <w:tcW w:w="562" w:type="dxa"/>
            <w:tcBorders>
              <w:left w:val="single" w:sz="12" w:space="0" w:color="auto"/>
              <w:bottom w:val="single" w:sz="12" w:space="0" w:color="auto"/>
            </w:tcBorders>
          </w:tcPr>
          <w:p w14:paraId="4A0F8B9E" w14:textId="77777777" w:rsidR="00AE104F" w:rsidRPr="00B5109F" w:rsidRDefault="00AE104F" w:rsidP="0008169B">
            <w:pPr>
              <w:pStyle w:val="Akapitzlist"/>
              <w:numPr>
                <w:ilvl w:val="0"/>
                <w:numId w:val="6"/>
              </w:numPr>
              <w:rPr>
                <w:rFonts w:ascii="Arial" w:hAnsi="Arial" w:cs="Arial"/>
                <w:sz w:val="24"/>
                <w:szCs w:val="24"/>
              </w:rPr>
            </w:pPr>
          </w:p>
        </w:tc>
        <w:tc>
          <w:tcPr>
            <w:tcW w:w="2552" w:type="dxa"/>
            <w:tcBorders>
              <w:bottom w:val="single" w:sz="12" w:space="0" w:color="auto"/>
            </w:tcBorders>
          </w:tcPr>
          <w:p w14:paraId="516BFA8C" w14:textId="50E761F5" w:rsidR="00AE104F" w:rsidRPr="00B5109F" w:rsidRDefault="00AE104F">
            <w:pPr>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Dostarczane komponenty</w:t>
            </w:r>
          </w:p>
        </w:tc>
        <w:tc>
          <w:tcPr>
            <w:tcW w:w="6520" w:type="dxa"/>
            <w:tcBorders>
              <w:bottom w:val="single" w:sz="12" w:space="0" w:color="auto"/>
              <w:right w:val="single" w:sz="12" w:space="0" w:color="auto"/>
            </w:tcBorders>
          </w:tcPr>
          <w:p w14:paraId="518F5028" w14:textId="77777777" w:rsidR="00AE104F" w:rsidRPr="00B5109F" w:rsidRDefault="00AE104F" w:rsidP="0008169B">
            <w:pPr>
              <w:pStyle w:val="Akapitzlist"/>
              <w:numPr>
                <w:ilvl w:val="0"/>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W ramach dostawy do każdej obudowy serwerowej należy dostarczyć:</w:t>
            </w:r>
          </w:p>
          <w:p w14:paraId="53EF7E4B" w14:textId="71C7D116" w:rsidR="00AE104F" w:rsidRPr="00B5109F" w:rsidRDefault="00AE104F" w:rsidP="0008169B">
            <w:pPr>
              <w:pStyle w:val="Akapitzlist"/>
              <w:numPr>
                <w:ilvl w:val="1"/>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4 szt. wkładek QSFP28 </w:t>
            </w:r>
            <w:r w:rsidR="00C22F2F" w:rsidRPr="00B5109F">
              <w:rPr>
                <w:rFonts w:ascii="Arial" w:eastAsia="Calibri" w:hAnsi="Arial" w:cs="Arial"/>
                <w:kern w:val="0"/>
                <w:sz w:val="24"/>
                <w:szCs w:val="24"/>
                <w14:ligatures w14:val="none"/>
              </w:rPr>
              <w:t>umożliwiające</w:t>
            </w:r>
            <w:r w:rsidRPr="00B5109F">
              <w:rPr>
                <w:rFonts w:ascii="Arial" w:eastAsia="Calibri" w:hAnsi="Arial" w:cs="Arial"/>
                <w:kern w:val="0"/>
                <w:sz w:val="24"/>
                <w:szCs w:val="24"/>
                <w14:ligatures w14:val="none"/>
              </w:rPr>
              <w:t xml:space="preserve"> rozszycie portu 10</w:t>
            </w:r>
            <w:r w:rsidR="000F589E" w:rsidRPr="00B5109F">
              <w:rPr>
                <w:rFonts w:ascii="Arial" w:eastAsia="Calibri" w:hAnsi="Arial" w:cs="Arial"/>
                <w:kern w:val="0"/>
                <w:sz w:val="24"/>
                <w:szCs w:val="24"/>
                <w14:ligatures w14:val="none"/>
              </w:rPr>
              <w:t>0</w:t>
            </w:r>
            <w:r w:rsidRPr="00B5109F">
              <w:rPr>
                <w:rFonts w:ascii="Arial" w:eastAsia="Calibri" w:hAnsi="Arial" w:cs="Arial"/>
                <w:kern w:val="0"/>
                <w:sz w:val="24"/>
                <w:szCs w:val="24"/>
                <w14:ligatures w14:val="none"/>
              </w:rPr>
              <w:t>Gbps na 4x25Gbps lub zamiennie 4x32Gb FC;</w:t>
            </w:r>
          </w:p>
          <w:p w14:paraId="353676C9" w14:textId="52E042BA" w:rsidR="00C22F2F" w:rsidRPr="00B5109F" w:rsidRDefault="00C22F2F" w:rsidP="0008169B">
            <w:pPr>
              <w:pStyle w:val="Akapitzlist"/>
              <w:numPr>
                <w:ilvl w:val="1"/>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4 szt. wkładek QSFP-100G-SR4 do urządzeń Zamawiającego (Cisco </w:t>
            </w:r>
            <w:proofErr w:type="spellStart"/>
            <w:r w:rsidRPr="00B5109F">
              <w:rPr>
                <w:rFonts w:ascii="Arial" w:eastAsia="Calibri" w:hAnsi="Arial" w:cs="Arial"/>
                <w:kern w:val="0"/>
                <w:sz w:val="24"/>
                <w:szCs w:val="24"/>
                <w14:ligatures w14:val="none"/>
              </w:rPr>
              <w:t>Nexus</w:t>
            </w:r>
            <w:proofErr w:type="spellEnd"/>
            <w:r w:rsidRPr="00B5109F">
              <w:rPr>
                <w:rFonts w:ascii="Arial" w:eastAsia="Calibri" w:hAnsi="Arial" w:cs="Arial"/>
                <w:kern w:val="0"/>
                <w:sz w:val="24"/>
                <w:szCs w:val="24"/>
                <w14:ligatures w14:val="none"/>
              </w:rPr>
              <w:t xml:space="preserve"> 9508)</w:t>
            </w:r>
            <w:r w:rsidR="00FF3188" w:rsidRPr="00B5109F">
              <w:rPr>
                <w:rFonts w:ascii="Arial" w:eastAsia="Calibri" w:hAnsi="Arial" w:cs="Arial"/>
                <w:kern w:val="0"/>
                <w:sz w:val="24"/>
                <w:szCs w:val="24"/>
                <w14:ligatures w14:val="none"/>
              </w:rPr>
              <w:t xml:space="preserve"> umożliwiające podłączenie obudów serwerowych</w:t>
            </w:r>
            <w:r w:rsidR="000F589E" w:rsidRPr="00B5109F">
              <w:rPr>
                <w:rFonts w:ascii="Arial" w:eastAsia="Calibri" w:hAnsi="Arial" w:cs="Arial"/>
                <w:kern w:val="0"/>
                <w:sz w:val="24"/>
                <w:szCs w:val="24"/>
                <w14:ligatures w14:val="none"/>
              </w:rPr>
              <w:t>;</w:t>
            </w:r>
          </w:p>
          <w:p w14:paraId="08A097FA" w14:textId="24F0F6B4" w:rsidR="00AE104F" w:rsidRPr="00B5109F" w:rsidRDefault="00C22F2F" w:rsidP="0008169B">
            <w:pPr>
              <w:pStyle w:val="Akapitzlist"/>
              <w:numPr>
                <w:ilvl w:val="1"/>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2 szt. kabli DAC 10Gbps SFP+ to SFP+ 10m z odpowiednimi modułami umożliwiającymi podłączenie ich do modułu LAN </w:t>
            </w:r>
          </w:p>
          <w:p w14:paraId="77778FA0" w14:textId="77777777" w:rsidR="00C22F2F" w:rsidRPr="00B5109F" w:rsidRDefault="00C22F2F" w:rsidP="0008169B">
            <w:pPr>
              <w:pStyle w:val="Akapitzlist"/>
              <w:numPr>
                <w:ilvl w:val="1"/>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2 szt. kabli DAC 10Gbps SFP+ to SFP+ 10m z odpowiednimi modułami umożliwiającymi podłączenie ich do modułu zarządzania</w:t>
            </w:r>
          </w:p>
          <w:p w14:paraId="0110E30C" w14:textId="4008F962" w:rsidR="00C22F2F" w:rsidRPr="00B5109F" w:rsidRDefault="00C22F2F" w:rsidP="0008169B">
            <w:pPr>
              <w:pStyle w:val="Akapitzlist"/>
              <w:numPr>
                <w:ilvl w:val="1"/>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4 szt. kabli optycznych MPO z rozsz</w:t>
            </w:r>
            <w:r w:rsidR="00FF3188" w:rsidRPr="00B5109F">
              <w:rPr>
                <w:rFonts w:ascii="Arial" w:eastAsia="Calibri" w:hAnsi="Arial" w:cs="Arial"/>
                <w:kern w:val="0"/>
                <w:sz w:val="24"/>
                <w:szCs w:val="24"/>
                <w14:ligatures w14:val="none"/>
              </w:rPr>
              <w:t>yciem na</w:t>
            </w:r>
            <w:r w:rsidRPr="00B5109F">
              <w:rPr>
                <w:rFonts w:ascii="Arial" w:eastAsia="Calibri" w:hAnsi="Arial" w:cs="Arial"/>
                <w:kern w:val="0"/>
                <w:sz w:val="24"/>
                <w:szCs w:val="24"/>
                <w14:ligatures w14:val="none"/>
              </w:rPr>
              <w:t xml:space="preserve"> 4 x LC min. 10m. w </w:t>
            </w:r>
            <w:proofErr w:type="spellStart"/>
            <w:r w:rsidRPr="00B5109F">
              <w:rPr>
                <w:rFonts w:ascii="Arial" w:eastAsia="Calibri" w:hAnsi="Arial" w:cs="Arial"/>
                <w:kern w:val="0"/>
                <w:sz w:val="24"/>
                <w:szCs w:val="24"/>
                <w14:ligatures w14:val="none"/>
              </w:rPr>
              <w:t>peszlu</w:t>
            </w:r>
            <w:proofErr w:type="spellEnd"/>
            <w:r w:rsidRPr="00B5109F">
              <w:rPr>
                <w:rFonts w:ascii="Arial" w:eastAsia="Calibri" w:hAnsi="Arial" w:cs="Arial"/>
                <w:kern w:val="0"/>
                <w:sz w:val="24"/>
                <w:szCs w:val="24"/>
                <w14:ligatures w14:val="none"/>
              </w:rPr>
              <w:t>;</w:t>
            </w:r>
          </w:p>
          <w:p w14:paraId="041C596A" w14:textId="77777777" w:rsidR="00C22F2F" w:rsidRPr="00B5109F" w:rsidRDefault="006339B0" w:rsidP="0008169B">
            <w:pPr>
              <w:pStyle w:val="Akapitzlist"/>
              <w:numPr>
                <w:ilvl w:val="1"/>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6</w:t>
            </w:r>
            <w:r w:rsidR="000F589E" w:rsidRPr="00B5109F">
              <w:rPr>
                <w:rFonts w:ascii="Arial" w:eastAsia="Calibri" w:hAnsi="Arial" w:cs="Arial"/>
                <w:kern w:val="0"/>
                <w:sz w:val="24"/>
                <w:szCs w:val="24"/>
                <w14:ligatures w14:val="none"/>
              </w:rPr>
              <w:t xml:space="preserve"> szt. kabli optycznych MPO – MPO 10m w </w:t>
            </w:r>
            <w:proofErr w:type="spellStart"/>
            <w:r w:rsidR="000F589E" w:rsidRPr="00B5109F">
              <w:rPr>
                <w:rFonts w:ascii="Arial" w:eastAsia="Calibri" w:hAnsi="Arial" w:cs="Arial"/>
                <w:kern w:val="0"/>
                <w:sz w:val="24"/>
                <w:szCs w:val="24"/>
                <w14:ligatures w14:val="none"/>
              </w:rPr>
              <w:t>peszlu</w:t>
            </w:r>
            <w:proofErr w:type="spellEnd"/>
            <w:r w:rsidR="000F589E" w:rsidRPr="00B5109F">
              <w:rPr>
                <w:rFonts w:ascii="Arial" w:eastAsia="Calibri" w:hAnsi="Arial" w:cs="Arial"/>
                <w:kern w:val="0"/>
                <w:sz w:val="24"/>
                <w:szCs w:val="24"/>
                <w14:ligatures w14:val="none"/>
              </w:rPr>
              <w:t>.</w:t>
            </w:r>
          </w:p>
          <w:p w14:paraId="3677B802" w14:textId="20BB5186" w:rsidR="000E2F1D" w:rsidRPr="00B5109F" w:rsidRDefault="00FF3188" w:rsidP="0008169B">
            <w:pPr>
              <w:pStyle w:val="Akapitzlist"/>
              <w:numPr>
                <w:ilvl w:val="0"/>
                <w:numId w:val="26"/>
              </w:numPr>
              <w:spacing w:line="276" w:lineRule="auto"/>
              <w:ind w:right="91"/>
              <w:rPr>
                <w:rFonts w:ascii="Arial" w:eastAsia="Calibri" w:hAnsi="Arial" w:cs="Arial"/>
                <w:kern w:val="0"/>
                <w:sz w:val="24"/>
                <w:szCs w:val="24"/>
                <w14:ligatures w14:val="none"/>
              </w:rPr>
            </w:pPr>
            <w:r w:rsidRPr="00B5109F">
              <w:rPr>
                <w:rFonts w:ascii="Arial" w:eastAsia="Calibri" w:hAnsi="Arial" w:cs="Arial"/>
                <w:kern w:val="0"/>
                <w:sz w:val="24"/>
                <w:szCs w:val="24"/>
                <w14:ligatures w14:val="none"/>
              </w:rPr>
              <w:t xml:space="preserve">W ramach dostawy </w:t>
            </w:r>
            <w:r w:rsidR="000E2F1D" w:rsidRPr="00B5109F">
              <w:rPr>
                <w:rFonts w:ascii="Arial" w:eastAsia="Calibri" w:hAnsi="Arial" w:cs="Arial"/>
                <w:kern w:val="0"/>
                <w:sz w:val="24"/>
                <w:szCs w:val="24"/>
                <w14:ligatures w14:val="none"/>
              </w:rPr>
              <w:t xml:space="preserve">Wykonawca dostarczy </w:t>
            </w:r>
            <w:r w:rsidR="001B1DCA" w:rsidRPr="00B5109F">
              <w:rPr>
                <w:rFonts w:ascii="Arial" w:eastAsia="Calibri" w:hAnsi="Arial" w:cs="Arial"/>
                <w:kern w:val="0"/>
                <w:sz w:val="24"/>
                <w:szCs w:val="24"/>
                <w14:ligatures w14:val="none"/>
              </w:rPr>
              <w:t>niezbędną ilość urządzeń PDU w ce</w:t>
            </w:r>
            <w:r w:rsidR="003578F5" w:rsidRPr="00B5109F">
              <w:rPr>
                <w:rFonts w:ascii="Arial" w:eastAsia="Calibri" w:hAnsi="Arial" w:cs="Arial"/>
                <w:kern w:val="0"/>
                <w:sz w:val="24"/>
                <w:szCs w:val="24"/>
                <w14:ligatures w14:val="none"/>
              </w:rPr>
              <w:t>lu</w:t>
            </w:r>
            <w:r w:rsidR="001B1DCA" w:rsidRPr="00B5109F">
              <w:rPr>
                <w:rFonts w:ascii="Arial" w:eastAsia="Calibri" w:hAnsi="Arial" w:cs="Arial"/>
                <w:kern w:val="0"/>
                <w:sz w:val="24"/>
                <w:szCs w:val="24"/>
                <w14:ligatures w14:val="none"/>
              </w:rPr>
              <w:t xml:space="preserve"> podłączenia </w:t>
            </w:r>
            <w:r w:rsidR="006D4017" w:rsidRPr="00B5109F">
              <w:rPr>
                <w:rFonts w:ascii="Arial" w:eastAsia="Calibri" w:hAnsi="Arial" w:cs="Arial"/>
                <w:kern w:val="0"/>
                <w:sz w:val="24"/>
                <w:szCs w:val="24"/>
                <w14:ligatures w14:val="none"/>
              </w:rPr>
              <w:t xml:space="preserve">obudów serwerowych w pojedynczej lokalizacji w ilości 20 szt. po 4 </w:t>
            </w:r>
            <w:r w:rsidR="003578F5" w:rsidRPr="00B5109F">
              <w:rPr>
                <w:rFonts w:ascii="Arial" w:eastAsia="Calibri" w:hAnsi="Arial" w:cs="Arial"/>
                <w:kern w:val="0"/>
                <w:sz w:val="24"/>
                <w:szCs w:val="24"/>
                <w14:ligatures w14:val="none"/>
              </w:rPr>
              <w:t xml:space="preserve">szt. </w:t>
            </w:r>
            <w:r w:rsidR="006D4017" w:rsidRPr="00B5109F">
              <w:rPr>
                <w:rFonts w:ascii="Arial" w:eastAsia="Calibri" w:hAnsi="Arial" w:cs="Arial"/>
                <w:kern w:val="0"/>
                <w:sz w:val="24"/>
                <w:szCs w:val="24"/>
                <w14:ligatures w14:val="none"/>
              </w:rPr>
              <w:t>dla 5 obudów</w:t>
            </w:r>
            <w:r w:rsidRPr="00B5109F">
              <w:rPr>
                <w:rFonts w:ascii="Arial" w:eastAsia="Calibri" w:hAnsi="Arial" w:cs="Arial"/>
                <w:kern w:val="0"/>
                <w:sz w:val="24"/>
                <w:szCs w:val="24"/>
                <w14:ligatures w14:val="none"/>
              </w:rPr>
              <w:t>,</w:t>
            </w:r>
            <w:r w:rsidR="006D4017" w:rsidRPr="00B5109F">
              <w:rPr>
                <w:rFonts w:ascii="Arial" w:eastAsia="Calibri" w:hAnsi="Arial" w:cs="Arial"/>
                <w:kern w:val="0"/>
                <w:sz w:val="24"/>
                <w:szCs w:val="24"/>
                <w14:ligatures w14:val="none"/>
              </w:rPr>
              <w:t xml:space="preserve"> zapewniających możliwość podłączenia wszystkich zasilaczy </w:t>
            </w:r>
            <w:r w:rsidR="0088798A" w:rsidRPr="00B5109F">
              <w:rPr>
                <w:rFonts w:ascii="Arial" w:eastAsia="Calibri" w:hAnsi="Arial" w:cs="Arial"/>
                <w:kern w:val="0"/>
                <w:sz w:val="24"/>
                <w:szCs w:val="24"/>
                <w14:ligatures w14:val="none"/>
              </w:rPr>
              <w:t xml:space="preserve">obudów </w:t>
            </w:r>
            <w:r w:rsidR="006D4017" w:rsidRPr="00B5109F">
              <w:rPr>
                <w:rFonts w:ascii="Arial" w:eastAsia="Calibri" w:hAnsi="Arial" w:cs="Arial"/>
                <w:kern w:val="0"/>
                <w:sz w:val="24"/>
                <w:szCs w:val="24"/>
                <w14:ligatures w14:val="none"/>
              </w:rPr>
              <w:t>do przygotowanych obwodów energetycznych Zamawiającego.</w:t>
            </w:r>
          </w:p>
        </w:tc>
      </w:tr>
    </w:tbl>
    <w:p w14:paraId="050A0D31" w14:textId="77777777" w:rsidR="00065F94" w:rsidRPr="00B5109F" w:rsidRDefault="00065F94" w:rsidP="006339B0">
      <w:pPr>
        <w:rPr>
          <w:rFonts w:ascii="Arial" w:hAnsi="Arial" w:cs="Arial"/>
          <w:sz w:val="24"/>
          <w:szCs w:val="24"/>
        </w:rPr>
      </w:pPr>
    </w:p>
    <w:p w14:paraId="55B02197" w14:textId="77777777" w:rsidR="006339B0" w:rsidRPr="00B5109F" w:rsidRDefault="006339B0" w:rsidP="006339B0">
      <w:pPr>
        <w:rPr>
          <w:rFonts w:ascii="Arial" w:hAnsi="Arial" w:cs="Arial"/>
          <w:sz w:val="24"/>
          <w:szCs w:val="24"/>
        </w:rPr>
      </w:pPr>
    </w:p>
    <w:sectPr w:rsidR="006339B0" w:rsidRPr="00B5109F" w:rsidSect="007D5ED1">
      <w:headerReference w:type="even" r:id="rId12"/>
      <w:headerReference w:type="default" r:id="rId13"/>
      <w:footerReference w:type="even" r:id="rId14"/>
      <w:footerReference w:type="default" r:id="rId15"/>
      <w:pgSz w:w="11904"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85D8" w14:textId="77777777" w:rsidR="005803FE" w:rsidRDefault="005803FE">
      <w:pPr>
        <w:spacing w:after="0" w:line="240" w:lineRule="auto"/>
      </w:pPr>
      <w:r>
        <w:separator/>
      </w:r>
    </w:p>
  </w:endnote>
  <w:endnote w:type="continuationSeparator" w:id="0">
    <w:p w14:paraId="264F016F" w14:textId="77777777" w:rsidR="005803FE" w:rsidRDefault="0058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E472" w14:textId="77777777" w:rsidR="006064C2" w:rsidRDefault="006064C2">
    <w:pPr>
      <w:pStyle w:val="Style10"/>
      <w:ind w:right="336"/>
      <w:jc w:val="right"/>
      <w:rPr>
        <w:rFonts w:ascii="Times New Roman" w:eastAsia="Times New Roman" w:hAnsi="Times New Roman" w:cs="Times New Roman"/>
        <w:sz w:val="22"/>
        <w:szCs w:val="22"/>
      </w:rPr>
    </w:pPr>
    <w:r>
      <w:rPr>
        <w:rStyle w:val="CharStyle59"/>
      </w:rPr>
      <w:fldChar w:fldCharType="begin"/>
    </w:r>
    <w:r>
      <w:rPr>
        <w:rStyle w:val="CharStyle59"/>
        <w:rFonts w:eastAsia="Calibri"/>
      </w:rPr>
      <w:instrText>PAGE</w:instrText>
    </w:r>
    <w:r>
      <w:rPr>
        <w:rStyle w:val="CharStyle59"/>
      </w:rPr>
      <w:fldChar w:fldCharType="separate"/>
    </w:r>
    <w:r>
      <w:rPr>
        <w:rStyle w:val="CharStyle59"/>
        <w:rFonts w:eastAsia="Calibri"/>
      </w:rPr>
      <w:t>20</w:t>
    </w:r>
    <w:r>
      <w:rPr>
        <w:rStyle w:val="CharStyle59"/>
        <w:rFonts w:eastAsia="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E5C5" w14:textId="77777777" w:rsidR="006064C2" w:rsidRDefault="006064C2">
    <w:pPr>
      <w:pStyle w:val="Style10"/>
      <w:ind w:left="-405" w:right="80"/>
      <w:jc w:val="right"/>
      <w:rPr>
        <w:rFonts w:ascii="Times New Roman" w:eastAsia="Times New Roman" w:hAnsi="Times New Roman" w:cs="Times New Roman"/>
        <w:sz w:val="22"/>
        <w:szCs w:val="22"/>
      </w:rPr>
    </w:pPr>
    <w:r>
      <w:rPr>
        <w:rStyle w:val="CharStyle59"/>
      </w:rPr>
      <w:fldChar w:fldCharType="begin"/>
    </w:r>
    <w:r>
      <w:rPr>
        <w:rStyle w:val="CharStyle59"/>
        <w:rFonts w:eastAsia="Calibri"/>
      </w:rPr>
      <w:instrText>PAGE</w:instrText>
    </w:r>
    <w:r>
      <w:rPr>
        <w:rStyle w:val="CharStyle59"/>
      </w:rPr>
      <w:fldChar w:fldCharType="separate"/>
    </w:r>
    <w:r>
      <w:rPr>
        <w:rStyle w:val="CharStyle59"/>
        <w:rFonts w:eastAsia="Calibri"/>
      </w:rPr>
      <w:t>19</w:t>
    </w:r>
    <w:r>
      <w:rPr>
        <w:rStyle w:val="CharStyle59"/>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3E2F" w14:textId="77777777" w:rsidR="005803FE" w:rsidRDefault="005803FE">
      <w:pPr>
        <w:spacing w:after="0" w:line="240" w:lineRule="auto"/>
      </w:pPr>
      <w:r>
        <w:separator/>
      </w:r>
    </w:p>
  </w:footnote>
  <w:footnote w:type="continuationSeparator" w:id="0">
    <w:p w14:paraId="6C073822" w14:textId="77777777" w:rsidR="005803FE" w:rsidRDefault="0058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3EC5" w14:textId="77777777" w:rsidR="006064C2" w:rsidRDefault="006064C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D871" w14:textId="7E67DFF0" w:rsidR="006064C2" w:rsidRDefault="006064C2" w:rsidP="005D6FD6">
    <w:pPr>
      <w:pStyle w:val="Nagwek"/>
    </w:pPr>
  </w:p>
  <w:p w14:paraId="7206F7C4" w14:textId="77777777" w:rsidR="005D6FD6" w:rsidRPr="005D6FD6" w:rsidRDefault="005D6FD6" w:rsidP="005D6F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44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8479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0709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97304"/>
    <w:multiLevelType w:val="hybridMultilevel"/>
    <w:tmpl w:val="B7EEC66C"/>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BD73BAC"/>
    <w:multiLevelType w:val="hybridMultilevel"/>
    <w:tmpl w:val="50AA2442"/>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CBD47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B118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B128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25360C"/>
    <w:multiLevelType w:val="multilevel"/>
    <w:tmpl w:val="872C144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Arial" w:eastAsia="Calibri"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AB46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4A293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6E5A90"/>
    <w:multiLevelType w:val="hybridMultilevel"/>
    <w:tmpl w:val="06FC5DAE"/>
    <w:lvl w:ilvl="0" w:tplc="724E747A">
      <w:start w:val="1"/>
      <w:numFmt w:val="decimal"/>
      <w:lvlText w:val="%1."/>
      <w:lvlJc w:val="left"/>
      <w:pPr>
        <w:ind w:left="720" w:hanging="360"/>
      </w:pPr>
    </w:lvl>
    <w:lvl w:ilvl="1" w:tplc="F88A6856">
      <w:start w:val="1"/>
      <w:numFmt w:val="decimal"/>
      <w:lvlText w:val="%2."/>
      <w:lvlJc w:val="left"/>
      <w:pPr>
        <w:ind w:left="720" w:hanging="360"/>
      </w:pPr>
    </w:lvl>
    <w:lvl w:ilvl="2" w:tplc="2720754E">
      <w:start w:val="1"/>
      <w:numFmt w:val="decimal"/>
      <w:lvlText w:val="%3."/>
      <w:lvlJc w:val="left"/>
      <w:pPr>
        <w:ind w:left="720" w:hanging="360"/>
      </w:pPr>
    </w:lvl>
    <w:lvl w:ilvl="3" w:tplc="D2104CEC">
      <w:start w:val="1"/>
      <w:numFmt w:val="decimal"/>
      <w:lvlText w:val="%4."/>
      <w:lvlJc w:val="left"/>
      <w:pPr>
        <w:ind w:left="720" w:hanging="360"/>
      </w:pPr>
    </w:lvl>
    <w:lvl w:ilvl="4" w:tplc="62967876">
      <w:start w:val="1"/>
      <w:numFmt w:val="decimal"/>
      <w:lvlText w:val="%5."/>
      <w:lvlJc w:val="left"/>
      <w:pPr>
        <w:ind w:left="720" w:hanging="360"/>
      </w:pPr>
    </w:lvl>
    <w:lvl w:ilvl="5" w:tplc="CADC0FEA">
      <w:start w:val="1"/>
      <w:numFmt w:val="decimal"/>
      <w:lvlText w:val="%6."/>
      <w:lvlJc w:val="left"/>
      <w:pPr>
        <w:ind w:left="720" w:hanging="360"/>
      </w:pPr>
    </w:lvl>
    <w:lvl w:ilvl="6" w:tplc="F8708D1C">
      <w:start w:val="1"/>
      <w:numFmt w:val="decimal"/>
      <w:lvlText w:val="%7."/>
      <w:lvlJc w:val="left"/>
      <w:pPr>
        <w:ind w:left="720" w:hanging="360"/>
      </w:pPr>
    </w:lvl>
    <w:lvl w:ilvl="7" w:tplc="EAF432C0">
      <w:start w:val="1"/>
      <w:numFmt w:val="decimal"/>
      <w:lvlText w:val="%8."/>
      <w:lvlJc w:val="left"/>
      <w:pPr>
        <w:ind w:left="720" w:hanging="360"/>
      </w:pPr>
    </w:lvl>
    <w:lvl w:ilvl="8" w:tplc="684E0B80">
      <w:start w:val="1"/>
      <w:numFmt w:val="decimal"/>
      <w:lvlText w:val="%9."/>
      <w:lvlJc w:val="left"/>
      <w:pPr>
        <w:ind w:left="720" w:hanging="360"/>
      </w:pPr>
    </w:lvl>
  </w:abstractNum>
  <w:abstractNum w:abstractNumId="12" w15:restartNumberingAfterBreak="0">
    <w:nsid w:val="247D11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D4130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92797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B72E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0557E9"/>
    <w:multiLevelType w:val="hybridMultilevel"/>
    <w:tmpl w:val="B7EEC66C"/>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38E144A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B055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7A0AE1"/>
    <w:multiLevelType w:val="multilevel"/>
    <w:tmpl w:val="14DC8D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8766D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6741D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9F07AA"/>
    <w:multiLevelType w:val="hybridMultilevel"/>
    <w:tmpl w:val="74B4A092"/>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4E747ADC"/>
    <w:multiLevelType w:val="hybridMultilevel"/>
    <w:tmpl w:val="46720ADA"/>
    <w:lvl w:ilvl="0" w:tplc="3B84C1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6412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5801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9549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543BD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3677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7C32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7353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C5719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854B5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DF54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D8720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A003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5406293">
    <w:abstractNumId w:val="8"/>
  </w:num>
  <w:num w:numId="2" w16cid:durableId="2022461976">
    <w:abstractNumId w:val="15"/>
  </w:num>
  <w:num w:numId="3" w16cid:durableId="404957571">
    <w:abstractNumId w:val="19"/>
  </w:num>
  <w:num w:numId="4" w16cid:durableId="1091202302">
    <w:abstractNumId w:val="4"/>
  </w:num>
  <w:num w:numId="5" w16cid:durableId="241725075">
    <w:abstractNumId w:val="16"/>
  </w:num>
  <w:num w:numId="6" w16cid:durableId="1060060340">
    <w:abstractNumId w:val="22"/>
  </w:num>
  <w:num w:numId="7" w16cid:durableId="2056267475">
    <w:abstractNumId w:val="18"/>
  </w:num>
  <w:num w:numId="8" w16cid:durableId="1207570479">
    <w:abstractNumId w:val="20"/>
  </w:num>
  <w:num w:numId="9" w16cid:durableId="1042750954">
    <w:abstractNumId w:val="32"/>
  </w:num>
  <w:num w:numId="10" w16cid:durableId="1869297325">
    <w:abstractNumId w:val="12"/>
  </w:num>
  <w:num w:numId="11" w16cid:durableId="102040469">
    <w:abstractNumId w:val="34"/>
  </w:num>
  <w:num w:numId="12" w16cid:durableId="803620709">
    <w:abstractNumId w:val="25"/>
  </w:num>
  <w:num w:numId="13" w16cid:durableId="1052271999">
    <w:abstractNumId w:val="2"/>
  </w:num>
  <w:num w:numId="14" w16cid:durableId="1558007122">
    <w:abstractNumId w:val="35"/>
  </w:num>
  <w:num w:numId="15" w16cid:durableId="724984328">
    <w:abstractNumId w:val="24"/>
  </w:num>
  <w:num w:numId="16" w16cid:durableId="1851917995">
    <w:abstractNumId w:val="14"/>
  </w:num>
  <w:num w:numId="17" w16cid:durableId="1505168003">
    <w:abstractNumId w:val="0"/>
  </w:num>
  <w:num w:numId="18" w16cid:durableId="1383871034">
    <w:abstractNumId w:val="1"/>
  </w:num>
  <w:num w:numId="19" w16cid:durableId="1115100886">
    <w:abstractNumId w:val="28"/>
  </w:num>
  <w:num w:numId="20" w16cid:durableId="773013623">
    <w:abstractNumId w:val="17"/>
  </w:num>
  <w:num w:numId="21" w16cid:durableId="2060397513">
    <w:abstractNumId w:val="31"/>
  </w:num>
  <w:num w:numId="22" w16cid:durableId="107362039">
    <w:abstractNumId w:val="21"/>
  </w:num>
  <w:num w:numId="23" w16cid:durableId="1324314151">
    <w:abstractNumId w:val="9"/>
  </w:num>
  <w:num w:numId="24" w16cid:durableId="524289667">
    <w:abstractNumId w:val="29"/>
  </w:num>
  <w:num w:numId="25" w16cid:durableId="443307126">
    <w:abstractNumId w:val="13"/>
  </w:num>
  <w:num w:numId="26" w16cid:durableId="1942834080">
    <w:abstractNumId w:val="5"/>
  </w:num>
  <w:num w:numId="27" w16cid:durableId="549730453">
    <w:abstractNumId w:val="3"/>
  </w:num>
  <w:num w:numId="28" w16cid:durableId="416024987">
    <w:abstractNumId w:val="33"/>
  </w:num>
  <w:num w:numId="29" w16cid:durableId="464474172">
    <w:abstractNumId w:val="7"/>
  </w:num>
  <w:num w:numId="30" w16cid:durableId="66344357">
    <w:abstractNumId w:val="30"/>
  </w:num>
  <w:num w:numId="31" w16cid:durableId="1649286773">
    <w:abstractNumId w:val="26"/>
  </w:num>
  <w:num w:numId="32" w16cid:durableId="1040666412">
    <w:abstractNumId w:val="10"/>
  </w:num>
  <w:num w:numId="33" w16cid:durableId="763771677">
    <w:abstractNumId w:val="27"/>
  </w:num>
  <w:num w:numId="34" w16cid:durableId="1803385070">
    <w:abstractNumId w:val="6"/>
  </w:num>
  <w:num w:numId="35" w16cid:durableId="1166869360">
    <w:abstractNumId w:val="23"/>
  </w:num>
  <w:num w:numId="36" w16cid:durableId="966276901">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B9"/>
    <w:rsid w:val="00024CA2"/>
    <w:rsid w:val="00047902"/>
    <w:rsid w:val="00060813"/>
    <w:rsid w:val="00065F94"/>
    <w:rsid w:val="0008169B"/>
    <w:rsid w:val="000B458F"/>
    <w:rsid w:val="000C18EF"/>
    <w:rsid w:val="000E2F1D"/>
    <w:rsid w:val="000F589E"/>
    <w:rsid w:val="001B1DCA"/>
    <w:rsid w:val="001C23DF"/>
    <w:rsid w:val="00215F4F"/>
    <w:rsid w:val="00230E0D"/>
    <w:rsid w:val="002C6001"/>
    <w:rsid w:val="0033291A"/>
    <w:rsid w:val="0035595A"/>
    <w:rsid w:val="003578F5"/>
    <w:rsid w:val="003C69E7"/>
    <w:rsid w:val="003E2FB3"/>
    <w:rsid w:val="003E6746"/>
    <w:rsid w:val="004126A0"/>
    <w:rsid w:val="004358D6"/>
    <w:rsid w:val="00447232"/>
    <w:rsid w:val="004A325B"/>
    <w:rsid w:val="0052044D"/>
    <w:rsid w:val="00550F28"/>
    <w:rsid w:val="005803FE"/>
    <w:rsid w:val="005945B9"/>
    <w:rsid w:val="005D6FD6"/>
    <w:rsid w:val="005E406A"/>
    <w:rsid w:val="005E7AF0"/>
    <w:rsid w:val="005F46A0"/>
    <w:rsid w:val="006064C2"/>
    <w:rsid w:val="006339B0"/>
    <w:rsid w:val="00672C28"/>
    <w:rsid w:val="0068532B"/>
    <w:rsid w:val="006D4017"/>
    <w:rsid w:val="006D76FE"/>
    <w:rsid w:val="006F5840"/>
    <w:rsid w:val="0070056F"/>
    <w:rsid w:val="0077239B"/>
    <w:rsid w:val="007B275E"/>
    <w:rsid w:val="007D5ED1"/>
    <w:rsid w:val="007F2A8E"/>
    <w:rsid w:val="00802138"/>
    <w:rsid w:val="00810A4D"/>
    <w:rsid w:val="00875D1E"/>
    <w:rsid w:val="0088798A"/>
    <w:rsid w:val="00896D52"/>
    <w:rsid w:val="008C1308"/>
    <w:rsid w:val="008E64B0"/>
    <w:rsid w:val="00940E1B"/>
    <w:rsid w:val="009416DD"/>
    <w:rsid w:val="009474B1"/>
    <w:rsid w:val="0095058D"/>
    <w:rsid w:val="009A166F"/>
    <w:rsid w:val="009B224C"/>
    <w:rsid w:val="009E6DDB"/>
    <w:rsid w:val="00A05F10"/>
    <w:rsid w:val="00A334BA"/>
    <w:rsid w:val="00A3389F"/>
    <w:rsid w:val="00A56D0A"/>
    <w:rsid w:val="00A745C9"/>
    <w:rsid w:val="00AB3392"/>
    <w:rsid w:val="00AC08EA"/>
    <w:rsid w:val="00AE104F"/>
    <w:rsid w:val="00AE1C3E"/>
    <w:rsid w:val="00B116F1"/>
    <w:rsid w:val="00B5109F"/>
    <w:rsid w:val="00B86E78"/>
    <w:rsid w:val="00C12C48"/>
    <w:rsid w:val="00C22F2F"/>
    <w:rsid w:val="00C96187"/>
    <w:rsid w:val="00D71D11"/>
    <w:rsid w:val="00D73EA6"/>
    <w:rsid w:val="00DA360C"/>
    <w:rsid w:val="00DD500D"/>
    <w:rsid w:val="00E200B8"/>
    <w:rsid w:val="00E9602C"/>
    <w:rsid w:val="00EC4899"/>
    <w:rsid w:val="00EC7E9D"/>
    <w:rsid w:val="00ED13AE"/>
    <w:rsid w:val="00EE0BA4"/>
    <w:rsid w:val="00F502D0"/>
    <w:rsid w:val="00F732D9"/>
    <w:rsid w:val="00FD3398"/>
    <w:rsid w:val="00FF3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9839"/>
  <w15:docId w15:val="{2350B913-9DAD-4E41-AEE4-7D9F8BC9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0">
    <w:name w:val="Style0"/>
    <w:basedOn w:val="Normalny"/>
    <w:pPr>
      <w:spacing w:after="0" w:line="408" w:lineRule="exact"/>
      <w:jc w:val="right"/>
    </w:pPr>
    <w:rPr>
      <w:rFonts w:ascii="Calibri" w:eastAsia="Calibri" w:hAnsi="Calibri" w:cs="Calibri"/>
      <w:kern w:val="0"/>
      <w:sz w:val="20"/>
      <w:szCs w:val="20"/>
      <w14:ligatures w14:val="none"/>
    </w:rPr>
  </w:style>
  <w:style w:type="paragraph" w:customStyle="1" w:styleId="Style1">
    <w:name w:val="Style1"/>
    <w:basedOn w:val="Normalny"/>
    <w:pPr>
      <w:spacing w:after="0" w:line="538" w:lineRule="exact"/>
      <w:ind w:firstLine="2530"/>
    </w:pPr>
    <w:rPr>
      <w:rFonts w:ascii="Calibri" w:eastAsia="Calibri" w:hAnsi="Calibri" w:cs="Calibri"/>
      <w:kern w:val="0"/>
      <w:sz w:val="20"/>
      <w:szCs w:val="20"/>
      <w14:ligatures w14:val="none"/>
    </w:rPr>
  </w:style>
  <w:style w:type="paragraph" w:customStyle="1" w:styleId="Style2">
    <w:name w:val="Style2"/>
    <w:basedOn w:val="Normalny"/>
    <w:pPr>
      <w:spacing w:after="0" w:line="440" w:lineRule="exact"/>
      <w:ind w:hanging="336"/>
      <w:jc w:val="both"/>
    </w:pPr>
    <w:rPr>
      <w:rFonts w:ascii="Calibri" w:eastAsia="Calibri" w:hAnsi="Calibri" w:cs="Calibri"/>
      <w:kern w:val="0"/>
      <w:sz w:val="20"/>
      <w:szCs w:val="20"/>
      <w14:ligatures w14:val="none"/>
    </w:rPr>
  </w:style>
  <w:style w:type="paragraph" w:customStyle="1" w:styleId="Style10">
    <w:name w:val="Style10"/>
    <w:basedOn w:val="Normalny"/>
    <w:pPr>
      <w:spacing w:after="0" w:line="240" w:lineRule="auto"/>
    </w:pPr>
    <w:rPr>
      <w:rFonts w:ascii="Calibri" w:eastAsia="Calibri" w:hAnsi="Calibri" w:cs="Calibri"/>
      <w:kern w:val="0"/>
      <w:sz w:val="20"/>
      <w:szCs w:val="20"/>
      <w14:ligatures w14:val="none"/>
    </w:rPr>
  </w:style>
  <w:style w:type="paragraph" w:customStyle="1" w:styleId="Style11">
    <w:name w:val="Style11"/>
    <w:basedOn w:val="Normalny"/>
    <w:pPr>
      <w:spacing w:after="0" w:line="240" w:lineRule="auto"/>
    </w:pPr>
    <w:rPr>
      <w:rFonts w:ascii="Calibri" w:eastAsia="Calibri" w:hAnsi="Calibri" w:cs="Calibri"/>
      <w:kern w:val="0"/>
      <w:sz w:val="20"/>
      <w:szCs w:val="20"/>
      <w14:ligatures w14:val="none"/>
    </w:rPr>
  </w:style>
  <w:style w:type="paragraph" w:customStyle="1" w:styleId="Style12">
    <w:name w:val="Style12"/>
    <w:basedOn w:val="Normalny"/>
    <w:pPr>
      <w:spacing w:after="0" w:line="440" w:lineRule="exact"/>
      <w:jc w:val="both"/>
    </w:pPr>
    <w:rPr>
      <w:rFonts w:ascii="Calibri" w:eastAsia="Calibri" w:hAnsi="Calibri" w:cs="Calibri"/>
      <w:kern w:val="0"/>
      <w:sz w:val="20"/>
      <w:szCs w:val="20"/>
      <w14:ligatures w14:val="none"/>
    </w:rPr>
  </w:style>
  <w:style w:type="paragraph" w:customStyle="1" w:styleId="Style13">
    <w:name w:val="Style13"/>
    <w:basedOn w:val="Normalny"/>
    <w:pPr>
      <w:spacing w:after="0" w:line="442" w:lineRule="exact"/>
      <w:ind w:hanging="346"/>
    </w:pPr>
    <w:rPr>
      <w:rFonts w:ascii="Calibri" w:eastAsia="Calibri" w:hAnsi="Calibri" w:cs="Calibri"/>
      <w:kern w:val="0"/>
      <w:sz w:val="20"/>
      <w:szCs w:val="20"/>
      <w14:ligatures w14:val="none"/>
    </w:rPr>
  </w:style>
  <w:style w:type="paragraph" w:customStyle="1" w:styleId="Style119">
    <w:name w:val="Style119"/>
    <w:basedOn w:val="Normalny"/>
    <w:pPr>
      <w:spacing w:after="0" w:line="439" w:lineRule="exact"/>
      <w:ind w:hanging="355"/>
    </w:pPr>
    <w:rPr>
      <w:rFonts w:ascii="Calibri" w:eastAsia="Calibri" w:hAnsi="Calibri" w:cs="Calibri"/>
      <w:kern w:val="0"/>
      <w:sz w:val="20"/>
      <w:szCs w:val="20"/>
      <w14:ligatures w14:val="none"/>
    </w:rPr>
  </w:style>
  <w:style w:type="paragraph" w:customStyle="1" w:styleId="Style209">
    <w:name w:val="Style209"/>
    <w:basedOn w:val="Normalny"/>
    <w:pPr>
      <w:spacing w:after="0" w:line="365" w:lineRule="exact"/>
      <w:ind w:firstLine="3163"/>
    </w:pPr>
    <w:rPr>
      <w:rFonts w:ascii="Calibri" w:eastAsia="Calibri" w:hAnsi="Calibri" w:cs="Calibri"/>
      <w:kern w:val="0"/>
      <w:sz w:val="20"/>
      <w:szCs w:val="20"/>
      <w14:ligatures w14:val="none"/>
    </w:rPr>
  </w:style>
  <w:style w:type="paragraph" w:customStyle="1" w:styleId="Style22">
    <w:name w:val="Style22"/>
    <w:basedOn w:val="Normalny"/>
    <w:pPr>
      <w:spacing w:after="0" w:line="439" w:lineRule="exact"/>
      <w:ind w:hanging="576"/>
    </w:pPr>
    <w:rPr>
      <w:rFonts w:ascii="Calibri" w:eastAsia="Calibri" w:hAnsi="Calibri" w:cs="Calibri"/>
      <w:kern w:val="0"/>
      <w:sz w:val="20"/>
      <w:szCs w:val="20"/>
      <w14:ligatures w14:val="none"/>
    </w:rPr>
  </w:style>
  <w:style w:type="paragraph" w:customStyle="1" w:styleId="Style23">
    <w:name w:val="Style23"/>
    <w:basedOn w:val="Normalny"/>
    <w:pPr>
      <w:spacing w:after="0" w:line="437" w:lineRule="exact"/>
      <w:ind w:hanging="336"/>
      <w:jc w:val="both"/>
    </w:pPr>
    <w:rPr>
      <w:rFonts w:ascii="Calibri" w:eastAsia="Calibri" w:hAnsi="Calibri" w:cs="Calibri"/>
      <w:kern w:val="0"/>
      <w:sz w:val="20"/>
      <w:szCs w:val="20"/>
      <w14:ligatures w14:val="none"/>
    </w:rPr>
  </w:style>
  <w:style w:type="paragraph" w:customStyle="1" w:styleId="Style298">
    <w:name w:val="Style298"/>
    <w:basedOn w:val="Normalny"/>
    <w:pPr>
      <w:spacing w:after="0" w:line="240" w:lineRule="auto"/>
    </w:pPr>
    <w:rPr>
      <w:rFonts w:ascii="Calibri" w:eastAsia="Calibri" w:hAnsi="Calibri" w:cs="Calibri"/>
      <w:kern w:val="0"/>
      <w:sz w:val="20"/>
      <w:szCs w:val="20"/>
      <w14:ligatures w14:val="none"/>
    </w:rPr>
  </w:style>
  <w:style w:type="paragraph" w:customStyle="1" w:styleId="Style125">
    <w:name w:val="Style125"/>
    <w:basedOn w:val="Normalny"/>
    <w:pPr>
      <w:spacing w:after="0" w:line="437" w:lineRule="exact"/>
      <w:ind w:hanging="360"/>
    </w:pPr>
    <w:rPr>
      <w:rFonts w:ascii="Calibri" w:eastAsia="Calibri" w:hAnsi="Calibri" w:cs="Calibri"/>
      <w:kern w:val="0"/>
      <w:sz w:val="20"/>
      <w:szCs w:val="20"/>
      <w14:ligatures w14:val="none"/>
    </w:rPr>
  </w:style>
  <w:style w:type="paragraph" w:customStyle="1" w:styleId="Style116">
    <w:name w:val="Style116"/>
    <w:basedOn w:val="Normalny"/>
    <w:pPr>
      <w:spacing w:after="0" w:line="240" w:lineRule="auto"/>
    </w:pPr>
    <w:rPr>
      <w:rFonts w:ascii="Calibri" w:eastAsia="Calibri" w:hAnsi="Calibri" w:cs="Calibri"/>
      <w:kern w:val="0"/>
      <w:sz w:val="20"/>
      <w:szCs w:val="20"/>
      <w14:ligatures w14:val="none"/>
    </w:rPr>
  </w:style>
  <w:style w:type="paragraph" w:customStyle="1" w:styleId="Style124">
    <w:name w:val="Style124"/>
    <w:basedOn w:val="Normalny"/>
    <w:pPr>
      <w:spacing w:after="0" w:line="439" w:lineRule="exact"/>
    </w:pPr>
    <w:rPr>
      <w:rFonts w:ascii="Calibri" w:eastAsia="Calibri" w:hAnsi="Calibri" w:cs="Calibri"/>
      <w:kern w:val="0"/>
      <w:sz w:val="20"/>
      <w:szCs w:val="20"/>
      <w14:ligatures w14:val="none"/>
    </w:rPr>
  </w:style>
  <w:style w:type="paragraph" w:customStyle="1" w:styleId="Style123">
    <w:name w:val="Style123"/>
    <w:basedOn w:val="Normalny"/>
    <w:pPr>
      <w:spacing w:after="0" w:line="240" w:lineRule="auto"/>
    </w:pPr>
    <w:rPr>
      <w:rFonts w:ascii="Calibri" w:eastAsia="Calibri" w:hAnsi="Calibri" w:cs="Calibri"/>
      <w:kern w:val="0"/>
      <w:sz w:val="20"/>
      <w:szCs w:val="20"/>
      <w14:ligatures w14:val="none"/>
    </w:rPr>
  </w:style>
  <w:style w:type="paragraph" w:customStyle="1" w:styleId="Style42">
    <w:name w:val="Style42"/>
    <w:basedOn w:val="Normalny"/>
    <w:pPr>
      <w:spacing w:after="0" w:line="437" w:lineRule="exact"/>
    </w:pPr>
    <w:rPr>
      <w:rFonts w:ascii="Calibri" w:eastAsia="Calibri" w:hAnsi="Calibri" w:cs="Calibri"/>
      <w:kern w:val="0"/>
      <w:sz w:val="20"/>
      <w:szCs w:val="20"/>
      <w14:ligatures w14:val="none"/>
    </w:rPr>
  </w:style>
  <w:style w:type="character" w:customStyle="1" w:styleId="CharStyle15">
    <w:name w:val="CharStyle15"/>
    <w:basedOn w:val="Domylnaczcionkaakapitu"/>
    <w:rPr>
      <w:rFonts w:ascii="Calibri" w:eastAsia="Calibri" w:hAnsi="Calibri" w:cs="Calibri"/>
      <w:b w:val="0"/>
      <w:bCs w:val="0"/>
      <w:i/>
      <w:iCs/>
      <w:smallCaps w:val="0"/>
      <w:sz w:val="22"/>
      <w:szCs w:val="22"/>
    </w:rPr>
  </w:style>
  <w:style w:type="character" w:customStyle="1" w:styleId="CharStyle59">
    <w:name w:val="CharStyle59"/>
    <w:basedOn w:val="Domylnaczcionkaakapitu"/>
    <w:rPr>
      <w:rFonts w:ascii="Times New Roman" w:eastAsia="Times New Roman" w:hAnsi="Times New Roman" w:cs="Times New Roman"/>
      <w:b w:val="0"/>
      <w:bCs w:val="0"/>
      <w:i w:val="0"/>
      <w:iCs w:val="0"/>
      <w:smallCaps w:val="0"/>
      <w:sz w:val="22"/>
      <w:szCs w:val="22"/>
    </w:rPr>
  </w:style>
  <w:style w:type="character" w:customStyle="1" w:styleId="CharStyle71">
    <w:name w:val="CharStyle71"/>
    <w:basedOn w:val="Domylnaczcionkaakapitu"/>
    <w:rPr>
      <w:rFonts w:ascii="Calibri" w:eastAsia="Calibri" w:hAnsi="Calibri" w:cs="Calibri"/>
      <w:b/>
      <w:bCs/>
      <w:i w:val="0"/>
      <w:iCs w:val="0"/>
      <w:smallCaps w:val="0"/>
      <w:sz w:val="22"/>
      <w:szCs w:val="22"/>
    </w:rPr>
  </w:style>
  <w:style w:type="character" w:customStyle="1" w:styleId="CharStyle82">
    <w:name w:val="CharStyle82"/>
    <w:basedOn w:val="Domylnaczcionkaakapitu"/>
    <w:rPr>
      <w:rFonts w:ascii="Calibri" w:eastAsia="Calibri" w:hAnsi="Calibri" w:cs="Calibri"/>
      <w:b w:val="0"/>
      <w:bCs w:val="0"/>
      <w:i w:val="0"/>
      <w:iCs w:val="0"/>
      <w:smallCaps w:val="0"/>
      <w:sz w:val="22"/>
      <w:szCs w:val="22"/>
    </w:rPr>
  </w:style>
  <w:style w:type="character" w:styleId="Hipercze">
    <w:name w:val="Hyperlink"/>
    <w:basedOn w:val="Domylnaczcionkaakapitu"/>
    <w:rPr>
      <w:color w:val="0066CC"/>
      <w:u w:val="single"/>
    </w:rPr>
  </w:style>
  <w:style w:type="character" w:styleId="Odwoaniedokomentarza">
    <w:name w:val="annotation reference"/>
    <w:basedOn w:val="Domylnaczcionkaakapitu"/>
    <w:uiPriority w:val="99"/>
    <w:unhideWhenUsed/>
    <w:rsid w:val="00802138"/>
    <w:rPr>
      <w:sz w:val="16"/>
      <w:szCs w:val="16"/>
    </w:rPr>
  </w:style>
  <w:style w:type="paragraph" w:styleId="Tekstkomentarza">
    <w:name w:val="annotation text"/>
    <w:basedOn w:val="Normalny"/>
    <w:link w:val="TekstkomentarzaZnak"/>
    <w:uiPriority w:val="99"/>
    <w:unhideWhenUsed/>
    <w:rsid w:val="00802138"/>
    <w:pPr>
      <w:spacing w:line="240" w:lineRule="auto"/>
    </w:pPr>
    <w:rPr>
      <w:sz w:val="20"/>
      <w:szCs w:val="20"/>
    </w:rPr>
  </w:style>
  <w:style w:type="character" w:customStyle="1" w:styleId="TekstkomentarzaZnak">
    <w:name w:val="Tekst komentarza Znak"/>
    <w:basedOn w:val="Domylnaczcionkaakapitu"/>
    <w:link w:val="Tekstkomentarza"/>
    <w:uiPriority w:val="99"/>
    <w:rsid w:val="00802138"/>
    <w:rPr>
      <w:sz w:val="20"/>
      <w:szCs w:val="20"/>
    </w:rPr>
  </w:style>
  <w:style w:type="paragraph" w:styleId="Tematkomentarza">
    <w:name w:val="annotation subject"/>
    <w:basedOn w:val="Tekstkomentarza"/>
    <w:next w:val="Tekstkomentarza"/>
    <w:link w:val="TematkomentarzaZnak"/>
    <w:uiPriority w:val="99"/>
    <w:semiHidden/>
    <w:unhideWhenUsed/>
    <w:rsid w:val="00802138"/>
    <w:rPr>
      <w:b/>
      <w:bCs/>
    </w:rPr>
  </w:style>
  <w:style w:type="character" w:customStyle="1" w:styleId="TematkomentarzaZnak">
    <w:name w:val="Temat komentarza Znak"/>
    <w:basedOn w:val="TekstkomentarzaZnak"/>
    <w:link w:val="Tematkomentarza"/>
    <w:uiPriority w:val="99"/>
    <w:semiHidden/>
    <w:rsid w:val="00802138"/>
    <w:rPr>
      <w:b/>
      <w:bCs/>
      <w:sz w:val="20"/>
      <w:szCs w:val="20"/>
    </w:rPr>
  </w:style>
  <w:style w:type="paragraph" w:styleId="Nagwek">
    <w:name w:val="header"/>
    <w:basedOn w:val="Normalny"/>
    <w:link w:val="NagwekZnak"/>
    <w:uiPriority w:val="99"/>
    <w:unhideWhenUsed/>
    <w:rsid w:val="008C13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308"/>
  </w:style>
  <w:style w:type="paragraph" w:styleId="Stopka">
    <w:name w:val="footer"/>
    <w:basedOn w:val="Normalny"/>
    <w:link w:val="StopkaZnak"/>
    <w:uiPriority w:val="99"/>
    <w:unhideWhenUsed/>
    <w:rsid w:val="008C13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308"/>
  </w:style>
  <w:style w:type="paragraph" w:styleId="Legenda">
    <w:name w:val="caption"/>
    <w:basedOn w:val="Normalny"/>
    <w:next w:val="Normalny"/>
    <w:uiPriority w:val="35"/>
    <w:unhideWhenUsed/>
    <w:qFormat/>
    <w:rsid w:val="009474B1"/>
    <w:pPr>
      <w:spacing w:after="200" w:line="240" w:lineRule="auto"/>
    </w:pPr>
    <w:rPr>
      <w:i/>
      <w:iCs/>
      <w:color w:val="44546A" w:themeColor="text2"/>
      <w:sz w:val="18"/>
      <w:szCs w:val="18"/>
    </w:rPr>
  </w:style>
  <w:style w:type="paragraph" w:styleId="Akapitzlist">
    <w:name w:val="List Paragraph"/>
    <w:aliases w:val="lp1,Preambuła,Akapit z listą1"/>
    <w:basedOn w:val="Normalny"/>
    <w:link w:val="AkapitzlistZnak"/>
    <w:uiPriority w:val="34"/>
    <w:qFormat/>
    <w:rsid w:val="009E6DDB"/>
    <w:pPr>
      <w:ind w:left="720"/>
      <w:contextualSpacing/>
    </w:pPr>
  </w:style>
  <w:style w:type="table" w:styleId="Tabela-Siatka">
    <w:name w:val="Table Grid"/>
    <w:basedOn w:val="Standardowy"/>
    <w:uiPriority w:val="39"/>
    <w:rsid w:val="007D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Akapit z listą1 Znak"/>
    <w:link w:val="Akapitzlist"/>
    <w:uiPriority w:val="34"/>
    <w:locked/>
    <w:rsid w:val="006F5840"/>
  </w:style>
  <w:style w:type="paragraph" w:styleId="Tekstpodstawowy">
    <w:name w:val="Body Text"/>
    <w:basedOn w:val="Normalny"/>
    <w:link w:val="TekstpodstawowyZnak"/>
    <w:uiPriority w:val="1"/>
    <w:qFormat/>
    <w:rsid w:val="007F2A8E"/>
    <w:pPr>
      <w:widowControl w:val="0"/>
      <w:autoSpaceDE w:val="0"/>
      <w:autoSpaceDN w:val="0"/>
      <w:spacing w:before="80" w:after="0" w:line="240" w:lineRule="auto"/>
      <w:ind w:left="476" w:hanging="360"/>
      <w:jc w:val="both"/>
    </w:pPr>
    <w:rPr>
      <w:rFonts w:ascii="Arial" w:eastAsia="Arial" w:hAnsi="Arial" w:cs="Arial"/>
      <w:kern w:val="0"/>
      <w:lang w:eastAsia="en-US"/>
      <w14:ligatures w14:val="none"/>
    </w:rPr>
  </w:style>
  <w:style w:type="character" w:customStyle="1" w:styleId="TekstpodstawowyZnak">
    <w:name w:val="Tekst podstawowy Znak"/>
    <w:basedOn w:val="Domylnaczcionkaakapitu"/>
    <w:link w:val="Tekstpodstawowy"/>
    <w:uiPriority w:val="1"/>
    <w:rsid w:val="007F2A8E"/>
    <w:rPr>
      <w:rFonts w:ascii="Arial" w:eastAsia="Arial" w:hAnsi="Arial" w:cs="Arial"/>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5528">
      <w:bodyDiv w:val="1"/>
      <w:marLeft w:val="0"/>
      <w:marRight w:val="0"/>
      <w:marTop w:val="0"/>
      <w:marBottom w:val="0"/>
      <w:divBdr>
        <w:top w:val="none" w:sz="0" w:space="0" w:color="auto"/>
        <w:left w:val="none" w:sz="0" w:space="0" w:color="auto"/>
        <w:bottom w:val="none" w:sz="0" w:space="0" w:color="auto"/>
        <w:right w:val="none" w:sz="0" w:space="0" w:color="auto"/>
      </w:divBdr>
    </w:div>
    <w:div w:id="590240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d@ms.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A331FB2D9A44DBAAF8037835241A4" ma:contentTypeVersion="14" ma:contentTypeDescription="Create a new document." ma:contentTypeScope="" ma:versionID="c4324588f4357c17bdc1995e43e68788">
  <xsd:schema xmlns:xsd="http://www.w3.org/2001/XMLSchema" xmlns:xs="http://www.w3.org/2001/XMLSchema" xmlns:p="http://schemas.microsoft.com/office/2006/metadata/properties" xmlns:ns2="62b66d35-5dbe-405f-99f0-f23ec5601639" xmlns:ns3="6084762a-a4da-452b-a528-0957881d5d53" targetNamespace="http://schemas.microsoft.com/office/2006/metadata/properties" ma:root="true" ma:fieldsID="d9f59c26f78d359ceab7ed19889b2bdc" ns2:_="" ns3:_="">
    <xsd:import namespace="62b66d35-5dbe-405f-99f0-f23ec5601639"/>
    <xsd:import namespace="6084762a-a4da-452b-a528-0957881d5d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66d35-5dbe-405f-99f0-f23ec5601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f6c6f8-f8c8-48bb-a465-faa54e84b41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4762a-a4da-452b-a528-0957881d5d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0522dc-c3cc-4c44-b550-67536a32fbec}" ma:internalName="TaxCatchAll" ma:showField="CatchAllData" ma:web="6084762a-a4da-452b-a528-0957881d5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84762a-a4da-452b-a528-0957881d5d53" xsi:nil="true"/>
    <lcf76f155ced4ddcb4097134ff3c332f xmlns="62b66d35-5dbe-405f-99f0-f23ec56016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19BB0-D819-466D-9D8E-BA7002B15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66d35-5dbe-405f-99f0-f23ec5601639"/>
    <ds:schemaRef ds:uri="6084762a-a4da-452b-a528-0957881d5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D20DB-5E73-435C-A769-1CE9253890ED}">
  <ds:schemaRefs>
    <ds:schemaRef ds:uri="http://schemas.microsoft.com/sharepoint/v3/contenttype/forms"/>
  </ds:schemaRefs>
</ds:datastoreItem>
</file>

<file path=customXml/itemProps3.xml><?xml version="1.0" encoding="utf-8"?>
<ds:datastoreItem xmlns:ds="http://schemas.openxmlformats.org/officeDocument/2006/customXml" ds:itemID="{D986BEA3-C448-9D41-BE41-43E16722E519}">
  <ds:schemaRefs>
    <ds:schemaRef ds:uri="http://schemas.openxmlformats.org/officeDocument/2006/bibliography"/>
  </ds:schemaRefs>
</ds:datastoreItem>
</file>

<file path=customXml/itemProps4.xml><?xml version="1.0" encoding="utf-8"?>
<ds:datastoreItem xmlns:ds="http://schemas.openxmlformats.org/officeDocument/2006/customXml" ds:itemID="{E6614B2F-C502-467B-BF5A-8E36A72E5C30}">
  <ds:schemaRefs>
    <ds:schemaRef ds:uri="http://schemas.microsoft.com/office/2006/metadata/properties"/>
    <ds:schemaRef ds:uri="http://schemas.microsoft.com/office/infopath/2007/PartnerControls"/>
    <ds:schemaRef ds:uri="6084762a-a4da-452b-a528-0957881d5d53"/>
    <ds:schemaRef ds:uri="62b66d35-5dbe-405f-99f0-f23ec56016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6118</Words>
  <Characters>36711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Figarski Witold  (DIRS)</dc:creator>
  <cp:keywords/>
  <cp:lastModifiedBy>Kondratowicz Aneta  (DIRS)</cp:lastModifiedBy>
  <cp:revision>2</cp:revision>
  <dcterms:created xsi:type="dcterms:W3CDTF">2024-06-11T10:12:00Z</dcterms:created>
  <dcterms:modified xsi:type="dcterms:W3CDTF">2024-06-11T10:12:00Z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0x01010027FA331FB2D9A44DBAAF8037835241A4</vt:lpwstr>
  </property>
</Properties>
</file>