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13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7770"/>
      </w:tblGrid>
      <w:tr w:rsidR="00DF7FF1" w:rsidRPr="00A53414" w:rsidTr="008129BA">
        <w:trPr>
          <w:trHeight w:hRule="exact" w:val="445"/>
        </w:trPr>
        <w:tc>
          <w:tcPr>
            <w:tcW w:w="1181" w:type="pct"/>
            <w:shd w:val="clear" w:color="auto" w:fill="FFFFFF"/>
            <w:vAlign w:val="center"/>
          </w:tcPr>
          <w:p w:rsidR="00DF7FF1" w:rsidRPr="00A53414" w:rsidRDefault="00DF7FF1" w:rsidP="0043597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53414">
              <w:rPr>
                <w:rStyle w:val="Teksttreci295ptBezpogrubienia"/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53414" w:rsidRDefault="00DF7FF1" w:rsidP="0043597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414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09.4270</w:t>
            </w:r>
          </w:p>
        </w:tc>
      </w:tr>
      <w:tr w:rsidR="00DF7FF1" w:rsidRPr="00A67844" w:rsidTr="00A92EC0">
        <w:trPr>
          <w:trHeight w:hRule="exact" w:val="4248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Default="00DF7FF1" w:rsidP="00435976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Decyzja Rady (UE) 2017/1247 z dnia 11 lipca 2017 r. w sprawie zawarcia, </w:t>
            </w:r>
            <w:r w:rsidRPr="00400224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w imieniu Unii Europejskiej, </w:t>
            </w:r>
            <w:r w:rsidRPr="0040022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Układu o stowarzyszeniu między </w:t>
            </w:r>
            <w:r w:rsidRPr="00400224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Unią Europejską i Europejską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Wspólnotą Energii Atomowej oraz ich </w:t>
            </w:r>
            <w:r w:rsidRPr="00400224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państwami członkowskimi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,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z jednej strony, a Ukrainą, z drugiej </w:t>
            </w:r>
            <w:r w:rsidRPr="00400224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strony, z wyjątkiem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postanowień dotyczących traktowania obywateli </w:t>
            </w:r>
            <w:r w:rsidRPr="00400224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państw trzecich legalnie </w:t>
            </w:r>
            <w:r w:rsidRPr="0040022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zatrudnionych jako pracownicy na </w:t>
            </w:r>
            <w:r w:rsidRPr="00400224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terytorium drugiej strony</w:t>
            </w:r>
          </w:p>
          <w:p w:rsidR="00400224" w:rsidRPr="00400224" w:rsidRDefault="00400224" w:rsidP="00400224">
            <w:pPr>
              <w:spacing w:after="0" w:line="240" w:lineRule="auto"/>
              <w:rPr>
                <w:rFonts w:ascii="Arial" w:hAnsi="Arial" w:cs="Arial"/>
                <w:szCs w:val="20"/>
                <w:u w:val="single"/>
              </w:rPr>
            </w:pPr>
          </w:p>
          <w:p w:rsidR="00400224" w:rsidRPr="00E518C7" w:rsidRDefault="00400224" w:rsidP="00400224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400224" w:rsidRPr="00E518C7" w:rsidRDefault="00400224" w:rsidP="004002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00224" w:rsidRPr="00400224" w:rsidRDefault="00400224" w:rsidP="00400224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stosowania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 w:rsidRPr="00400224">
              <w:rPr>
                <w:rStyle w:val="Hipercze"/>
                <w:rFonts w:ascii="Arial" w:hAnsi="Arial" w:cs="Arial"/>
                <w:szCs w:val="20"/>
                <w:u w:val="none"/>
              </w:rPr>
              <w:t xml:space="preserve"> </w:t>
            </w:r>
            <w:r w:rsidRPr="00400224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 w:rsidR="006B2740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.</w:t>
            </w:r>
          </w:p>
          <w:p w:rsidR="00400224" w:rsidRPr="00400224" w:rsidRDefault="00400224" w:rsidP="00435976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</w:p>
          <w:p w:rsidR="00400224" w:rsidRPr="00A67844" w:rsidRDefault="00400224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7FF1" w:rsidRPr="00A67844" w:rsidTr="00070CA6">
        <w:trPr>
          <w:trHeight w:hRule="exact" w:val="579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Od </w:t>
            </w:r>
            <w:r w:rsidRPr="00DC7944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1 stycznia do 31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grudnia</w:t>
            </w:r>
          </w:p>
        </w:tc>
      </w:tr>
      <w:tr w:rsidR="00DF7FF1" w:rsidRPr="00A67844" w:rsidTr="00A92EC0">
        <w:trPr>
          <w:trHeight w:hRule="exact" w:val="991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Od </w:t>
            </w:r>
            <w:r w:rsidRPr="00DC7944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1 stycznia do 31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marca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 xml:space="preserve">Od </w:t>
            </w:r>
            <w:r w:rsidRPr="00DC7944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1 kwietnia do 30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czerwca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 xml:space="preserve">Od </w:t>
            </w:r>
            <w:r w:rsidRPr="00A92EC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1 lipca do 30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września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 xml:space="preserve">Od </w:t>
            </w:r>
            <w:r w:rsidRPr="00A92EC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1 października do 31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grudnia</w:t>
            </w:r>
          </w:p>
        </w:tc>
      </w:tr>
      <w:tr w:rsidR="00DF7FF1" w:rsidRPr="00A67844" w:rsidTr="0069531E">
        <w:trPr>
          <w:trHeight w:hRule="exact" w:val="4104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69531E" w:rsidRDefault="0069531E" w:rsidP="0069531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530B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 o pozwolenie mogą składać przedsiębiorcy, którzy mają siedzibę </w:t>
            </w:r>
            <w:r w:rsidRPr="001530B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i są zarejestrowani do celów podatku VAT w Polsce.</w:t>
            </w:r>
          </w:p>
          <w:p w:rsidR="00070CA6" w:rsidRPr="001E3520" w:rsidRDefault="00070CA6" w:rsidP="00070CA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070CA6" w:rsidRPr="001E3520" w:rsidRDefault="00070CA6" w:rsidP="00070CA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070CA6" w:rsidRDefault="00070CA6" w:rsidP="00070CA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DF7FF1" w:rsidRDefault="0069531E" w:rsidP="006953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>Wnioski o pozwolenie, które są</w:t>
            </w:r>
            <w:r>
              <w:rPr>
                <w:rFonts w:ascii="Arial" w:hAnsi="Arial" w:cs="Arial"/>
                <w:szCs w:val="20"/>
              </w:rPr>
              <w:t xml:space="preserve"> niekompletne lub nie spełniają </w:t>
            </w:r>
            <w:r w:rsidRPr="001E3520">
              <w:rPr>
                <w:rFonts w:ascii="Arial" w:hAnsi="Arial" w:cs="Arial"/>
                <w:szCs w:val="20"/>
              </w:rPr>
              <w:t>kryteriów określonych w rozporządzeniach wykonawczych (UE): 2020/761, 2016/1239 oraz w rozporządzeniu delegowanym (UE) 2016/123), uznaje się za niedopuszczalne.</w:t>
            </w:r>
          </w:p>
          <w:p w:rsidR="0069531E" w:rsidRDefault="0069531E" w:rsidP="006953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69531E" w:rsidRDefault="0069531E" w:rsidP="006953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69531E" w:rsidRDefault="0069531E" w:rsidP="006953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69531E" w:rsidRDefault="0069531E" w:rsidP="006953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69531E" w:rsidRPr="00A67844" w:rsidRDefault="0069531E" w:rsidP="006953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F7FF1" w:rsidRPr="00A67844" w:rsidTr="00A92EC0">
        <w:trPr>
          <w:trHeight w:hRule="exact" w:val="429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Mięso z bydła, świeże, schłodzone lub zamrożone</w:t>
            </w:r>
          </w:p>
        </w:tc>
      </w:tr>
      <w:tr w:rsidR="00DF7FF1" w:rsidRPr="00A67844" w:rsidTr="00A92EC0">
        <w:trPr>
          <w:trHeight w:hRule="exact" w:val="280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Ukraina</w:t>
            </w:r>
          </w:p>
        </w:tc>
      </w:tr>
      <w:tr w:rsidR="00DF7FF1" w:rsidRPr="00A67844" w:rsidTr="00A92EC0">
        <w:trPr>
          <w:trHeight w:hRule="exact" w:val="694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DF7FF1" w:rsidRPr="00A67844" w:rsidTr="00A92EC0">
        <w:trPr>
          <w:trHeight w:hRule="exact" w:val="693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070CA6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color w:val="auto"/>
                <w:sz w:val="20"/>
                <w:szCs w:val="20"/>
              </w:rPr>
              <w:t>Tak - z</w:t>
            </w:r>
            <w:r w:rsidR="00DF7FF1" w:rsidRPr="00070CA6">
              <w:rPr>
                <w:rStyle w:val="Teksttreci295ptBezpogrubienia"/>
                <w:rFonts w:ascii="Arial" w:hAnsi="Arial" w:cs="Arial"/>
                <w:b w:val="0"/>
                <w:color w:val="auto"/>
                <w:sz w:val="20"/>
                <w:szCs w:val="20"/>
              </w:rPr>
              <w:t>godnie z Tytułem V Protokołu 1 do Układu o stowarzyszeniu między Unią Europejską i jej państwami członkowskimi, z jednej strony, a Ukrainą, z drugiej strony</w:t>
            </w:r>
            <w:r>
              <w:rPr>
                <w:rStyle w:val="Teksttreci295ptBezpogrubienia"/>
                <w:rFonts w:ascii="Arial" w:hAnsi="Arial" w:cs="Arial"/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DF7FF1" w:rsidRPr="00A67844" w:rsidTr="00A92EC0">
        <w:trPr>
          <w:trHeight w:hRule="exact" w:val="1268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 kg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12 000 000 kg, w następującym podziale:</w:t>
            </w:r>
          </w:p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25 % przypadające na podokres od 1 stycznia do 31 marca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25 % przypadające na podokres od 1 kwietnia do 30 czerwca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25 % przypadające na podokres od 1 lipca do 30 września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25 % przypadające na podokres od 1 października do 31 grudnia</w:t>
            </w:r>
          </w:p>
        </w:tc>
      </w:tr>
      <w:tr w:rsidR="00DF7FF1" w:rsidRPr="00A67844" w:rsidTr="00A92EC0">
        <w:trPr>
          <w:trHeight w:hRule="exact" w:val="848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Kody CN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0201 10 00; 0201 20 20; 0201 20 30; 0201 20 50; </w:t>
            </w:r>
            <w:r w:rsidRPr="00291428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0201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90; 0201 30 00; 0201 10 00; </w:t>
            </w:r>
            <w:r w:rsidRPr="00291428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0202 </w:t>
            </w:r>
            <w:r w:rsidRPr="0029142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10; </w:t>
            </w:r>
            <w:r w:rsidRPr="00291428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0202 </w:t>
            </w:r>
            <w:r w:rsidRPr="0029142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30; </w:t>
            </w:r>
            <w:r w:rsidRPr="00291428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0202 </w:t>
            </w:r>
            <w:r w:rsidRPr="0029142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50; </w:t>
            </w:r>
            <w:r w:rsidRPr="00291428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0202 </w:t>
            </w:r>
            <w:r w:rsidRPr="0029142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20 90; 0202 30 10; 0202 30 50; 0202 30 90</w:t>
            </w:r>
          </w:p>
        </w:tc>
      </w:tr>
      <w:tr w:rsidR="00DF7FF1" w:rsidRPr="00A67844" w:rsidTr="00A92EC0">
        <w:trPr>
          <w:trHeight w:hRule="exact" w:val="421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Cło w ramach kontyngentu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 EUR</w:t>
            </w:r>
          </w:p>
        </w:tc>
      </w:tr>
      <w:tr w:rsidR="00DF7FF1" w:rsidRPr="00A67844" w:rsidTr="00070CA6">
        <w:trPr>
          <w:trHeight w:hRule="exact" w:val="1713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Dowód handlu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070CA6" w:rsidRPr="00070CA6" w:rsidRDefault="00070CA6" w:rsidP="00070C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0CA6">
              <w:rPr>
                <w:rFonts w:ascii="Arial" w:hAnsi="Arial" w:cs="Arial"/>
              </w:rPr>
              <w:t xml:space="preserve">Tak - potwierdza dopuszczenie do obrotu w Unii co najmniej 25 ton produktów z sektora </w:t>
            </w:r>
            <w:r>
              <w:rPr>
                <w:rFonts w:ascii="Arial" w:hAnsi="Arial" w:cs="Arial"/>
              </w:rPr>
              <w:t>wołowiny.</w:t>
            </w:r>
          </w:p>
          <w:p w:rsidR="00DF7FF1" w:rsidRPr="00A67844" w:rsidRDefault="00070CA6" w:rsidP="00070CA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070CA6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</w:tc>
      </w:tr>
      <w:tr w:rsidR="00DF7FF1" w:rsidRPr="00A67844" w:rsidTr="00A92EC0">
        <w:trPr>
          <w:trHeight w:hRule="exact" w:val="568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Zabezpieczenie na potrzeby pozwolenia na przywóz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 masy netto</w:t>
            </w:r>
          </w:p>
        </w:tc>
      </w:tr>
      <w:tr w:rsidR="00DF7FF1" w:rsidRPr="00A67844" w:rsidTr="0069531E">
        <w:trPr>
          <w:trHeight w:hRule="exact" w:val="1146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Szczegółowe adnotacje dokonywane we wniosku o pozwolenie i w pozwoleniu -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Default="00070CA6" w:rsidP="004359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Pole 8: kraj pochodzenia - zaznacza się pole „tak”.</w:t>
            </w:r>
          </w:p>
          <w:p w:rsidR="0069531E" w:rsidRDefault="0069531E" w:rsidP="0069531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Pole 20:</w:t>
            </w:r>
            <w:r w:rsidRPr="00CF58F1">
              <w:rPr>
                <w:rFonts w:ascii="Arial" w:hAnsi="Arial" w:cs="Arial"/>
                <w:szCs w:val="20"/>
              </w:rPr>
              <w:t xml:space="preserve"> numer porz</w:t>
            </w:r>
            <w:r>
              <w:rPr>
                <w:rFonts w:ascii="Arial" w:hAnsi="Arial" w:cs="Arial"/>
                <w:szCs w:val="20"/>
              </w:rPr>
              <w:t xml:space="preserve">ądkowy przywozowego kontyngentu </w:t>
            </w:r>
            <w:r w:rsidRPr="00CF58F1">
              <w:rPr>
                <w:rFonts w:ascii="Arial" w:hAnsi="Arial" w:cs="Arial"/>
                <w:szCs w:val="20"/>
              </w:rPr>
              <w:t>taryfowego</w:t>
            </w:r>
          </w:p>
          <w:p w:rsidR="0069531E" w:rsidRDefault="0069531E" w:rsidP="006953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F58F1">
              <w:rPr>
                <w:rFonts w:ascii="Arial" w:hAnsi="Arial" w:cs="Arial"/>
                <w:szCs w:val="20"/>
              </w:rPr>
              <w:t>stawkę celną ad valorem i specyficzną stawkę celną („stawkę celną w ramach kontyngentu”) mające zastosowanie do danego produktu;</w:t>
            </w:r>
          </w:p>
          <w:p w:rsidR="0069531E" w:rsidRPr="00A67844" w:rsidRDefault="0069531E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DF7FF1" w:rsidRPr="00A67844" w:rsidTr="001E0E2A">
        <w:trPr>
          <w:trHeight w:hRule="exact" w:val="3582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3819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72"/>
            </w:tblGrid>
            <w:tr w:rsidR="003E6F6F" w:rsidRPr="00C10832" w:rsidTr="004359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6F6F" w:rsidRPr="00C10832" w:rsidRDefault="003E6F6F" w:rsidP="00435976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10832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3E6F6F" w:rsidRPr="00C10832" w:rsidRDefault="003E6F6F" w:rsidP="00435976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10832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3E6F6F" w:rsidRPr="00C10832" w:rsidRDefault="003E6F6F" w:rsidP="003E6F6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72"/>
            </w:tblGrid>
            <w:tr w:rsidR="003E6F6F" w:rsidRPr="00C10832" w:rsidTr="004359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6F6F" w:rsidRPr="00C10832" w:rsidRDefault="003E6F6F" w:rsidP="00435976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10832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3E6F6F" w:rsidRPr="00C10832" w:rsidRDefault="003E6F6F" w:rsidP="00435976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10832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3E6F6F" w:rsidRPr="00C10832" w:rsidRDefault="003E6F6F" w:rsidP="003E6F6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83"/>
            </w:tblGrid>
            <w:tr w:rsidR="003E6F6F" w:rsidRPr="00C10832" w:rsidTr="004359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6F6F" w:rsidRPr="00C10832" w:rsidRDefault="003E6F6F" w:rsidP="00435976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10832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3E6F6F" w:rsidRPr="00C10832" w:rsidRDefault="003E6F6F" w:rsidP="00435976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10832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3E6F6F" w:rsidRPr="00C10832" w:rsidRDefault="003E6F6F" w:rsidP="003E6F6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10832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DF7FF1" w:rsidRPr="00A67844" w:rsidTr="003E6F6F">
        <w:trPr>
          <w:trHeight w:hRule="exact" w:val="575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F7FF1" w:rsidRPr="00A67844" w:rsidTr="00531455">
        <w:trPr>
          <w:trHeight w:hRule="exact" w:val="836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531455" w:rsidRPr="00FE1BE3" w:rsidRDefault="00DF7FF1" w:rsidP="00531455">
            <w:pPr>
              <w:spacing w:before="100" w:beforeAutospacing="1" w:after="100" w:afterAutospacing="1" w:line="240" w:lineRule="auto"/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  <w:r w:rsidRPr="0053145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 w:rsidR="00531455" w:rsidRPr="0053145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3145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31455" w:rsidRPr="00531455">
              <w:rPr>
                <w:rFonts w:ascii="Arial" w:hAnsi="Arial" w:cs="Arial"/>
              </w:rPr>
              <w:t>Ilość referencyjna jest to ilość produktów dopuszczonych do obrotu w Unii w 12-miesięcznym okresie kończącym się na 2 miesiące przed możliwością złożenia pierwszego wniosku na dany okres obowiązywania kontyngentu taryfowego</w:t>
            </w:r>
            <w:r w:rsidR="00531455" w:rsidRPr="00FE1BE3">
              <w:t>.</w:t>
            </w:r>
          </w:p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DF7FF1" w:rsidRPr="00A67844" w:rsidTr="003E6F6F">
        <w:trPr>
          <w:trHeight w:hRule="exact" w:val="628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DF7FF1" w:rsidRPr="00A67844" w:rsidTr="00A92EC0">
        <w:trPr>
          <w:trHeight w:hRule="exact" w:val="705"/>
        </w:trPr>
        <w:tc>
          <w:tcPr>
            <w:tcW w:w="1181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3819" w:type="pct"/>
            <w:shd w:val="clear" w:color="auto" w:fill="FFFFFF"/>
            <w:vAlign w:val="center"/>
          </w:tcPr>
          <w:p w:rsidR="00DF7FF1" w:rsidRPr="00A67844" w:rsidRDefault="00DF7FF1" w:rsidP="0043597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„Mięso mrożone” oznacza mięso, które jest zamrożone i w chwili wprowadzenia na obszar celny Unii jego temperatura wewnętrzna wynosi nie więcej niż -12 °C.</w:t>
            </w:r>
          </w:p>
        </w:tc>
      </w:tr>
    </w:tbl>
    <w:p w:rsidR="00DF7FF1" w:rsidRPr="00A67844" w:rsidRDefault="00DF7FF1" w:rsidP="00DF7FF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F7FF1" w:rsidRDefault="00DF7FF1" w:rsidP="00DF7FF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F7FF1" w:rsidRDefault="00DF7FF1" w:rsidP="00DF7FF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F7FF1" w:rsidRPr="00A67844" w:rsidRDefault="00DF7FF1" w:rsidP="00DF7FF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F7FF1" w:rsidRPr="00A67844" w:rsidRDefault="00DF7FF1" w:rsidP="00DF7FF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F7FF1" w:rsidRPr="00A67844" w:rsidRDefault="00DF7FF1" w:rsidP="00DF7FF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90219" w:rsidRDefault="00290219"/>
    <w:sectPr w:rsidR="002902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14" w:rsidRDefault="00053314" w:rsidP="00BE3EDC">
      <w:pPr>
        <w:spacing w:after="0" w:line="240" w:lineRule="auto"/>
      </w:pPr>
      <w:r>
        <w:separator/>
      </w:r>
    </w:p>
  </w:endnote>
  <w:endnote w:type="continuationSeparator" w:id="0">
    <w:p w:rsidR="00053314" w:rsidRDefault="00053314" w:rsidP="00BE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14" w:rsidRDefault="00053314" w:rsidP="00BE3EDC">
      <w:pPr>
        <w:spacing w:after="0" w:line="240" w:lineRule="auto"/>
      </w:pPr>
      <w:r>
        <w:separator/>
      </w:r>
    </w:p>
  </w:footnote>
  <w:footnote w:type="continuationSeparator" w:id="0">
    <w:p w:rsidR="00053314" w:rsidRDefault="00053314" w:rsidP="00BE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DC" w:rsidRDefault="00BE3EDC" w:rsidP="00BE3EDC">
    <w:pPr>
      <w:pStyle w:val="Nagwek"/>
      <w:jc w:val="center"/>
      <w:rPr>
        <w:rFonts w:ascii="Arial" w:hAnsi="Arial" w:cs="Arial"/>
      </w:rPr>
    </w:pPr>
    <w:r w:rsidRPr="00CC6835">
      <w:rPr>
        <w:rFonts w:ascii="Arial" w:hAnsi="Arial" w:cs="Arial"/>
      </w:rPr>
      <w:t>Kontyngenty taryfowe w sektorze wołowiny</w:t>
    </w:r>
  </w:p>
  <w:p w:rsidR="00BE3EDC" w:rsidRDefault="00BE3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F1"/>
    <w:rsid w:val="00053314"/>
    <w:rsid w:val="000554AF"/>
    <w:rsid w:val="00070CA6"/>
    <w:rsid w:val="001E0E2A"/>
    <w:rsid w:val="00290219"/>
    <w:rsid w:val="00291428"/>
    <w:rsid w:val="003E6F6F"/>
    <w:rsid w:val="00400224"/>
    <w:rsid w:val="00531455"/>
    <w:rsid w:val="00575055"/>
    <w:rsid w:val="006542AC"/>
    <w:rsid w:val="0069531E"/>
    <w:rsid w:val="006B2740"/>
    <w:rsid w:val="00810406"/>
    <w:rsid w:val="008129BA"/>
    <w:rsid w:val="00A92EC0"/>
    <w:rsid w:val="00AC7A1F"/>
    <w:rsid w:val="00BE3EDC"/>
    <w:rsid w:val="00C745D4"/>
    <w:rsid w:val="00DC7944"/>
    <w:rsid w:val="00DF7FF1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432D-1304-4278-BA82-3E4D538A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FF1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DF7FF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DF7FF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4002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EDC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BE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DC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2023-03-14T12:13:00Z</dcterms:created>
  <dcterms:modified xsi:type="dcterms:W3CDTF">2023-03-14T12:13:00Z</dcterms:modified>
</cp:coreProperties>
</file>