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36C7" w14:textId="7EBD6384" w:rsidR="002C4FB9" w:rsidRPr="002C4FB9" w:rsidRDefault="002B15A8" w:rsidP="002C4FB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>
        <w:rPr>
          <w:rFonts w:eastAsia="Times New Roman" w:cstheme="minorHAnsi"/>
          <w:noProof/>
          <w:color w:val="1B1B1B"/>
          <w:lang w:eastAsia="pl-PL"/>
        </w:rPr>
        <w:drawing>
          <wp:inline distT="0" distB="0" distL="0" distR="0" wp14:anchorId="31910759" wp14:editId="429FCD78">
            <wp:extent cx="5752465" cy="804545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608EE" w14:textId="77777777" w:rsidR="006D513F" w:rsidRPr="006D513F" w:rsidRDefault="006D513F" w:rsidP="006D513F">
      <w:pPr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</w:pPr>
    </w:p>
    <w:p w14:paraId="44447F18" w14:textId="47A316FF" w:rsidR="006D513F" w:rsidRPr="006D513F" w:rsidRDefault="006D513F" w:rsidP="006D513F">
      <w:pPr>
        <w:rPr>
          <w:rFonts w:cstheme="minorHAnsi"/>
          <w:b/>
          <w:bCs/>
          <w:sz w:val="28"/>
          <w:szCs w:val="28"/>
        </w:rPr>
      </w:pPr>
      <w:r w:rsidRPr="006D513F"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  <w:t>Ogólne informacje o Projekcie</w:t>
      </w:r>
    </w:p>
    <w:p w14:paraId="4718749F" w14:textId="09999F11" w:rsidR="002C4FB9" w:rsidRPr="00EA6A40" w:rsidRDefault="002C4FB9" w:rsidP="002C4FB9">
      <w:pPr>
        <w:rPr>
          <w:rFonts w:cstheme="minorHAnsi"/>
        </w:rPr>
      </w:pPr>
      <w:r w:rsidRPr="00EA6A40">
        <w:rPr>
          <w:rFonts w:cstheme="minorHAnsi"/>
        </w:rPr>
        <w:t xml:space="preserve">Projekt „e-Zdrowie w SP ZOZ MSWiA: rozwój nowoczesnych e-usług publicznych dla pacjentów” jest realizowany w ramach II osi priorytetowej E-administracja i otwarty rząd Programu Operacyjnego Polska Cyfrowa na lata 2014-2020, w ramach Działania 2.1 Wysoka dostępność i jakość e-usług publicznych. </w:t>
      </w:r>
    </w:p>
    <w:p w14:paraId="103EBFC5" w14:textId="385158D2" w:rsidR="002C4FB9" w:rsidRPr="00EA6A40" w:rsidRDefault="002C4FB9" w:rsidP="002C4FB9">
      <w:pPr>
        <w:rPr>
          <w:rFonts w:cstheme="minorHAnsi"/>
        </w:rPr>
      </w:pPr>
      <w:r w:rsidRPr="00EA6A40">
        <w:rPr>
          <w:rFonts w:cstheme="minorHAnsi"/>
        </w:rPr>
        <w:t xml:space="preserve">Założeniem strategicznym Projektu </w:t>
      </w:r>
      <w:r w:rsidRPr="00316069">
        <w:rPr>
          <w:rFonts w:cstheme="minorHAnsi"/>
          <w:i/>
          <w:iCs/>
        </w:rPr>
        <w:t>e-Zdrowie w SP ZOZ MSWiA: rozwój nowoczesnych e-usług publicznych dla pacjentów</w:t>
      </w:r>
      <w:r w:rsidRPr="00EA6A40">
        <w:rPr>
          <w:rFonts w:cstheme="minorHAnsi"/>
        </w:rPr>
        <w:t xml:space="preserve"> jest poprawa dostępności, jakości i efektywności świadczeń opieki zdrowotnej realizowanych przez 16 podmiotów leczniczych (1 szpital kliniczny, 12 wielospecjalistycznych i 3 specjalistyczne) poprzez udostępnienie wysokiej jakości e-usług publicznych w zakresie wymiany Elektronicznej Dokumentacji Medycznej (EDM) i obsługi procesu zdalnej rejestracji on-line pacjentów.</w:t>
      </w:r>
    </w:p>
    <w:p w14:paraId="2423135A" w14:textId="56CAD466" w:rsidR="002C4FB9" w:rsidRPr="00EA6A40" w:rsidRDefault="002C4FB9" w:rsidP="002C4FB9">
      <w:pPr>
        <w:rPr>
          <w:rFonts w:cstheme="minorHAnsi"/>
        </w:rPr>
      </w:pPr>
      <w:r w:rsidRPr="00EA6A40">
        <w:rPr>
          <w:rFonts w:cstheme="minorHAnsi"/>
        </w:rPr>
        <w:t>Poprawa kluczowych parametrów usług publicznych zostanie uzyskana poprzez wdrożenie rozwiązań IT umożliwiających:</w:t>
      </w:r>
    </w:p>
    <w:p w14:paraId="70AA299A" w14:textId="77777777" w:rsidR="002C4FB9" w:rsidRPr="00EA6A40" w:rsidRDefault="002C4FB9" w:rsidP="002C4FB9">
      <w:pPr>
        <w:pStyle w:val="Akapitzlist"/>
        <w:numPr>
          <w:ilvl w:val="0"/>
          <w:numId w:val="3"/>
        </w:numPr>
        <w:rPr>
          <w:rFonts w:cstheme="minorHAnsi"/>
        </w:rPr>
      </w:pPr>
      <w:r w:rsidRPr="00EA6A40">
        <w:rPr>
          <w:rFonts w:cstheme="minorHAnsi"/>
        </w:rPr>
        <w:t>zdalną elektroniczną obsługę istotnej części spraw pacjentów związanych z realizacją świadczeń opieki zdrowotnej w fazie wejścia (rejestracja) do szpitala/przychodni jak również w fazie wyjścia (uzyskanie dokumentacji),</w:t>
      </w:r>
    </w:p>
    <w:p w14:paraId="32202062" w14:textId="0A234D94" w:rsidR="00E12EC2" w:rsidRPr="00442B3F" w:rsidRDefault="002C4FB9" w:rsidP="002C4FB9">
      <w:pPr>
        <w:pStyle w:val="Akapitzlist"/>
        <w:numPr>
          <w:ilvl w:val="0"/>
          <w:numId w:val="3"/>
        </w:numPr>
        <w:rPr>
          <w:rFonts w:cstheme="minorHAnsi"/>
        </w:rPr>
      </w:pPr>
      <w:r w:rsidRPr="00EA6A40">
        <w:rPr>
          <w:rFonts w:cstheme="minorHAnsi"/>
        </w:rPr>
        <w:t>bezpieczną i efektywną wymianę danych w formie elektronicznej, zwłaszcza danych medycznych, która przyczyni się do wzrostu bezpieczeństwa pacjentów poprzez możliwość wykorzystania  historii choroby w procesie leczenia.</w:t>
      </w:r>
    </w:p>
    <w:p w14:paraId="0492E28C" w14:textId="32A65538" w:rsidR="002C4FB9" w:rsidRPr="00EA6A40" w:rsidRDefault="002C4FB9" w:rsidP="002C4FB9">
      <w:pPr>
        <w:rPr>
          <w:rFonts w:cstheme="minorHAnsi"/>
        </w:rPr>
      </w:pPr>
      <w:r w:rsidRPr="00EA6A40">
        <w:rPr>
          <w:rFonts w:cstheme="minorHAnsi"/>
        </w:rPr>
        <w:t>Oczekiwanym efektem ma być większa wygoda i skrócenie czasu realizacji w/w typów spraw pacjentów oraz zmniejszenie ich osobistych obciążeń organizacyjnych lub administracyjnych.</w:t>
      </w:r>
    </w:p>
    <w:p w14:paraId="1B9C8553" w14:textId="49DECD50" w:rsidR="002C4FB9" w:rsidRPr="006D513F" w:rsidRDefault="002C4FB9" w:rsidP="002C4FB9">
      <w:pPr>
        <w:rPr>
          <w:rFonts w:cstheme="minorHAnsi"/>
          <w:b/>
          <w:bCs/>
        </w:rPr>
      </w:pPr>
      <w:bookmarkStart w:id="0" w:name="_Hlk110410407"/>
      <w:r w:rsidRPr="006D513F">
        <w:rPr>
          <w:rFonts w:cstheme="minorHAnsi"/>
          <w:b/>
          <w:bCs/>
        </w:rPr>
        <w:t>Ustalono następujące trzy cele główne Projektu:</w:t>
      </w:r>
    </w:p>
    <w:bookmarkEnd w:id="0"/>
    <w:p w14:paraId="3543738C" w14:textId="77777777" w:rsidR="00EE4911" w:rsidRDefault="002C4FB9" w:rsidP="002C4FB9">
      <w:pPr>
        <w:rPr>
          <w:rFonts w:cstheme="minorHAnsi"/>
        </w:rPr>
      </w:pPr>
      <w:r w:rsidRPr="00EA6A40">
        <w:rPr>
          <w:rFonts w:cstheme="minorHAnsi"/>
        </w:rPr>
        <w:t>1. Zwiększenie dostępności EDM pacjenta w procesie jego leczenia poprzez wdrożenie e-usługi publicznej e-EDM;</w:t>
      </w:r>
    </w:p>
    <w:p w14:paraId="2562F81A" w14:textId="358B1F7B" w:rsidR="002C4FB9" w:rsidRPr="00EA6A40" w:rsidRDefault="002C4FB9" w:rsidP="002C4FB9">
      <w:pPr>
        <w:rPr>
          <w:rFonts w:cstheme="minorHAnsi"/>
        </w:rPr>
      </w:pPr>
      <w:r w:rsidRPr="00EA6A40">
        <w:rPr>
          <w:rFonts w:cstheme="minorHAnsi"/>
        </w:rPr>
        <w:t>2. Poprawa dostępności do świadczeń opieki zdrowotnej poradni AOS i POZ Partnerów poprzez wdrożenie e-usługi publicznej e-Rejestracja;</w:t>
      </w:r>
    </w:p>
    <w:p w14:paraId="5E0697B4" w14:textId="3506020E" w:rsidR="002C4FB9" w:rsidRPr="00EA6A40" w:rsidRDefault="002C4FB9" w:rsidP="002C4FB9">
      <w:pPr>
        <w:rPr>
          <w:rFonts w:cstheme="minorHAnsi"/>
        </w:rPr>
      </w:pPr>
      <w:r w:rsidRPr="00EA6A40">
        <w:rPr>
          <w:rFonts w:cstheme="minorHAnsi"/>
        </w:rPr>
        <w:t>3. Podniesienie poziomu rozeznania pacjentów w zakresie dostępności i rodzaju świadczeń zdrowotnych oferowanych przez Partnerów oraz ich lepsze dopasowanie do potrzeb zdrowotnych przez zarządzających i nadzorujących podmioty lecznicze poprzez wdrożenie e-usługi e-Analizy.</w:t>
      </w:r>
    </w:p>
    <w:p w14:paraId="3B953E76" w14:textId="4F484F92" w:rsidR="002C4FB9" w:rsidRPr="00EA6A40" w:rsidRDefault="002C4FB9" w:rsidP="002C4FB9">
      <w:pPr>
        <w:rPr>
          <w:rFonts w:cstheme="minorHAnsi"/>
        </w:rPr>
      </w:pPr>
      <w:r w:rsidRPr="00EA6A40">
        <w:rPr>
          <w:rFonts w:cstheme="minorHAnsi"/>
        </w:rPr>
        <w:t>Realizacja Projektu i dobór usług publicznych udostępnianych w jego ramach wynika bezpośrednio z analizy potrzeb i problemów pacjentów, którzy jako najczęściej występujące wskazują</w:t>
      </w:r>
    </w:p>
    <w:p w14:paraId="6789F9A6" w14:textId="2921B9D1" w:rsidR="002C4FB9" w:rsidRPr="00EA6A40" w:rsidRDefault="002C4FB9" w:rsidP="00465760">
      <w:pPr>
        <w:pStyle w:val="Akapitzlist"/>
        <w:numPr>
          <w:ilvl w:val="0"/>
          <w:numId w:val="4"/>
        </w:numPr>
        <w:rPr>
          <w:rFonts w:cstheme="minorHAnsi"/>
        </w:rPr>
      </w:pPr>
      <w:r w:rsidRPr="00EA6A40">
        <w:rPr>
          <w:rFonts w:cstheme="minorHAnsi"/>
        </w:rPr>
        <w:t>utrudniony kontakt telefoniczny szczególnie w godzinach porannych rejestracji,</w:t>
      </w:r>
    </w:p>
    <w:p w14:paraId="04D67EB7" w14:textId="7E0F2CD8" w:rsidR="002C4FB9" w:rsidRPr="00EA6A40" w:rsidRDefault="002C4FB9" w:rsidP="00465760">
      <w:pPr>
        <w:pStyle w:val="Akapitzlist"/>
        <w:numPr>
          <w:ilvl w:val="0"/>
          <w:numId w:val="4"/>
        </w:numPr>
        <w:rPr>
          <w:rFonts w:cstheme="minorHAnsi"/>
        </w:rPr>
      </w:pPr>
      <w:r w:rsidRPr="00EA6A40">
        <w:rPr>
          <w:rFonts w:cstheme="minorHAnsi"/>
        </w:rPr>
        <w:t>długi czas osobistego oczekiwania w rejestracji,</w:t>
      </w:r>
      <w:r w:rsidR="006D36E1" w:rsidRPr="00EA6A40">
        <w:rPr>
          <w:rFonts w:cstheme="minorHAnsi"/>
        </w:rPr>
        <w:t xml:space="preserve"> </w:t>
      </w:r>
      <w:r w:rsidRPr="00EA6A40">
        <w:rPr>
          <w:rFonts w:cstheme="minorHAnsi"/>
        </w:rPr>
        <w:t>brak nowoczesnych form świadczenia usług,</w:t>
      </w:r>
    </w:p>
    <w:p w14:paraId="33C7E429" w14:textId="77777777" w:rsidR="002C4FB9" w:rsidRPr="00EA6A40" w:rsidRDefault="002C4FB9" w:rsidP="00465760">
      <w:pPr>
        <w:pStyle w:val="Akapitzlist"/>
        <w:numPr>
          <w:ilvl w:val="0"/>
          <w:numId w:val="4"/>
        </w:numPr>
        <w:rPr>
          <w:rFonts w:cstheme="minorHAnsi"/>
        </w:rPr>
      </w:pPr>
      <w:r w:rsidRPr="00EA6A40">
        <w:rPr>
          <w:rFonts w:cstheme="minorHAnsi"/>
        </w:rPr>
        <w:t>utrudniony odbiór wyników badań,</w:t>
      </w:r>
    </w:p>
    <w:p w14:paraId="1688BCC8" w14:textId="77777777" w:rsidR="002C4FB9" w:rsidRPr="00EA6A40" w:rsidRDefault="002C4FB9" w:rsidP="00465760">
      <w:pPr>
        <w:pStyle w:val="Akapitzlist"/>
        <w:numPr>
          <w:ilvl w:val="0"/>
          <w:numId w:val="4"/>
        </w:numPr>
        <w:rPr>
          <w:rFonts w:cstheme="minorHAnsi"/>
        </w:rPr>
      </w:pPr>
      <w:r w:rsidRPr="00EA6A40">
        <w:rPr>
          <w:rFonts w:cstheme="minorHAnsi"/>
        </w:rPr>
        <w:t>utrudnione uzyskanie dostępu do historii przebiegu choroby.</w:t>
      </w:r>
    </w:p>
    <w:p w14:paraId="3A839C85" w14:textId="6BC36944" w:rsidR="002C4FB9" w:rsidRPr="00EA6A40" w:rsidRDefault="002C4FB9" w:rsidP="002C4FB9">
      <w:pPr>
        <w:rPr>
          <w:rFonts w:cstheme="minorHAnsi"/>
        </w:rPr>
      </w:pPr>
      <w:r w:rsidRPr="00EA6A40">
        <w:rPr>
          <w:rFonts w:cstheme="minorHAnsi"/>
        </w:rPr>
        <w:lastRenderedPageBreak/>
        <w:t xml:space="preserve">W związku z powyższym w Projekcie zostaną wdrożone 3 e-usługi, w tym 2 publiczne na najwyższym </w:t>
      </w:r>
      <w:r w:rsidR="00465760" w:rsidRPr="00EA6A40">
        <w:rPr>
          <w:rFonts w:cstheme="minorHAnsi"/>
        </w:rPr>
        <w:t>5</w:t>
      </w:r>
      <w:r w:rsidRPr="00EA6A40">
        <w:rPr>
          <w:rFonts w:cstheme="minorHAnsi"/>
        </w:rPr>
        <w:t xml:space="preserve"> poziomie dojrzałości (personalizacja):</w:t>
      </w:r>
    </w:p>
    <w:p w14:paraId="523B7F11" w14:textId="0B9A6680" w:rsidR="002C4FB9" w:rsidRPr="00EA6A40" w:rsidRDefault="002C4FB9" w:rsidP="002C4FB9">
      <w:pPr>
        <w:rPr>
          <w:rFonts w:cstheme="minorHAnsi"/>
        </w:rPr>
      </w:pPr>
      <w:r w:rsidRPr="00EA6A40">
        <w:rPr>
          <w:rFonts w:cstheme="minorHAnsi"/>
        </w:rPr>
        <w:t>e-EDM (A2C/A2B): e-usługa publiczna umożliwi pacjentowi dostęp poprzez Internet do jego EDM zgromadzonej w Dziedzinowych Systemach Informatycznych Partnerów. Pacjent, z wykorzystaniem Systemu P1, udostępni tę dokumentację podmiotom leczniczym. Dzięki dostosowaniu tych systemów do wymagań interoperacyjności EDM będzie dostępna w procesie leczenia</w:t>
      </w:r>
      <w:r w:rsidR="00F4588A" w:rsidRPr="00EA6A40">
        <w:rPr>
          <w:rFonts w:cstheme="minorHAnsi"/>
        </w:rPr>
        <w:t>,</w:t>
      </w:r>
      <w:r w:rsidRPr="00EA6A40">
        <w:rPr>
          <w:rFonts w:cstheme="minorHAnsi"/>
        </w:rPr>
        <w:t xml:space="preserve"> co zwiększy efektywność i poziom bezpieczeństwa pacjentów poprzez dostęp personelu medycznego do wiarygodnych danych dotyczących historii choroby pacjenta. Usługa umożliwi wymianę EDM w ramach SIM.</w:t>
      </w:r>
    </w:p>
    <w:p w14:paraId="4F868977" w14:textId="42800E97" w:rsidR="002C4FB9" w:rsidRPr="00EA6A40" w:rsidRDefault="002C4FB9" w:rsidP="002C4FB9">
      <w:pPr>
        <w:rPr>
          <w:rFonts w:cstheme="minorHAnsi"/>
        </w:rPr>
      </w:pPr>
      <w:r w:rsidRPr="00EA6A40">
        <w:rPr>
          <w:rFonts w:cstheme="minorHAnsi"/>
        </w:rPr>
        <w:t xml:space="preserve">e-Rejestracja (A2C): e-usługa umożliwi pacjentowi zdalną rezerwację (zmianę, odwołanie) terminu realizacji wybranego świadczenia opieki zdrowotnej oferowanego przez podmioty lecznicze uczestniczące w Projekcie. Pacjent będzie mógł dokonać samodzielnego wyboru podmiotu leczniczego, w którym chciałby skorzystać ze świadczenia opieki zdrowotnej (o ile takie świadczenie jest przez ten podmiot realizowane). e-Rejestracja będzie udostępniana przez przeglądarkę internetową </w:t>
      </w:r>
      <w:r w:rsidR="00407314" w:rsidRPr="00EA6A40">
        <w:rPr>
          <w:rFonts w:cstheme="minorHAnsi"/>
        </w:rPr>
        <w:t xml:space="preserve">oraz będzie  </w:t>
      </w:r>
      <w:r w:rsidRPr="00EA6A40">
        <w:rPr>
          <w:rFonts w:cstheme="minorHAnsi"/>
        </w:rPr>
        <w:t>wymaga</w:t>
      </w:r>
      <w:r w:rsidR="009159FE" w:rsidRPr="00EA6A40">
        <w:rPr>
          <w:rFonts w:cstheme="minorHAnsi"/>
        </w:rPr>
        <w:t>ła</w:t>
      </w:r>
      <w:r w:rsidRPr="00EA6A40">
        <w:rPr>
          <w:rFonts w:cstheme="minorHAnsi"/>
        </w:rPr>
        <w:t xml:space="preserve"> posiadani</w:t>
      </w:r>
      <w:r w:rsidR="009159FE" w:rsidRPr="00EA6A40">
        <w:rPr>
          <w:rFonts w:cstheme="minorHAnsi"/>
        </w:rPr>
        <w:t>e</w:t>
      </w:r>
      <w:r w:rsidRPr="00EA6A40">
        <w:rPr>
          <w:rFonts w:cstheme="minorHAnsi"/>
        </w:rPr>
        <w:t xml:space="preserve"> konta użytkownika. Pacjent dokona rejestracji niezależnie od miejsca pobytu dzięki udostępnieniu tej usługi także na urządzenia mobilne. Dzięki temu wzrośnie dostępność do świadczeń opieki zdrowotnej realizowanych przez Partnerów</w:t>
      </w:r>
      <w:r w:rsidR="00461184" w:rsidRPr="00EA6A40">
        <w:rPr>
          <w:rFonts w:cstheme="minorHAnsi"/>
        </w:rPr>
        <w:t>,</w:t>
      </w:r>
      <w:r w:rsidRPr="00EA6A40">
        <w:rPr>
          <w:rFonts w:cstheme="minorHAnsi"/>
        </w:rPr>
        <w:t xml:space="preserve"> co pozwoli na optymalizację wykorzystania ich zasobów.</w:t>
      </w:r>
    </w:p>
    <w:p w14:paraId="77546F59" w14:textId="2E5F0D58" w:rsidR="002C4FB9" w:rsidRPr="00EA6A40" w:rsidRDefault="002C4FB9" w:rsidP="002C4FB9">
      <w:pPr>
        <w:rPr>
          <w:rFonts w:cstheme="minorHAnsi"/>
        </w:rPr>
      </w:pPr>
      <w:r w:rsidRPr="00EA6A40">
        <w:rPr>
          <w:rFonts w:cstheme="minorHAnsi"/>
        </w:rPr>
        <w:t>e-Analizy (A2A): e-</w:t>
      </w:r>
      <w:r w:rsidR="008C2D98" w:rsidRPr="00EA6A40">
        <w:rPr>
          <w:rFonts w:cstheme="minorHAnsi"/>
        </w:rPr>
        <w:t>u</w:t>
      </w:r>
      <w:r w:rsidRPr="00EA6A40">
        <w:rPr>
          <w:rFonts w:cstheme="minorHAnsi"/>
        </w:rPr>
        <w:t>sługa wewnątrzadministracyjna e-Analizy, umożliwi Departamentowi Zdrowia MSWiA, jako nadzorującego podmioty lecznicze (Partnerów Projektu) dostęp do wiarygodnych i porównywalnych danych o procesach w nich  zachodzących</w:t>
      </w:r>
      <w:r w:rsidR="002316E6" w:rsidRPr="00EA6A40">
        <w:rPr>
          <w:rFonts w:cstheme="minorHAnsi"/>
        </w:rPr>
        <w:t>,</w:t>
      </w:r>
      <w:r w:rsidRPr="00EA6A40">
        <w:rPr>
          <w:rFonts w:cstheme="minorHAnsi"/>
        </w:rPr>
        <w:t xml:space="preserve"> co przyczyni się do podniesienia efektywności tych procesów, w tym również efektywności kosztowej. Zgromadzone dane o procesach leczenia będą udostępnione w formie raportów i analiz zarządzającym podmiotami leczniczymi, jak i nadzorującym je z poziomu MSWiA.</w:t>
      </w:r>
    </w:p>
    <w:p w14:paraId="7B8A5A06" w14:textId="49C85A04" w:rsidR="00E12EC2" w:rsidRDefault="002C4FB9" w:rsidP="00E12EC2">
      <w:pPr>
        <w:rPr>
          <w:rFonts w:cstheme="minorHAnsi"/>
        </w:rPr>
      </w:pPr>
      <w:r w:rsidRPr="00E12EC2">
        <w:rPr>
          <w:rFonts w:cstheme="minorHAnsi"/>
        </w:rPr>
        <w:t xml:space="preserve">W ramach prac przygotowawczych przeprowadzono analizę strategiczną i wielokryterialną wariantów, która umożliwiła porównanie i ocenę możliwych do zastosowania rozwiązań inwestycyjnych. W ich wyniku dokonano wyboru wariantu najbardziej optymalnego tj. wariantu rozproszonego z warstwą wspólną, którą stanowi Platforma e-Usług i Systemem Raportowo-Analityczny. Założeniem tego wariantu jest modernizacja (oprogramowanie i sprzęt) Dziedzinowych Systemów Informatycznych, w przypadku 16 Szpitali MSWiA, która </w:t>
      </w:r>
      <w:r w:rsidR="008C2D98" w:rsidRPr="00E12EC2">
        <w:rPr>
          <w:rFonts w:cstheme="minorHAnsi"/>
        </w:rPr>
        <w:t>umożliwi</w:t>
      </w:r>
      <w:r w:rsidR="00E12EC2">
        <w:rPr>
          <w:rFonts w:cstheme="minorHAnsi"/>
        </w:rPr>
        <w:t>:</w:t>
      </w:r>
      <w:r w:rsidRPr="00E12EC2">
        <w:rPr>
          <w:rFonts w:cstheme="minorHAnsi"/>
        </w:rPr>
        <w:t xml:space="preserve"> </w:t>
      </w:r>
    </w:p>
    <w:p w14:paraId="0EEE98E9" w14:textId="15871DAE" w:rsidR="002C4FB9" w:rsidRPr="00E12EC2" w:rsidRDefault="002C4FB9" w:rsidP="00E12EC2">
      <w:pPr>
        <w:pStyle w:val="Akapitzlist"/>
        <w:numPr>
          <w:ilvl w:val="0"/>
          <w:numId w:val="47"/>
        </w:numPr>
        <w:rPr>
          <w:rFonts w:cstheme="minorHAnsi"/>
        </w:rPr>
      </w:pPr>
      <w:r w:rsidRPr="00E12EC2">
        <w:rPr>
          <w:rFonts w:cstheme="minorHAnsi"/>
        </w:rPr>
        <w:t>realizację e-Usług</w:t>
      </w:r>
      <w:r w:rsidR="008C2D98" w:rsidRPr="00E12EC2">
        <w:rPr>
          <w:rFonts w:cstheme="minorHAnsi"/>
        </w:rPr>
        <w:t>:</w:t>
      </w:r>
      <w:r w:rsidR="00297042" w:rsidRPr="00E12EC2">
        <w:rPr>
          <w:rFonts w:cstheme="minorHAnsi"/>
        </w:rPr>
        <w:t xml:space="preserve"> </w:t>
      </w:r>
      <w:r w:rsidRPr="00E12EC2">
        <w:rPr>
          <w:rFonts w:cstheme="minorHAnsi"/>
        </w:rPr>
        <w:t>udostępnianie i wymianę dokumentów wskazanych w art. 13a ustawy o SIOZ,</w:t>
      </w:r>
    </w:p>
    <w:p w14:paraId="726CE4A7" w14:textId="45BC90D8" w:rsidR="002C4FB9" w:rsidRPr="00EA6A40" w:rsidRDefault="002C4FB9" w:rsidP="00465760">
      <w:pPr>
        <w:pStyle w:val="Akapitzlist"/>
        <w:numPr>
          <w:ilvl w:val="0"/>
          <w:numId w:val="5"/>
        </w:numPr>
        <w:rPr>
          <w:rFonts w:cstheme="minorHAnsi"/>
        </w:rPr>
      </w:pPr>
      <w:r w:rsidRPr="00EA6A40">
        <w:rPr>
          <w:rFonts w:cstheme="minorHAnsi"/>
        </w:rPr>
        <w:t>wdrożenie e-</w:t>
      </w:r>
      <w:r w:rsidR="00A00FCE" w:rsidRPr="00EA6A40">
        <w:rPr>
          <w:rFonts w:cstheme="minorHAnsi"/>
        </w:rPr>
        <w:t>U</w:t>
      </w:r>
      <w:r w:rsidRPr="00EA6A40">
        <w:rPr>
          <w:rFonts w:cstheme="minorHAnsi"/>
        </w:rPr>
        <w:t>sługi publicznej e-EDM, z której korzystać będą interesariusze Projektu, głównie usługobiorcy (pacjenci).</w:t>
      </w:r>
    </w:p>
    <w:p w14:paraId="568CDBD8" w14:textId="77777777" w:rsidR="002C4FB9" w:rsidRPr="00EA6A40" w:rsidRDefault="002C4FB9" w:rsidP="00465760">
      <w:pPr>
        <w:pStyle w:val="Akapitzlist"/>
        <w:numPr>
          <w:ilvl w:val="0"/>
          <w:numId w:val="5"/>
        </w:numPr>
        <w:rPr>
          <w:rFonts w:cstheme="minorHAnsi"/>
        </w:rPr>
      </w:pPr>
      <w:r w:rsidRPr="00EA6A40">
        <w:rPr>
          <w:rFonts w:cstheme="minorHAnsi"/>
        </w:rPr>
        <w:t>udostępnienie danych służących do dostarczenia informacji zarządczej w ramach usługi e-Analiz.</w:t>
      </w:r>
    </w:p>
    <w:p w14:paraId="1698CCBF" w14:textId="2632164F" w:rsidR="002C4FB9" w:rsidRPr="00EA6A40" w:rsidRDefault="002C4FB9" w:rsidP="002C4FB9">
      <w:pPr>
        <w:rPr>
          <w:rFonts w:cstheme="minorHAnsi"/>
        </w:rPr>
      </w:pPr>
      <w:r w:rsidRPr="00EA6A40">
        <w:rPr>
          <w:rFonts w:cstheme="minorHAnsi"/>
        </w:rPr>
        <w:t>W ramach Projektu zostanie przygotowanych (wytworzenie/modernizacja) 18 produktów projektu:</w:t>
      </w:r>
    </w:p>
    <w:p w14:paraId="7EF3674B" w14:textId="25DF072D" w:rsidR="002C4FB9" w:rsidRPr="00EA6A40" w:rsidRDefault="008C2D98" w:rsidP="002C4FB9">
      <w:pPr>
        <w:rPr>
          <w:rFonts w:cstheme="minorHAnsi"/>
        </w:rPr>
      </w:pPr>
      <w:r w:rsidRPr="00EA6A40">
        <w:rPr>
          <w:rFonts w:cstheme="minorHAnsi"/>
        </w:rPr>
        <w:t>1. Z</w:t>
      </w:r>
      <w:r w:rsidR="002C4FB9" w:rsidRPr="00EA6A40">
        <w:rPr>
          <w:rFonts w:cstheme="minorHAnsi"/>
        </w:rPr>
        <w:t>modernizowane Dziedzinowe Systemy Informatyczne 16 Szpitali MSWiA - głównie w zakresie części medycznej, w tym o niezbędną infrastrukturę IT do poziomu funkcjonalnego</w:t>
      </w:r>
      <w:r w:rsidRPr="00EA6A40">
        <w:rPr>
          <w:rFonts w:cstheme="minorHAnsi"/>
        </w:rPr>
        <w:t>,</w:t>
      </w:r>
      <w:r w:rsidR="003E387F" w:rsidRPr="00EA6A40">
        <w:rPr>
          <w:rFonts w:cstheme="minorHAnsi"/>
        </w:rPr>
        <w:t xml:space="preserve"> </w:t>
      </w:r>
      <w:r w:rsidR="002C4FB9" w:rsidRPr="00EA6A40">
        <w:rPr>
          <w:rFonts w:cstheme="minorHAnsi"/>
        </w:rPr>
        <w:t>umożliwiającego bezpieczne świadczenie e-usług objętych zakresem Projektu;</w:t>
      </w:r>
    </w:p>
    <w:p w14:paraId="5ACE9305" w14:textId="0187DB7D" w:rsidR="002C4FB9" w:rsidRPr="00EA6A40" w:rsidRDefault="008C2D98" w:rsidP="002C4FB9">
      <w:pPr>
        <w:rPr>
          <w:rFonts w:cstheme="minorHAnsi"/>
        </w:rPr>
      </w:pPr>
      <w:r w:rsidRPr="00EA6A40">
        <w:rPr>
          <w:rFonts w:cstheme="minorHAnsi"/>
        </w:rPr>
        <w:t xml:space="preserve">2. </w:t>
      </w:r>
      <w:r w:rsidR="002C4FB9" w:rsidRPr="00EA6A40">
        <w:rPr>
          <w:rFonts w:cstheme="minorHAnsi"/>
        </w:rPr>
        <w:t>System Raportowo-Analityczny gromadzący i przetwarzający dane uzyskane z Dziedzinowych Systemów Informatycznych Partnerów (głównie w zakresie części medycznej) dla potrzeb e-Analiz oraz zbierający dane z ankiet pacjentów;</w:t>
      </w:r>
    </w:p>
    <w:p w14:paraId="6E99494E" w14:textId="6816B2D3" w:rsidR="002C4FB9" w:rsidRPr="00EA6A40" w:rsidRDefault="008C2D98" w:rsidP="002C4FB9">
      <w:pPr>
        <w:rPr>
          <w:rFonts w:cstheme="minorHAnsi"/>
        </w:rPr>
      </w:pPr>
      <w:r w:rsidRPr="00EA6A40">
        <w:rPr>
          <w:rFonts w:cstheme="minorHAnsi"/>
        </w:rPr>
        <w:lastRenderedPageBreak/>
        <w:t xml:space="preserve">3. </w:t>
      </w:r>
      <w:r w:rsidR="002C4FB9" w:rsidRPr="00EA6A40">
        <w:rPr>
          <w:rFonts w:cstheme="minorHAnsi"/>
        </w:rPr>
        <w:t>Platforma e-Usług udostępniająca e-usługi (e-EDM, e-Rejestracja, e-Analizy) dla użytkowników Projektu.</w:t>
      </w:r>
    </w:p>
    <w:p w14:paraId="501BEC19" w14:textId="77777777" w:rsidR="002C4FB9" w:rsidRPr="00EA6A40" w:rsidRDefault="002C4FB9" w:rsidP="002C4FB9">
      <w:pPr>
        <w:rPr>
          <w:rFonts w:cstheme="minorHAnsi"/>
        </w:rPr>
      </w:pPr>
    </w:p>
    <w:p w14:paraId="594B50E4" w14:textId="77777777" w:rsidR="004020C9" w:rsidRDefault="002C4FB9" w:rsidP="002C4FB9">
      <w:pPr>
        <w:rPr>
          <w:rFonts w:cstheme="minorHAnsi"/>
          <w:b/>
          <w:bCs/>
        </w:rPr>
      </w:pPr>
      <w:r w:rsidRPr="008F40DD">
        <w:rPr>
          <w:rFonts w:cstheme="minorHAnsi"/>
          <w:b/>
          <w:bCs/>
        </w:rPr>
        <w:t>Lider Projektu:</w:t>
      </w:r>
    </w:p>
    <w:p w14:paraId="38709591" w14:textId="0EB6F591" w:rsidR="002C4FB9" w:rsidRPr="004020C9" w:rsidRDefault="00316069" w:rsidP="002C4FB9">
      <w:pPr>
        <w:rPr>
          <w:rFonts w:cstheme="minorHAnsi"/>
          <w:b/>
          <w:bCs/>
        </w:rPr>
      </w:pPr>
      <w:r>
        <w:rPr>
          <w:rFonts w:cstheme="minorHAnsi"/>
        </w:rPr>
        <w:t>Państwowy Instytut Medyczny MSWiA</w:t>
      </w:r>
      <w:r w:rsidR="00A66BA1" w:rsidRPr="00465760">
        <w:rPr>
          <w:rFonts w:cstheme="minorHAnsi"/>
        </w:rPr>
        <w:t xml:space="preserve"> </w:t>
      </w:r>
    </w:p>
    <w:p w14:paraId="5D048A48" w14:textId="77777777" w:rsidR="004020C9" w:rsidRDefault="004020C9" w:rsidP="002C4FB9">
      <w:pPr>
        <w:rPr>
          <w:rFonts w:cstheme="minorHAnsi"/>
          <w:b/>
          <w:bCs/>
        </w:rPr>
      </w:pPr>
    </w:p>
    <w:p w14:paraId="375D03A5" w14:textId="4689E48C" w:rsidR="003320ED" w:rsidRPr="003320ED" w:rsidRDefault="002C4FB9" w:rsidP="003320ED">
      <w:pPr>
        <w:rPr>
          <w:rFonts w:cstheme="minorHAnsi"/>
          <w:b/>
          <w:bCs/>
        </w:rPr>
      </w:pPr>
      <w:r w:rsidRPr="008F40DD">
        <w:rPr>
          <w:rFonts w:cstheme="minorHAnsi"/>
          <w:b/>
          <w:bCs/>
        </w:rPr>
        <w:t>Partnerzy projektu:</w:t>
      </w:r>
    </w:p>
    <w:p w14:paraId="0661A28B" w14:textId="75575E84" w:rsidR="003320ED" w:rsidRPr="003320ED" w:rsidRDefault="003320ED" w:rsidP="003320ED">
      <w:pPr>
        <w:spacing w:after="0"/>
        <w:rPr>
          <w:rFonts w:cstheme="minorHAnsi"/>
        </w:rPr>
      </w:pPr>
      <w:r w:rsidRPr="003320ED">
        <w:rPr>
          <w:rFonts w:cstheme="minorHAnsi"/>
        </w:rPr>
        <w:t>M</w:t>
      </w:r>
      <w:r>
        <w:rPr>
          <w:rFonts w:cstheme="minorHAnsi"/>
        </w:rPr>
        <w:t xml:space="preserve">inisterstwo Spraw Wewnętrznych i </w:t>
      </w:r>
      <w:r w:rsidR="00203F4D">
        <w:rPr>
          <w:rFonts w:cstheme="minorHAnsi"/>
        </w:rPr>
        <w:t>A</w:t>
      </w:r>
      <w:r>
        <w:rPr>
          <w:rFonts w:cstheme="minorHAnsi"/>
        </w:rPr>
        <w:t>dministracji</w:t>
      </w:r>
      <w:r w:rsidR="00A86B2C">
        <w:rPr>
          <w:rFonts w:cstheme="minorHAnsi"/>
        </w:rPr>
        <w:t xml:space="preserve"> w Warszawie</w:t>
      </w:r>
    </w:p>
    <w:p w14:paraId="648FCBEE" w14:textId="5262542E" w:rsidR="003320ED" w:rsidRPr="003320ED" w:rsidRDefault="003320ED" w:rsidP="003320ED">
      <w:pPr>
        <w:spacing w:after="0"/>
        <w:rPr>
          <w:rFonts w:cstheme="minorHAnsi"/>
        </w:rPr>
      </w:pPr>
      <w:r w:rsidRPr="003320ED">
        <w:rPr>
          <w:rFonts w:cstheme="minorHAnsi"/>
        </w:rPr>
        <w:t>SP ZOZ MSWiA w Poznaniu</w:t>
      </w:r>
      <w:r w:rsidR="008F6DF1">
        <w:rPr>
          <w:rFonts w:cstheme="minorHAnsi"/>
        </w:rPr>
        <w:t xml:space="preserve"> im. prof. Ludwika Bierkowskiego</w:t>
      </w:r>
    </w:p>
    <w:p w14:paraId="45AAA964" w14:textId="77777777" w:rsidR="003320ED" w:rsidRPr="003320ED" w:rsidRDefault="003320ED" w:rsidP="003320ED">
      <w:pPr>
        <w:spacing w:after="0"/>
        <w:rPr>
          <w:rFonts w:cstheme="minorHAnsi"/>
        </w:rPr>
      </w:pPr>
      <w:r w:rsidRPr="003320ED">
        <w:rPr>
          <w:rFonts w:cstheme="minorHAnsi"/>
        </w:rPr>
        <w:t>SP ZOZ MSWiA w Lublinie</w:t>
      </w:r>
    </w:p>
    <w:p w14:paraId="5D1F84A8" w14:textId="77777777" w:rsidR="003320ED" w:rsidRPr="003320ED" w:rsidRDefault="003320ED" w:rsidP="003320ED">
      <w:pPr>
        <w:spacing w:after="0"/>
        <w:rPr>
          <w:rFonts w:cstheme="minorHAnsi"/>
        </w:rPr>
      </w:pPr>
      <w:r w:rsidRPr="003320ED">
        <w:rPr>
          <w:rFonts w:cstheme="minorHAnsi"/>
        </w:rPr>
        <w:t>SP ZOZ MSWiA w Olsztynie</w:t>
      </w:r>
    </w:p>
    <w:p w14:paraId="7C797EA5" w14:textId="77777777" w:rsidR="003320ED" w:rsidRPr="003320ED" w:rsidRDefault="003320ED" w:rsidP="003320ED">
      <w:pPr>
        <w:spacing w:after="0"/>
        <w:rPr>
          <w:rFonts w:cstheme="minorHAnsi"/>
        </w:rPr>
      </w:pPr>
      <w:r w:rsidRPr="003320ED">
        <w:rPr>
          <w:rFonts w:cstheme="minorHAnsi"/>
        </w:rPr>
        <w:t>SP ZOZ MSWiA w Rzeszowie</w:t>
      </w:r>
    </w:p>
    <w:p w14:paraId="7EE4332C" w14:textId="77777777" w:rsidR="003320ED" w:rsidRPr="003320ED" w:rsidRDefault="003320ED" w:rsidP="003320ED">
      <w:pPr>
        <w:spacing w:after="0"/>
        <w:rPr>
          <w:rFonts w:cstheme="minorHAnsi"/>
        </w:rPr>
      </w:pPr>
      <w:r w:rsidRPr="003320ED">
        <w:rPr>
          <w:rFonts w:cstheme="minorHAnsi"/>
        </w:rPr>
        <w:t>SP ZOZ MSWiA w Gdańsku</w:t>
      </w:r>
    </w:p>
    <w:p w14:paraId="7E50CBBD" w14:textId="77777777" w:rsidR="003320ED" w:rsidRPr="003320ED" w:rsidRDefault="003320ED" w:rsidP="003320ED">
      <w:pPr>
        <w:spacing w:after="0"/>
        <w:rPr>
          <w:rFonts w:cstheme="minorHAnsi"/>
        </w:rPr>
      </w:pPr>
      <w:r w:rsidRPr="003320ED">
        <w:rPr>
          <w:rFonts w:cstheme="minorHAnsi"/>
        </w:rPr>
        <w:t>SP ZOZ MSWiA w Zielonej Górze</w:t>
      </w:r>
    </w:p>
    <w:p w14:paraId="65182CAE" w14:textId="77777777" w:rsidR="003320ED" w:rsidRPr="003320ED" w:rsidRDefault="003320ED" w:rsidP="003320ED">
      <w:pPr>
        <w:spacing w:after="0"/>
        <w:rPr>
          <w:rFonts w:cstheme="minorHAnsi"/>
        </w:rPr>
      </w:pPr>
      <w:r w:rsidRPr="003320ED">
        <w:rPr>
          <w:rFonts w:cstheme="minorHAnsi"/>
        </w:rPr>
        <w:t>SP ZOZ MSWiA w Szczecinie</w:t>
      </w:r>
    </w:p>
    <w:p w14:paraId="4FEDBA52" w14:textId="6E7528CE" w:rsidR="003320ED" w:rsidRPr="003320ED" w:rsidRDefault="003320ED" w:rsidP="003320ED">
      <w:pPr>
        <w:spacing w:after="0"/>
        <w:rPr>
          <w:rFonts w:cstheme="minorHAnsi"/>
        </w:rPr>
      </w:pPr>
      <w:r w:rsidRPr="003320ED">
        <w:rPr>
          <w:rFonts w:cstheme="minorHAnsi"/>
        </w:rPr>
        <w:t>SP ZOZ MSWiA w Kielcach</w:t>
      </w:r>
      <w:r w:rsidR="008F6DF1">
        <w:rPr>
          <w:rFonts w:cstheme="minorHAnsi"/>
        </w:rPr>
        <w:t xml:space="preserve"> im. św. Jana Pawła II</w:t>
      </w:r>
    </w:p>
    <w:p w14:paraId="37D0BA67" w14:textId="1C73E3AB" w:rsidR="003320ED" w:rsidRPr="003320ED" w:rsidRDefault="003320ED" w:rsidP="003320ED">
      <w:pPr>
        <w:spacing w:after="0"/>
        <w:rPr>
          <w:rFonts w:cstheme="minorHAnsi"/>
        </w:rPr>
      </w:pPr>
      <w:r w:rsidRPr="003320ED">
        <w:rPr>
          <w:rFonts w:cstheme="minorHAnsi"/>
        </w:rPr>
        <w:t>SP ZOZ MSWiA w Katowicach</w:t>
      </w:r>
      <w:r w:rsidR="008F6DF1">
        <w:rPr>
          <w:rFonts w:cstheme="minorHAnsi"/>
        </w:rPr>
        <w:t xml:space="preserve"> im. sierżanta Grzegorza Załogi</w:t>
      </w:r>
    </w:p>
    <w:p w14:paraId="5972C421" w14:textId="77777777" w:rsidR="003320ED" w:rsidRPr="003320ED" w:rsidRDefault="003320ED" w:rsidP="003320ED">
      <w:pPr>
        <w:spacing w:after="0"/>
        <w:rPr>
          <w:rFonts w:cstheme="minorHAnsi"/>
        </w:rPr>
      </w:pPr>
      <w:r w:rsidRPr="003320ED">
        <w:rPr>
          <w:rFonts w:cstheme="minorHAnsi"/>
        </w:rPr>
        <w:t>SP ZOZ MSWiA w Opolu</w:t>
      </w:r>
    </w:p>
    <w:p w14:paraId="49CB54B3" w14:textId="77777777" w:rsidR="003320ED" w:rsidRPr="003320ED" w:rsidRDefault="003320ED" w:rsidP="003320ED">
      <w:pPr>
        <w:spacing w:after="0"/>
        <w:rPr>
          <w:rFonts w:cstheme="minorHAnsi"/>
        </w:rPr>
      </w:pPr>
      <w:r w:rsidRPr="003320ED">
        <w:rPr>
          <w:rFonts w:cstheme="minorHAnsi"/>
        </w:rPr>
        <w:t>SP ZOZ MSWiA w Bydgoszczy</w:t>
      </w:r>
    </w:p>
    <w:p w14:paraId="174F74BC" w14:textId="77777777" w:rsidR="003320ED" w:rsidRPr="003320ED" w:rsidRDefault="003320ED" w:rsidP="003320ED">
      <w:pPr>
        <w:spacing w:after="0"/>
        <w:rPr>
          <w:rFonts w:cstheme="minorHAnsi"/>
        </w:rPr>
      </w:pPr>
      <w:r w:rsidRPr="003320ED">
        <w:rPr>
          <w:rFonts w:cstheme="minorHAnsi"/>
        </w:rPr>
        <w:t>SP ZOZ MSWiA w Koszalinie</w:t>
      </w:r>
    </w:p>
    <w:p w14:paraId="0E513B84" w14:textId="2E241F9D" w:rsidR="003320ED" w:rsidRPr="003320ED" w:rsidRDefault="003320ED" w:rsidP="003320ED">
      <w:pPr>
        <w:spacing w:after="0"/>
        <w:rPr>
          <w:rFonts w:cstheme="minorHAnsi"/>
        </w:rPr>
      </w:pPr>
      <w:r w:rsidRPr="003320ED">
        <w:rPr>
          <w:rFonts w:cstheme="minorHAnsi"/>
        </w:rPr>
        <w:t>SP ZOZ MSWiA w Głuchołazach</w:t>
      </w:r>
      <w:r w:rsidR="008F6DF1">
        <w:rPr>
          <w:rFonts w:cstheme="minorHAnsi"/>
        </w:rPr>
        <w:t xml:space="preserve"> im. św. Jana Pawła II</w:t>
      </w:r>
    </w:p>
    <w:p w14:paraId="045CC5CF" w14:textId="77777777" w:rsidR="003320ED" w:rsidRPr="003320ED" w:rsidRDefault="003320ED" w:rsidP="003320ED">
      <w:pPr>
        <w:spacing w:after="0"/>
        <w:rPr>
          <w:rFonts w:cstheme="minorHAnsi"/>
        </w:rPr>
      </w:pPr>
      <w:r w:rsidRPr="003320ED">
        <w:rPr>
          <w:rFonts w:cstheme="minorHAnsi"/>
        </w:rPr>
        <w:t>SP ZOZ MSWiA w Górznie</w:t>
      </w:r>
    </w:p>
    <w:p w14:paraId="62351131" w14:textId="5676A877" w:rsidR="002C4FB9" w:rsidRDefault="003320ED" w:rsidP="003320ED">
      <w:pPr>
        <w:spacing w:after="0"/>
        <w:rPr>
          <w:rFonts w:cstheme="minorHAnsi"/>
        </w:rPr>
      </w:pPr>
      <w:r w:rsidRPr="003320ED">
        <w:rPr>
          <w:rFonts w:cstheme="minorHAnsi"/>
        </w:rPr>
        <w:t>SP ZOZ MSWiA w Złocieńcu</w:t>
      </w:r>
    </w:p>
    <w:p w14:paraId="544FE50C" w14:textId="77777777" w:rsidR="002C4FB9" w:rsidRPr="00465760" w:rsidRDefault="002C4FB9" w:rsidP="002C4FB9">
      <w:pPr>
        <w:rPr>
          <w:rFonts w:cstheme="minorHAnsi"/>
        </w:rPr>
      </w:pPr>
    </w:p>
    <w:p w14:paraId="1812E67D" w14:textId="77777777" w:rsidR="002C4FB9" w:rsidRPr="008F40DD" w:rsidRDefault="002C4FB9" w:rsidP="002C4FB9">
      <w:pPr>
        <w:rPr>
          <w:rFonts w:cstheme="minorHAnsi"/>
          <w:b/>
          <w:bCs/>
        </w:rPr>
      </w:pPr>
      <w:r w:rsidRPr="008F40DD">
        <w:rPr>
          <w:rFonts w:cstheme="minorHAnsi"/>
          <w:b/>
          <w:bCs/>
        </w:rPr>
        <w:t>Finansowanie Projektu:</w:t>
      </w:r>
    </w:p>
    <w:p w14:paraId="45C16E5A" w14:textId="4FE31CFC" w:rsidR="007E61DF" w:rsidRDefault="002C4FB9" w:rsidP="002C4FB9">
      <w:pPr>
        <w:rPr>
          <w:rFonts w:cstheme="minorHAnsi"/>
        </w:rPr>
      </w:pPr>
      <w:r w:rsidRPr="00465760">
        <w:rPr>
          <w:rFonts w:cstheme="minorHAnsi"/>
        </w:rPr>
        <w:t>Projekt jest finansowany ze środków Programu Operacyjnego Polska Cyfrowa na lata 2014-2020, w ramach Działania 2.1 Wysoka dostępność i jakość e-usług publicznych. Porozumienie o dofinansowaniu projektu zostało podpisane 25 października 2019 roku</w:t>
      </w:r>
    </w:p>
    <w:p w14:paraId="65B7B22C" w14:textId="77777777" w:rsidR="00203F4D" w:rsidRDefault="00203F4D" w:rsidP="00203F4D">
      <w:pPr>
        <w:rPr>
          <w:rFonts w:cstheme="minorHAnsi"/>
          <w:b/>
          <w:bCs/>
        </w:rPr>
      </w:pPr>
    </w:p>
    <w:p w14:paraId="066A963E" w14:textId="5AA7781C" w:rsidR="00203F4D" w:rsidRPr="008F40DD" w:rsidRDefault="00203F4D" w:rsidP="00203F4D">
      <w:pPr>
        <w:rPr>
          <w:rFonts w:cstheme="minorHAnsi"/>
          <w:b/>
          <w:bCs/>
        </w:rPr>
      </w:pPr>
      <w:r w:rsidRPr="008F40DD">
        <w:rPr>
          <w:rFonts w:cstheme="minorHAnsi"/>
          <w:b/>
          <w:bCs/>
        </w:rPr>
        <w:t>Okres realizacji:</w:t>
      </w:r>
    </w:p>
    <w:p w14:paraId="42127F39" w14:textId="77777777" w:rsidR="00203F4D" w:rsidRPr="00465760" w:rsidRDefault="00203F4D" w:rsidP="00203F4D">
      <w:pPr>
        <w:rPr>
          <w:rFonts w:cstheme="minorHAnsi"/>
        </w:rPr>
      </w:pPr>
      <w:r w:rsidRPr="00465760">
        <w:rPr>
          <w:rFonts w:cstheme="minorHAnsi"/>
        </w:rPr>
        <w:t xml:space="preserve">04.11.2019 – </w:t>
      </w:r>
      <w:r>
        <w:rPr>
          <w:rFonts w:cstheme="minorHAnsi"/>
        </w:rPr>
        <w:t>31</w:t>
      </w:r>
      <w:r w:rsidRPr="00465760">
        <w:rPr>
          <w:rFonts w:cstheme="minorHAnsi"/>
        </w:rPr>
        <w:t>.</w:t>
      </w:r>
      <w:r>
        <w:rPr>
          <w:rFonts w:cstheme="minorHAnsi"/>
        </w:rPr>
        <w:t>10</w:t>
      </w:r>
      <w:r w:rsidRPr="00465760">
        <w:rPr>
          <w:rFonts w:cstheme="minorHAnsi"/>
        </w:rPr>
        <w:t>.2023</w:t>
      </w:r>
    </w:p>
    <w:p w14:paraId="56DBDB25" w14:textId="77777777" w:rsidR="004020C9" w:rsidRDefault="004020C9" w:rsidP="002C4FB9">
      <w:pPr>
        <w:rPr>
          <w:rFonts w:cstheme="minorHAnsi"/>
        </w:rPr>
      </w:pPr>
    </w:p>
    <w:p w14:paraId="6A8430F5" w14:textId="7C78EA4C" w:rsidR="002C4FB9" w:rsidRPr="008F40DD" w:rsidRDefault="002C4FB9" w:rsidP="002C4FB9">
      <w:pPr>
        <w:rPr>
          <w:rFonts w:cstheme="minorHAnsi"/>
          <w:b/>
          <w:bCs/>
        </w:rPr>
      </w:pPr>
      <w:r w:rsidRPr="008F40DD">
        <w:rPr>
          <w:rFonts w:cstheme="minorHAnsi"/>
          <w:b/>
          <w:bCs/>
        </w:rPr>
        <w:t>Planowany koszt:</w:t>
      </w:r>
    </w:p>
    <w:p w14:paraId="6C57239B" w14:textId="5E582B9D" w:rsidR="002C4FB9" w:rsidRDefault="00EA6A40" w:rsidP="002C4FB9">
      <w:pPr>
        <w:rPr>
          <w:rFonts w:cstheme="minorHAnsi"/>
        </w:rPr>
      </w:pPr>
      <w:r>
        <w:rPr>
          <w:rFonts w:cstheme="minorHAnsi"/>
        </w:rPr>
        <w:t xml:space="preserve">Całkowita wartość projektu – </w:t>
      </w:r>
      <w:r w:rsidR="00316069" w:rsidRPr="00316069">
        <w:rPr>
          <w:rFonts w:cstheme="minorHAnsi"/>
        </w:rPr>
        <w:t>140 650 988,12</w:t>
      </w:r>
      <w:r w:rsidR="00316069">
        <w:rPr>
          <w:rFonts w:cstheme="minorHAnsi"/>
        </w:rPr>
        <w:t xml:space="preserve"> </w:t>
      </w:r>
      <w:r w:rsidR="002C4FB9" w:rsidRPr="00465760">
        <w:rPr>
          <w:rFonts w:cstheme="minorHAnsi"/>
        </w:rPr>
        <w:t>PLN</w:t>
      </w:r>
    </w:p>
    <w:p w14:paraId="3728AEEE" w14:textId="24341CE6" w:rsidR="00EA6A40" w:rsidRPr="00465760" w:rsidRDefault="00EA6A40" w:rsidP="002C4FB9">
      <w:pPr>
        <w:rPr>
          <w:rFonts w:cstheme="minorHAnsi"/>
        </w:rPr>
      </w:pPr>
      <w:r>
        <w:rPr>
          <w:rFonts w:cstheme="minorHAnsi"/>
        </w:rPr>
        <w:t xml:space="preserve">Wartość dofinansowania - </w:t>
      </w:r>
      <w:r w:rsidR="00316069" w:rsidRPr="00316069">
        <w:rPr>
          <w:rFonts w:cstheme="minorHAnsi"/>
        </w:rPr>
        <w:t>140 649 621,51</w:t>
      </w:r>
      <w:r w:rsidRPr="00EA6A40">
        <w:rPr>
          <w:rFonts w:cstheme="minorHAnsi"/>
        </w:rPr>
        <w:t xml:space="preserve"> PLN</w:t>
      </w:r>
      <w:r>
        <w:rPr>
          <w:rFonts w:cstheme="minorHAnsi"/>
        </w:rPr>
        <w:t>, w tym:</w:t>
      </w:r>
    </w:p>
    <w:p w14:paraId="5A8B9BE2" w14:textId="5F4137DF" w:rsidR="002C4FB9" w:rsidRPr="00465760" w:rsidRDefault="00316069" w:rsidP="00465760">
      <w:pPr>
        <w:pStyle w:val="Akapitzlist"/>
        <w:numPr>
          <w:ilvl w:val="0"/>
          <w:numId w:val="6"/>
        </w:numPr>
        <w:rPr>
          <w:rFonts w:cstheme="minorHAnsi"/>
        </w:rPr>
      </w:pPr>
      <w:r w:rsidRPr="00316069">
        <w:rPr>
          <w:rFonts w:cstheme="minorHAnsi"/>
        </w:rPr>
        <w:t>119 031 774,68</w:t>
      </w:r>
      <w:r>
        <w:rPr>
          <w:rFonts w:cstheme="minorHAnsi"/>
        </w:rPr>
        <w:t xml:space="preserve"> </w:t>
      </w:r>
      <w:r w:rsidR="002C4FB9" w:rsidRPr="00465760">
        <w:rPr>
          <w:rFonts w:cstheme="minorHAnsi"/>
        </w:rPr>
        <w:t>PLN – budżet środków europejskich</w:t>
      </w:r>
    </w:p>
    <w:p w14:paraId="38E81DA5" w14:textId="26C610EA" w:rsidR="002C4FB9" w:rsidRPr="00465760" w:rsidRDefault="00316069" w:rsidP="00465760">
      <w:pPr>
        <w:pStyle w:val="Akapitzlist"/>
        <w:numPr>
          <w:ilvl w:val="0"/>
          <w:numId w:val="6"/>
        </w:numPr>
        <w:rPr>
          <w:rFonts w:cstheme="minorHAnsi"/>
        </w:rPr>
      </w:pPr>
      <w:r w:rsidRPr="00316069">
        <w:rPr>
          <w:rFonts w:cstheme="minorHAnsi"/>
        </w:rPr>
        <w:t>21 617 846,83</w:t>
      </w:r>
      <w:r>
        <w:rPr>
          <w:rFonts w:cstheme="minorHAnsi"/>
        </w:rPr>
        <w:t xml:space="preserve"> </w:t>
      </w:r>
      <w:r w:rsidR="002C4FB9" w:rsidRPr="00465760">
        <w:rPr>
          <w:rFonts w:cstheme="minorHAnsi"/>
        </w:rPr>
        <w:t>PLN – budżet państwa</w:t>
      </w:r>
    </w:p>
    <w:p w14:paraId="055AB145" w14:textId="77777777" w:rsidR="00741C36" w:rsidRDefault="00741C36" w:rsidP="002C4FB9">
      <w:pPr>
        <w:rPr>
          <w:rFonts w:cstheme="minorHAnsi"/>
          <w:b/>
          <w:bCs/>
        </w:rPr>
      </w:pPr>
    </w:p>
    <w:p w14:paraId="3BC6160A" w14:textId="0961BB4A" w:rsidR="002C4FB9" w:rsidRPr="004020C9" w:rsidRDefault="002C4FB9" w:rsidP="002C4FB9">
      <w:pPr>
        <w:rPr>
          <w:rFonts w:cstheme="minorHAnsi"/>
          <w:b/>
          <w:bCs/>
        </w:rPr>
      </w:pPr>
      <w:r w:rsidRPr="004020C9">
        <w:rPr>
          <w:rFonts w:cstheme="minorHAnsi"/>
          <w:b/>
          <w:bCs/>
        </w:rPr>
        <w:lastRenderedPageBreak/>
        <w:t>Planowane e-usługi:</w:t>
      </w:r>
    </w:p>
    <w:p w14:paraId="394841F8" w14:textId="27D61A34" w:rsidR="002C4FB9" w:rsidRPr="00465760" w:rsidRDefault="002C4FB9" w:rsidP="00465760">
      <w:pPr>
        <w:pStyle w:val="Akapitzlist"/>
        <w:numPr>
          <w:ilvl w:val="0"/>
          <w:numId w:val="7"/>
        </w:numPr>
        <w:rPr>
          <w:rFonts w:cstheme="minorHAnsi"/>
        </w:rPr>
      </w:pPr>
      <w:r w:rsidRPr="00465760">
        <w:rPr>
          <w:rFonts w:cstheme="minorHAnsi"/>
        </w:rPr>
        <w:t>e-EDM (A2C/A2B - usługa publiczna)</w:t>
      </w:r>
    </w:p>
    <w:p w14:paraId="241793BF" w14:textId="77777777" w:rsidR="002C4FB9" w:rsidRPr="00465760" w:rsidRDefault="002C4FB9" w:rsidP="00465760">
      <w:pPr>
        <w:pStyle w:val="Akapitzlist"/>
        <w:numPr>
          <w:ilvl w:val="0"/>
          <w:numId w:val="7"/>
        </w:numPr>
        <w:rPr>
          <w:rFonts w:cstheme="minorHAnsi"/>
        </w:rPr>
      </w:pPr>
      <w:r w:rsidRPr="00465760">
        <w:rPr>
          <w:rFonts w:cstheme="minorHAnsi"/>
        </w:rPr>
        <w:t>e-Rejestracja (A2C - usługa publiczna)</w:t>
      </w:r>
    </w:p>
    <w:p w14:paraId="378BD942" w14:textId="77777777" w:rsidR="002C4FB9" w:rsidRPr="00465760" w:rsidRDefault="002C4FB9" w:rsidP="00465760">
      <w:pPr>
        <w:pStyle w:val="Akapitzlist"/>
        <w:numPr>
          <w:ilvl w:val="0"/>
          <w:numId w:val="7"/>
        </w:numPr>
        <w:rPr>
          <w:rFonts w:cstheme="minorHAnsi"/>
        </w:rPr>
      </w:pPr>
      <w:r w:rsidRPr="00465760">
        <w:rPr>
          <w:rFonts w:cstheme="minorHAnsi"/>
        </w:rPr>
        <w:t>e-Analizy (A2A – usługa wewnątrzadministracyjna)</w:t>
      </w:r>
    </w:p>
    <w:p w14:paraId="0B1A8EC6" w14:textId="77777777" w:rsidR="002C4FB9" w:rsidRPr="004020C9" w:rsidRDefault="002C4FB9" w:rsidP="002C4FB9">
      <w:pPr>
        <w:rPr>
          <w:rFonts w:cstheme="minorHAnsi"/>
          <w:b/>
          <w:bCs/>
        </w:rPr>
      </w:pPr>
      <w:r w:rsidRPr="004020C9">
        <w:rPr>
          <w:rFonts w:cstheme="minorHAnsi"/>
          <w:b/>
          <w:bCs/>
        </w:rPr>
        <w:t>Produkty projektu:</w:t>
      </w:r>
    </w:p>
    <w:p w14:paraId="14E3F496" w14:textId="77777777" w:rsidR="002C4FB9" w:rsidRPr="00465760" w:rsidRDefault="002C4FB9" w:rsidP="00465760">
      <w:pPr>
        <w:pStyle w:val="Akapitzlist"/>
        <w:numPr>
          <w:ilvl w:val="0"/>
          <w:numId w:val="8"/>
        </w:numPr>
        <w:rPr>
          <w:rFonts w:cstheme="minorHAnsi"/>
        </w:rPr>
      </w:pPr>
      <w:r w:rsidRPr="00465760">
        <w:rPr>
          <w:rFonts w:cstheme="minorHAnsi"/>
        </w:rPr>
        <w:t>Platforma e-Usług</w:t>
      </w:r>
    </w:p>
    <w:p w14:paraId="082AC9E1" w14:textId="77777777" w:rsidR="002C4FB9" w:rsidRPr="00465760" w:rsidRDefault="002C4FB9" w:rsidP="00465760">
      <w:pPr>
        <w:pStyle w:val="Akapitzlist"/>
        <w:numPr>
          <w:ilvl w:val="0"/>
          <w:numId w:val="8"/>
        </w:numPr>
        <w:rPr>
          <w:rFonts w:cstheme="minorHAnsi"/>
        </w:rPr>
      </w:pPr>
      <w:r w:rsidRPr="00465760">
        <w:rPr>
          <w:rFonts w:cstheme="minorHAnsi"/>
        </w:rPr>
        <w:t>System Raportowo-Analityczny</w:t>
      </w:r>
    </w:p>
    <w:p w14:paraId="75A9C687" w14:textId="14682DDF" w:rsidR="002C4FB9" w:rsidRPr="00465760" w:rsidRDefault="002C4FB9" w:rsidP="00465760">
      <w:pPr>
        <w:pStyle w:val="Akapitzlist"/>
        <w:numPr>
          <w:ilvl w:val="0"/>
          <w:numId w:val="8"/>
        </w:numPr>
        <w:rPr>
          <w:rFonts w:cstheme="minorHAnsi"/>
        </w:rPr>
      </w:pPr>
      <w:r w:rsidRPr="00465760">
        <w:rPr>
          <w:rFonts w:cstheme="minorHAnsi"/>
        </w:rPr>
        <w:t>Zmodernizowane Dziedzinowe systemy informatyczne 16 szpitali - Partnerów Projektu</w:t>
      </w:r>
    </w:p>
    <w:p w14:paraId="7BB475E9" w14:textId="551C6ACC" w:rsidR="00A66BA1" w:rsidRPr="00203F4D" w:rsidRDefault="00A66BA1" w:rsidP="002C4FB9">
      <w:pPr>
        <w:rPr>
          <w:rFonts w:cstheme="minorHAnsi"/>
          <w:b/>
          <w:bCs/>
          <w:sz w:val="28"/>
          <w:szCs w:val="28"/>
        </w:rPr>
      </w:pPr>
    </w:p>
    <w:sectPr w:rsidR="00A66BA1" w:rsidRPr="00203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32D2"/>
    <w:multiLevelType w:val="multilevel"/>
    <w:tmpl w:val="A35A5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1720C"/>
    <w:multiLevelType w:val="hybridMultilevel"/>
    <w:tmpl w:val="D242D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67E19"/>
    <w:multiLevelType w:val="hybridMultilevel"/>
    <w:tmpl w:val="A0CA1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5637F"/>
    <w:multiLevelType w:val="multilevel"/>
    <w:tmpl w:val="919A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E23BD6"/>
    <w:multiLevelType w:val="hybridMultilevel"/>
    <w:tmpl w:val="764E04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926F54"/>
    <w:multiLevelType w:val="multilevel"/>
    <w:tmpl w:val="61E61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705789"/>
    <w:multiLevelType w:val="multilevel"/>
    <w:tmpl w:val="C1A6A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3E488F"/>
    <w:multiLevelType w:val="multilevel"/>
    <w:tmpl w:val="C73C0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B746AD"/>
    <w:multiLevelType w:val="multilevel"/>
    <w:tmpl w:val="4916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983B3B"/>
    <w:multiLevelType w:val="multilevel"/>
    <w:tmpl w:val="11DA2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8E21E6"/>
    <w:multiLevelType w:val="multilevel"/>
    <w:tmpl w:val="5E3A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1C54C9"/>
    <w:multiLevelType w:val="multilevel"/>
    <w:tmpl w:val="BD88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1836C8"/>
    <w:multiLevelType w:val="multilevel"/>
    <w:tmpl w:val="8B9E93E8"/>
    <w:lvl w:ilvl="0">
      <w:start w:val="1"/>
      <w:numFmt w:val="bullet"/>
      <w:lvlText w:val=""/>
      <w:lvlJc w:val="left"/>
      <w:pPr>
        <w:tabs>
          <w:tab w:val="num" w:pos="-600"/>
        </w:tabs>
        <w:ind w:left="-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C5352F"/>
    <w:multiLevelType w:val="multilevel"/>
    <w:tmpl w:val="1E78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2A75CF"/>
    <w:multiLevelType w:val="multilevel"/>
    <w:tmpl w:val="9C34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B057D1"/>
    <w:multiLevelType w:val="multilevel"/>
    <w:tmpl w:val="4582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AE467E"/>
    <w:multiLevelType w:val="multilevel"/>
    <w:tmpl w:val="3EDC1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426E79"/>
    <w:multiLevelType w:val="multilevel"/>
    <w:tmpl w:val="AB74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F555DB"/>
    <w:multiLevelType w:val="multilevel"/>
    <w:tmpl w:val="DB806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B714E9"/>
    <w:multiLevelType w:val="multilevel"/>
    <w:tmpl w:val="DE34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0416F0"/>
    <w:multiLevelType w:val="multilevel"/>
    <w:tmpl w:val="41E8CE9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entative="1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</w:lvl>
    <w:lvl w:ilvl="2" w:tentative="1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</w:lvl>
    <w:lvl w:ilvl="3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entative="1">
      <w:start w:val="1"/>
      <w:numFmt w:val="decimal"/>
      <w:lvlText w:val="%5."/>
      <w:lvlJc w:val="left"/>
      <w:pPr>
        <w:tabs>
          <w:tab w:val="num" w:pos="3900"/>
        </w:tabs>
        <w:ind w:left="3900" w:hanging="360"/>
      </w:pPr>
    </w:lvl>
    <w:lvl w:ilvl="5" w:tentative="1">
      <w:start w:val="1"/>
      <w:numFmt w:val="decimal"/>
      <w:lvlText w:val="%6."/>
      <w:lvlJc w:val="left"/>
      <w:pPr>
        <w:tabs>
          <w:tab w:val="num" w:pos="4620"/>
        </w:tabs>
        <w:ind w:left="4620" w:hanging="360"/>
      </w:pPr>
    </w:lvl>
    <w:lvl w:ilvl="6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entative="1">
      <w:start w:val="1"/>
      <w:numFmt w:val="decimal"/>
      <w:lvlText w:val="%8."/>
      <w:lvlJc w:val="left"/>
      <w:pPr>
        <w:tabs>
          <w:tab w:val="num" w:pos="6060"/>
        </w:tabs>
        <w:ind w:left="6060" w:hanging="360"/>
      </w:pPr>
    </w:lvl>
    <w:lvl w:ilvl="8" w:tentative="1">
      <w:start w:val="1"/>
      <w:numFmt w:val="decimal"/>
      <w:lvlText w:val="%9."/>
      <w:lvlJc w:val="left"/>
      <w:pPr>
        <w:tabs>
          <w:tab w:val="num" w:pos="6780"/>
        </w:tabs>
        <w:ind w:left="6780" w:hanging="360"/>
      </w:pPr>
    </w:lvl>
  </w:abstractNum>
  <w:abstractNum w:abstractNumId="21" w15:restartNumberingAfterBreak="0">
    <w:nsid w:val="3C50770E"/>
    <w:multiLevelType w:val="multilevel"/>
    <w:tmpl w:val="61A2E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FE1655"/>
    <w:multiLevelType w:val="multilevel"/>
    <w:tmpl w:val="CFE6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F77401"/>
    <w:multiLevelType w:val="hybridMultilevel"/>
    <w:tmpl w:val="B20044D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3E3B2010"/>
    <w:multiLevelType w:val="multilevel"/>
    <w:tmpl w:val="7472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4234EC"/>
    <w:multiLevelType w:val="hybridMultilevel"/>
    <w:tmpl w:val="8A94B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C93031"/>
    <w:multiLevelType w:val="multilevel"/>
    <w:tmpl w:val="2956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24C21DF"/>
    <w:multiLevelType w:val="multilevel"/>
    <w:tmpl w:val="582E3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943976"/>
    <w:multiLevelType w:val="multilevel"/>
    <w:tmpl w:val="57E2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CB46D5"/>
    <w:multiLevelType w:val="multilevel"/>
    <w:tmpl w:val="15CEE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77210C"/>
    <w:multiLevelType w:val="multilevel"/>
    <w:tmpl w:val="F8D4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E0E269E"/>
    <w:multiLevelType w:val="multilevel"/>
    <w:tmpl w:val="564A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180D7A"/>
    <w:multiLevelType w:val="multilevel"/>
    <w:tmpl w:val="4F24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07C739F"/>
    <w:multiLevelType w:val="multilevel"/>
    <w:tmpl w:val="BE32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FF7299"/>
    <w:multiLevelType w:val="multilevel"/>
    <w:tmpl w:val="75CCB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485736"/>
    <w:multiLevelType w:val="multilevel"/>
    <w:tmpl w:val="1BA6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B1243A"/>
    <w:multiLevelType w:val="multilevel"/>
    <w:tmpl w:val="FD4CE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DD4384"/>
    <w:multiLevelType w:val="multilevel"/>
    <w:tmpl w:val="E2848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F96BEB"/>
    <w:multiLevelType w:val="multilevel"/>
    <w:tmpl w:val="AFB2F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1247DC"/>
    <w:multiLevelType w:val="multilevel"/>
    <w:tmpl w:val="27CE62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BA5080"/>
    <w:multiLevelType w:val="multilevel"/>
    <w:tmpl w:val="05EE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9901FC"/>
    <w:multiLevelType w:val="multilevel"/>
    <w:tmpl w:val="AFF6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EF048D"/>
    <w:multiLevelType w:val="multilevel"/>
    <w:tmpl w:val="8762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4E23E6"/>
    <w:multiLevelType w:val="multilevel"/>
    <w:tmpl w:val="CCEE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BF64F34"/>
    <w:multiLevelType w:val="hybridMultilevel"/>
    <w:tmpl w:val="003C4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EF0F0F"/>
    <w:multiLevelType w:val="hybridMultilevel"/>
    <w:tmpl w:val="B9544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C6C6D"/>
    <w:multiLevelType w:val="multilevel"/>
    <w:tmpl w:val="C422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726443">
    <w:abstractNumId w:val="19"/>
  </w:num>
  <w:num w:numId="2" w16cid:durableId="1904218878">
    <w:abstractNumId w:val="6"/>
  </w:num>
  <w:num w:numId="3" w16cid:durableId="452942962">
    <w:abstractNumId w:val="25"/>
  </w:num>
  <w:num w:numId="4" w16cid:durableId="1543590828">
    <w:abstractNumId w:val="4"/>
  </w:num>
  <w:num w:numId="5" w16cid:durableId="897319544">
    <w:abstractNumId w:val="45"/>
  </w:num>
  <w:num w:numId="6" w16cid:durableId="2031834420">
    <w:abstractNumId w:val="1"/>
  </w:num>
  <w:num w:numId="7" w16cid:durableId="1500733839">
    <w:abstractNumId w:val="23"/>
  </w:num>
  <w:num w:numId="8" w16cid:durableId="802189541">
    <w:abstractNumId w:val="44"/>
  </w:num>
  <w:num w:numId="9" w16cid:durableId="1560748595">
    <w:abstractNumId w:val="46"/>
  </w:num>
  <w:num w:numId="10" w16cid:durableId="1497920969">
    <w:abstractNumId w:val="41"/>
  </w:num>
  <w:num w:numId="11" w16cid:durableId="1485077677">
    <w:abstractNumId w:val="32"/>
  </w:num>
  <w:num w:numId="12" w16cid:durableId="334307126">
    <w:abstractNumId w:val="9"/>
  </w:num>
  <w:num w:numId="13" w16cid:durableId="473109518">
    <w:abstractNumId w:val="17"/>
  </w:num>
  <w:num w:numId="14" w16cid:durableId="1679427360">
    <w:abstractNumId w:val="39"/>
  </w:num>
  <w:num w:numId="15" w16cid:durableId="1172797881">
    <w:abstractNumId w:val="13"/>
  </w:num>
  <w:num w:numId="16" w16cid:durableId="603415252">
    <w:abstractNumId w:val="0"/>
  </w:num>
  <w:num w:numId="17" w16cid:durableId="477497829">
    <w:abstractNumId w:val="8"/>
  </w:num>
  <w:num w:numId="18" w16cid:durableId="569737011">
    <w:abstractNumId w:val="35"/>
  </w:num>
  <w:num w:numId="19" w16cid:durableId="482042505">
    <w:abstractNumId w:val="37"/>
  </w:num>
  <w:num w:numId="20" w16cid:durableId="154341877">
    <w:abstractNumId w:val="18"/>
  </w:num>
  <w:num w:numId="21" w16cid:durableId="649402002">
    <w:abstractNumId w:val="27"/>
  </w:num>
  <w:num w:numId="22" w16cid:durableId="887230231">
    <w:abstractNumId w:val="42"/>
  </w:num>
  <w:num w:numId="23" w16cid:durableId="108403541">
    <w:abstractNumId w:val="28"/>
  </w:num>
  <w:num w:numId="24" w16cid:durableId="589588097">
    <w:abstractNumId w:val="5"/>
  </w:num>
  <w:num w:numId="25" w16cid:durableId="3021879">
    <w:abstractNumId w:val="30"/>
  </w:num>
  <w:num w:numId="26" w16cid:durableId="2006667621">
    <w:abstractNumId w:val="24"/>
  </w:num>
  <w:num w:numId="27" w16cid:durableId="1415319875">
    <w:abstractNumId w:val="36"/>
  </w:num>
  <w:num w:numId="28" w16cid:durableId="1693872673">
    <w:abstractNumId w:val="14"/>
  </w:num>
  <w:num w:numId="29" w16cid:durableId="636883362">
    <w:abstractNumId w:val="15"/>
  </w:num>
  <w:num w:numId="30" w16cid:durableId="522137245">
    <w:abstractNumId w:val="34"/>
  </w:num>
  <w:num w:numId="31" w16cid:durableId="535429973">
    <w:abstractNumId w:val="16"/>
  </w:num>
  <w:num w:numId="32" w16cid:durableId="1726836706">
    <w:abstractNumId w:val="31"/>
  </w:num>
  <w:num w:numId="33" w16cid:durableId="1520241498">
    <w:abstractNumId w:val="26"/>
  </w:num>
  <w:num w:numId="34" w16cid:durableId="266620565">
    <w:abstractNumId w:val="21"/>
  </w:num>
  <w:num w:numId="35" w16cid:durableId="1511096233">
    <w:abstractNumId w:val="3"/>
  </w:num>
  <w:num w:numId="36" w16cid:durableId="1353411132">
    <w:abstractNumId w:val="11"/>
  </w:num>
  <w:num w:numId="37" w16cid:durableId="770780778">
    <w:abstractNumId w:val="43"/>
  </w:num>
  <w:num w:numId="38" w16cid:durableId="637607854">
    <w:abstractNumId w:val="7"/>
  </w:num>
  <w:num w:numId="39" w16cid:durableId="1595701745">
    <w:abstractNumId w:val="33"/>
  </w:num>
  <w:num w:numId="40" w16cid:durableId="1384017728">
    <w:abstractNumId w:val="38"/>
  </w:num>
  <w:num w:numId="41" w16cid:durableId="1272976380">
    <w:abstractNumId w:val="10"/>
  </w:num>
  <w:num w:numId="42" w16cid:durableId="48573187">
    <w:abstractNumId w:val="22"/>
  </w:num>
  <w:num w:numId="43" w16cid:durableId="1172260427">
    <w:abstractNumId w:val="12"/>
  </w:num>
  <w:num w:numId="44" w16cid:durableId="1130592138">
    <w:abstractNumId w:val="29"/>
  </w:num>
  <w:num w:numId="45" w16cid:durableId="196044599">
    <w:abstractNumId w:val="40"/>
  </w:num>
  <w:num w:numId="46" w16cid:durableId="1360354774">
    <w:abstractNumId w:val="20"/>
  </w:num>
  <w:num w:numId="47" w16cid:durableId="1738243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B9"/>
    <w:rsid w:val="000033B9"/>
    <w:rsid w:val="00017B69"/>
    <w:rsid w:val="0005099A"/>
    <w:rsid w:val="0007738D"/>
    <w:rsid w:val="0008682C"/>
    <w:rsid w:val="000E5CB4"/>
    <w:rsid w:val="000F5A2C"/>
    <w:rsid w:val="00102241"/>
    <w:rsid w:val="00140F7F"/>
    <w:rsid w:val="0015137A"/>
    <w:rsid w:val="00156C5C"/>
    <w:rsid w:val="001614B0"/>
    <w:rsid w:val="001A3FAA"/>
    <w:rsid w:val="001A3FB6"/>
    <w:rsid w:val="001E06B3"/>
    <w:rsid w:val="001E5A53"/>
    <w:rsid w:val="00203F4D"/>
    <w:rsid w:val="00212497"/>
    <w:rsid w:val="002316E6"/>
    <w:rsid w:val="00235D14"/>
    <w:rsid w:val="002667C9"/>
    <w:rsid w:val="00290FCC"/>
    <w:rsid w:val="00294DA6"/>
    <w:rsid w:val="00297042"/>
    <w:rsid w:val="002B15A8"/>
    <w:rsid w:val="002C2530"/>
    <w:rsid w:val="002C4FB9"/>
    <w:rsid w:val="002E0217"/>
    <w:rsid w:val="002E45CB"/>
    <w:rsid w:val="00302874"/>
    <w:rsid w:val="00316069"/>
    <w:rsid w:val="003320ED"/>
    <w:rsid w:val="0034411F"/>
    <w:rsid w:val="00361110"/>
    <w:rsid w:val="00366D3D"/>
    <w:rsid w:val="003923BC"/>
    <w:rsid w:val="00392842"/>
    <w:rsid w:val="0039528C"/>
    <w:rsid w:val="003952FB"/>
    <w:rsid w:val="003A30D9"/>
    <w:rsid w:val="003A4A85"/>
    <w:rsid w:val="003B0449"/>
    <w:rsid w:val="003D7936"/>
    <w:rsid w:val="003E387F"/>
    <w:rsid w:val="003F37E4"/>
    <w:rsid w:val="003F5FFD"/>
    <w:rsid w:val="004020C9"/>
    <w:rsid w:val="00406200"/>
    <w:rsid w:val="00407314"/>
    <w:rsid w:val="00420ED3"/>
    <w:rsid w:val="00442B3F"/>
    <w:rsid w:val="00446989"/>
    <w:rsid w:val="00461184"/>
    <w:rsid w:val="00465760"/>
    <w:rsid w:val="00472FB2"/>
    <w:rsid w:val="00495628"/>
    <w:rsid w:val="004A4B42"/>
    <w:rsid w:val="004D2853"/>
    <w:rsid w:val="004D5FFB"/>
    <w:rsid w:val="004E0E42"/>
    <w:rsid w:val="005353A2"/>
    <w:rsid w:val="00535A03"/>
    <w:rsid w:val="00542804"/>
    <w:rsid w:val="005D17E0"/>
    <w:rsid w:val="005F6D0B"/>
    <w:rsid w:val="006111D2"/>
    <w:rsid w:val="0063193F"/>
    <w:rsid w:val="00654662"/>
    <w:rsid w:val="00667947"/>
    <w:rsid w:val="006C647F"/>
    <w:rsid w:val="006D36E1"/>
    <w:rsid w:val="006D513F"/>
    <w:rsid w:val="006F289B"/>
    <w:rsid w:val="00712991"/>
    <w:rsid w:val="00716E8B"/>
    <w:rsid w:val="00741C36"/>
    <w:rsid w:val="0075097B"/>
    <w:rsid w:val="00772009"/>
    <w:rsid w:val="007A4F74"/>
    <w:rsid w:val="007B4368"/>
    <w:rsid w:val="007E01B5"/>
    <w:rsid w:val="007E61DF"/>
    <w:rsid w:val="007F7F3D"/>
    <w:rsid w:val="00800B90"/>
    <w:rsid w:val="008A47B7"/>
    <w:rsid w:val="008C2D98"/>
    <w:rsid w:val="008D79BA"/>
    <w:rsid w:val="008E0B8E"/>
    <w:rsid w:val="008F40DD"/>
    <w:rsid w:val="008F6DF1"/>
    <w:rsid w:val="00902D4F"/>
    <w:rsid w:val="00905150"/>
    <w:rsid w:val="00907FE5"/>
    <w:rsid w:val="009159FE"/>
    <w:rsid w:val="00932992"/>
    <w:rsid w:val="0093755C"/>
    <w:rsid w:val="00984E8B"/>
    <w:rsid w:val="00992410"/>
    <w:rsid w:val="009B2142"/>
    <w:rsid w:val="009D0921"/>
    <w:rsid w:val="009E1F6D"/>
    <w:rsid w:val="009F5AD2"/>
    <w:rsid w:val="00A00FCE"/>
    <w:rsid w:val="00A02F4B"/>
    <w:rsid w:val="00A57B28"/>
    <w:rsid w:val="00A61D58"/>
    <w:rsid w:val="00A6425F"/>
    <w:rsid w:val="00A66BA1"/>
    <w:rsid w:val="00A86B2C"/>
    <w:rsid w:val="00AD7C60"/>
    <w:rsid w:val="00B076BA"/>
    <w:rsid w:val="00B67053"/>
    <w:rsid w:val="00BA1BCE"/>
    <w:rsid w:val="00BA41E9"/>
    <w:rsid w:val="00BA6657"/>
    <w:rsid w:val="00BB4714"/>
    <w:rsid w:val="00BD17F6"/>
    <w:rsid w:val="00BF096D"/>
    <w:rsid w:val="00C54DE6"/>
    <w:rsid w:val="00C57CF3"/>
    <w:rsid w:val="00C93C4B"/>
    <w:rsid w:val="00CC3984"/>
    <w:rsid w:val="00D023F0"/>
    <w:rsid w:val="00D637C2"/>
    <w:rsid w:val="00D66B9A"/>
    <w:rsid w:val="00DA3047"/>
    <w:rsid w:val="00E12EC2"/>
    <w:rsid w:val="00E13857"/>
    <w:rsid w:val="00E57971"/>
    <w:rsid w:val="00E65674"/>
    <w:rsid w:val="00E65AA5"/>
    <w:rsid w:val="00E7680B"/>
    <w:rsid w:val="00E90A50"/>
    <w:rsid w:val="00EA6A40"/>
    <w:rsid w:val="00EC1CB0"/>
    <w:rsid w:val="00EE4911"/>
    <w:rsid w:val="00F10650"/>
    <w:rsid w:val="00F21538"/>
    <w:rsid w:val="00F4588A"/>
    <w:rsid w:val="00F547EC"/>
    <w:rsid w:val="00F60E3A"/>
    <w:rsid w:val="00F87FDE"/>
    <w:rsid w:val="00F954CA"/>
    <w:rsid w:val="00FE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0ED2"/>
  <w15:chartTrackingRefBased/>
  <w15:docId w15:val="{373E374C-B5CE-4E55-99C0-AC9AA373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13F"/>
  </w:style>
  <w:style w:type="paragraph" w:styleId="Nagwek2">
    <w:name w:val="heading 2"/>
    <w:basedOn w:val="Normalny"/>
    <w:link w:val="Nagwek2Znak"/>
    <w:uiPriority w:val="9"/>
    <w:qFormat/>
    <w:rsid w:val="005428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428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C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4FB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2D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2D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2D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2D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2D98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A66BA1"/>
    <w:rPr>
      <w:i/>
      <w:iCs/>
    </w:rPr>
  </w:style>
  <w:style w:type="character" w:styleId="Pogrubienie">
    <w:name w:val="Strong"/>
    <w:basedOn w:val="Domylnaczcionkaakapitu"/>
    <w:uiPriority w:val="22"/>
    <w:qFormat/>
    <w:rsid w:val="00A66BA1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4280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4280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42FB3-1D96-42DB-AE53-FF1AA0DC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1063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Boharewicz Zaneta</dc:creator>
  <cp:keywords/>
  <dc:description/>
  <cp:lastModifiedBy>Krasucka Katarzyna</cp:lastModifiedBy>
  <cp:revision>13</cp:revision>
  <dcterms:created xsi:type="dcterms:W3CDTF">2022-06-07T12:25:00Z</dcterms:created>
  <dcterms:modified xsi:type="dcterms:W3CDTF">2023-01-20T09:59:00Z</dcterms:modified>
</cp:coreProperties>
</file>