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245AA3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45A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„</w:t>
            </w:r>
            <w:hyperlink r:id="rId5" w:history="1">
              <w:r w:rsidRPr="00245AA3">
                <w:rPr>
                  <w:rStyle w:val="Hipercze"/>
                  <w:rFonts w:asciiTheme="minorHAnsi" w:hAnsiTheme="minorHAnsi" w:cstheme="minorHAnsi"/>
                  <w:b/>
                  <w:bCs/>
                  <w:i/>
                  <w:sz w:val="22"/>
                  <w:szCs w:val="22"/>
                </w:rPr>
                <w:t>Projekt dokumentu zawierającego rekomendacje użycia generatywnej sztucznej inteligencji w urzędach</w:t>
              </w:r>
            </w:hyperlink>
            <w:r w:rsidRPr="00245AA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”</w:t>
            </w:r>
            <w:r w:rsidRPr="00245AA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45AA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- </w:t>
            </w:r>
            <w:r w:rsidRPr="00245A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wnioskodawca Minister Cyfryzacji.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47083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C13782" w:rsidRDefault="00EB2A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EB2A71" w:rsidRDefault="00EB2A71" w:rsidP="00F74725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Wstęp</w:t>
            </w:r>
          </w:p>
          <w:p w:rsidR="00A83792" w:rsidRPr="00A83792" w:rsidRDefault="00A83792" w:rsidP="00F74725">
            <w:pPr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A83792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str. 2</w:t>
            </w:r>
          </w:p>
          <w:p w:rsidR="00EB2A71" w:rsidRPr="00C13782" w:rsidRDefault="00EB2A71" w:rsidP="00EB2A71">
            <w:pPr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</w:p>
          <w:p w:rsidR="00EB2A71" w:rsidRPr="00C13782" w:rsidRDefault="00EB2A71" w:rsidP="00F74725">
            <w:pPr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Chcąc zaadresować tę kwestię Ministerstwo Cyfryzacji przygotowało ten </w:t>
            </w:r>
            <w:r w:rsidRPr="00470831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  <w:u w:val="single"/>
              </w:rPr>
              <w:t>poradnik</w:t>
            </w:r>
            <w:r w:rsidRPr="00470831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.</w:t>
            </w:r>
          </w:p>
          <w:p w:rsidR="00EB2A71" w:rsidRPr="00C13782" w:rsidRDefault="00EB2A71" w:rsidP="00F74725">
            <w:pPr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</w:p>
          <w:p w:rsidR="00A06425" w:rsidRDefault="00EB2A71" w:rsidP="00F74725">
            <w:pPr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color w:val="0B0C0C"/>
                <w:sz w:val="22"/>
                <w:szCs w:val="22"/>
              </w:rPr>
              <w:t xml:space="preserve">Mając świadomość tempa rozwoju technologii AI, </w:t>
            </w:r>
            <w:r w:rsidRPr="00470831">
              <w:rPr>
                <w:rFonts w:asciiTheme="minorHAnsi" w:hAnsiTheme="minorHAnsi" w:cstheme="minorHAnsi"/>
                <w:color w:val="0B0C0C"/>
                <w:sz w:val="22"/>
                <w:szCs w:val="22"/>
                <w:u w:val="single"/>
              </w:rPr>
              <w:t>wytyczne</w:t>
            </w:r>
            <w:r w:rsidRPr="00C13782">
              <w:rPr>
                <w:rFonts w:asciiTheme="minorHAnsi" w:hAnsiTheme="minorHAnsi" w:cstheme="minorHAnsi"/>
                <w:color w:val="0B0C0C"/>
                <w:sz w:val="22"/>
                <w:szCs w:val="22"/>
              </w:rPr>
              <w:t xml:space="preserve"> będą poddawane regularnemu przeglądowi.</w:t>
            </w:r>
          </w:p>
          <w:p w:rsidR="00470831" w:rsidRPr="00C13782" w:rsidRDefault="00470831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 xml:space="preserve">Poradnik, rekomendacje, wytyczne – pod rozwagę </w:t>
            </w:r>
            <w:proofErr w:type="spellStart"/>
            <w:r w:rsidRPr="00C13782">
              <w:rPr>
                <w:rFonts w:cstheme="minorHAnsi"/>
                <w:sz w:val="22"/>
                <w:szCs w:val="22"/>
              </w:rPr>
              <w:t>uspójnienie</w:t>
            </w:r>
            <w:proofErr w:type="spellEnd"/>
            <w:r w:rsidRPr="00C13782">
              <w:rPr>
                <w:rFonts w:cstheme="minorHAnsi"/>
                <w:sz w:val="22"/>
                <w:szCs w:val="22"/>
              </w:rPr>
              <w:t xml:space="preserve"> terminologii i posługiwanie się jednym terminem na potrzeby dokumentu. Może tym, który został wskazany w tytule tj. rekomendacje. </w:t>
            </w:r>
          </w:p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>Ponadto pod rozwagę dodanie, że nie mają one wiążącego charakteru, o ile tak jest.</w:t>
            </w:r>
          </w:p>
        </w:tc>
        <w:tc>
          <w:tcPr>
            <w:tcW w:w="5812" w:type="dxa"/>
            <w:shd w:val="clear" w:color="auto" w:fill="auto"/>
          </w:tcPr>
          <w:p w:rsidR="00A06425" w:rsidRPr="00C1378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47083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C13782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B2A71" w:rsidRDefault="00EB2A71" w:rsidP="00F747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skrócie: o czym pamiętać korzystając z </w:t>
            </w:r>
            <w:proofErr w:type="spellStart"/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GenAI</w:t>
            </w:r>
            <w:proofErr w:type="spellEnd"/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celach służbowych</w:t>
            </w:r>
          </w:p>
          <w:p w:rsidR="00A83792" w:rsidRPr="00A83792" w:rsidRDefault="00A83792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A83792">
              <w:rPr>
                <w:rFonts w:asciiTheme="minorHAnsi" w:hAnsiTheme="minorHAnsi" w:cstheme="minorHAnsi"/>
                <w:sz w:val="22"/>
                <w:szCs w:val="22"/>
              </w:rPr>
              <w:t>tr. 3</w:t>
            </w:r>
          </w:p>
          <w:p w:rsidR="00A06425" w:rsidRPr="00C13782" w:rsidRDefault="00A06425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470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 xml:space="preserve">Zanim umożliwi się pracownikom skorzystanie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 xml:space="preserve">z rozwiązań AI, to w pierwszej kolejności powinny one zostać poddane weryfikacji przez specjalistów w dziedzinie AI i systemowo zostać zarekomendowane dla administracji np.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>w postaci konkretnych programów, produktów, usług itp.</w:t>
            </w:r>
          </w:p>
          <w:p w:rsidR="00EB2A71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lastRenderedPageBreak/>
              <w:t>Nie należy przerzucać odpowiedzialności na najniższy szczebel – „rekomendując” jedynie dane narzędzie</w:t>
            </w:r>
            <w:r w:rsidR="00290D1B" w:rsidRPr="00C13782">
              <w:rPr>
                <w:rFonts w:cstheme="minorHAnsi"/>
                <w:sz w:val="22"/>
                <w:szCs w:val="22"/>
              </w:rPr>
              <w:t>.</w:t>
            </w:r>
          </w:p>
          <w:p w:rsidR="00A06425" w:rsidRDefault="00082B24" w:rsidP="0047083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082B24">
              <w:rPr>
                <w:rFonts w:cstheme="minorHAnsi"/>
                <w:sz w:val="22"/>
                <w:szCs w:val="22"/>
              </w:rPr>
              <w:t xml:space="preserve">Większość dostępnych obecnie generatywnych modeli AI działa w chmurze. Także w chmurach nie podlegających jurysdykcji polskiej, czy jurysdykcji </w:t>
            </w:r>
            <w:proofErr w:type="spellStart"/>
            <w:r w:rsidRPr="00082B24">
              <w:rPr>
                <w:rFonts w:cstheme="minorHAnsi"/>
                <w:sz w:val="22"/>
                <w:szCs w:val="22"/>
              </w:rPr>
              <w:t>państwa</w:t>
            </w:r>
            <w:proofErr w:type="spellEnd"/>
            <w:r w:rsidRPr="00082B24">
              <w:rPr>
                <w:rFonts w:cstheme="minorHAnsi"/>
                <w:sz w:val="22"/>
                <w:szCs w:val="22"/>
              </w:rPr>
              <w:t xml:space="preserve"> członkowskiego Unii Europejskiej. Zwykle chmury te nie są także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082B24">
              <w:rPr>
                <w:rFonts w:cstheme="minorHAnsi"/>
                <w:sz w:val="22"/>
                <w:szCs w:val="22"/>
              </w:rPr>
              <w:t xml:space="preserve">w stanie zagwarantować prawa właściciela do swojej informacji. Należy mieć na uwadze, że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082B24">
              <w:rPr>
                <w:rFonts w:cstheme="minorHAnsi"/>
                <w:sz w:val="22"/>
                <w:szCs w:val="22"/>
              </w:rPr>
              <w:t>w przypadku korzystania z takich rozwiązań urząd administracji publicznej traci prawa do wytworzonych w ten sposób informacji. Informacji, które mogą być informacjami istotnymi dla realizacji zadań statutowych instytucji administracji publicznej.</w:t>
            </w:r>
          </w:p>
          <w:p w:rsidR="00664356" w:rsidRPr="00664356" w:rsidRDefault="00664356" w:rsidP="00664356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664356">
              <w:rPr>
                <w:rFonts w:cstheme="minorHAnsi"/>
                <w:sz w:val="22"/>
                <w:szCs w:val="22"/>
              </w:rPr>
              <w:t xml:space="preserve">W kontekście tworzenia zapytań do publicznych LLM, proponuje się uwzględnienie w wyliczeniu kategorii informacji niepodlegających upublicznieniu, które mogą dotyczyć m.in. </w:t>
            </w:r>
            <w:proofErr w:type="spellStart"/>
            <w:r w:rsidRPr="00664356">
              <w:rPr>
                <w:rFonts w:cstheme="minorHAnsi"/>
                <w:sz w:val="22"/>
                <w:szCs w:val="22"/>
              </w:rPr>
              <w:t>np</w:t>
            </w:r>
            <w:proofErr w:type="spellEnd"/>
            <w:r w:rsidRPr="00664356">
              <w:rPr>
                <w:rFonts w:cstheme="minorHAnsi"/>
                <w:sz w:val="22"/>
                <w:szCs w:val="22"/>
              </w:rPr>
              <w:t>:</w:t>
            </w:r>
          </w:p>
          <w:p w:rsidR="00664356" w:rsidRPr="00664356" w:rsidRDefault="00664356" w:rsidP="00664356">
            <w:pPr>
              <w:pStyle w:val="Tekstkomentarza"/>
              <w:numPr>
                <w:ilvl w:val="1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64356">
              <w:rPr>
                <w:rFonts w:cstheme="minorHAnsi"/>
                <w:sz w:val="22"/>
                <w:szCs w:val="22"/>
              </w:rPr>
              <w:t xml:space="preserve"> szczegółów lub podatności infrastruktury IT podmiotu</w:t>
            </w:r>
          </w:p>
          <w:p w:rsidR="00664356" w:rsidRPr="00664356" w:rsidRDefault="00664356" w:rsidP="00664356">
            <w:pPr>
              <w:pStyle w:val="Tekstkomentarza"/>
              <w:numPr>
                <w:ilvl w:val="1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64356">
              <w:rPr>
                <w:rFonts w:cstheme="minorHAnsi"/>
                <w:sz w:val="22"/>
                <w:szCs w:val="22"/>
              </w:rPr>
              <w:t>elementów polityk bezpieczeństwa podmiotu lub treści korespondencji wewnętrznej podmiotu (w kontekście redagowania treści przez AI),</w:t>
            </w:r>
          </w:p>
          <w:p w:rsidR="00664356" w:rsidRPr="00C13782" w:rsidRDefault="00664356" w:rsidP="00470831">
            <w:pPr>
              <w:pStyle w:val="Tekstkomentarza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Default="00664356" w:rsidP="00664356">
            <w:pPr>
              <w:shd w:val="clear" w:color="auto" w:fill="FFFFFF" w:themeFill="background1"/>
              <w:spacing w:after="75" w:line="312" w:lineRule="auto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</w:p>
          <w:p w:rsidR="00664356" w:rsidRPr="00664356" w:rsidRDefault="00664356" w:rsidP="00664356">
            <w:pPr>
              <w:pStyle w:val="Tekstkomentarza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„</w:t>
            </w:r>
            <w:r w:rsidRPr="00664356">
              <w:rPr>
                <w:rFonts w:cstheme="minorHAnsi"/>
                <w:sz w:val="22"/>
                <w:szCs w:val="22"/>
              </w:rPr>
              <w:t>Nie należy wprowadzać do takich narzędzi informacji lub dokumentów, które:</w:t>
            </w:r>
          </w:p>
          <w:p w:rsidR="00664356" w:rsidRPr="0084529A" w:rsidRDefault="00664356" w:rsidP="00664356">
            <w:pPr>
              <w:numPr>
                <w:ilvl w:val="0"/>
                <w:numId w:val="3"/>
              </w:numPr>
              <w:shd w:val="clear" w:color="auto" w:fill="FFFFFF" w:themeFill="background1"/>
              <w:spacing w:after="75" w:line="276" w:lineRule="auto"/>
              <w:ind w:left="1020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color w:val="0B0C0C"/>
                <w:sz w:val="22"/>
                <w:szCs w:val="22"/>
              </w:rPr>
              <w:t>są niejawne lub zawierają dane wrażliwe.</w:t>
            </w:r>
          </w:p>
          <w:p w:rsidR="00664356" w:rsidRPr="0084529A" w:rsidRDefault="00664356" w:rsidP="00664356">
            <w:pPr>
              <w:numPr>
                <w:ilvl w:val="0"/>
                <w:numId w:val="3"/>
              </w:numPr>
              <w:shd w:val="clear" w:color="auto" w:fill="FFFFFF" w:themeFill="background1"/>
              <w:spacing w:after="75" w:line="276" w:lineRule="auto"/>
              <w:ind w:left="1020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color w:val="0B0C0C"/>
                <w:sz w:val="22"/>
                <w:szCs w:val="22"/>
              </w:rPr>
              <w:t>zawierają informacje urzędowe będące w fazie przygotowawczej, a tym samym nie przeznaczone do upublicznienia;</w:t>
            </w:r>
          </w:p>
          <w:p w:rsidR="00664356" w:rsidRPr="0084529A" w:rsidRDefault="00664356" w:rsidP="00664356">
            <w:pPr>
              <w:numPr>
                <w:ilvl w:val="0"/>
                <w:numId w:val="3"/>
              </w:numPr>
              <w:shd w:val="clear" w:color="auto" w:fill="FFFFFF" w:themeFill="background1"/>
              <w:spacing w:after="75" w:line="276" w:lineRule="auto"/>
              <w:ind w:left="1020"/>
              <w:rPr>
                <w:rFonts w:asciiTheme="minorHAnsi" w:hAnsiTheme="minorHAnsi" w:cstheme="minorHAnsi"/>
                <w:color w:val="0B0C0C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color w:val="0B0C0C"/>
                <w:sz w:val="22"/>
                <w:szCs w:val="22"/>
              </w:rPr>
              <w:t>naruszają przepisy o ochronie danych osobowych.</w:t>
            </w:r>
          </w:p>
          <w:p w:rsidR="00664356" w:rsidRPr="0084529A" w:rsidRDefault="00664356" w:rsidP="00664356">
            <w:pPr>
              <w:numPr>
                <w:ilvl w:val="0"/>
                <w:numId w:val="3"/>
              </w:numPr>
              <w:shd w:val="clear" w:color="auto" w:fill="FFFFFF" w:themeFill="background1"/>
              <w:spacing w:after="75" w:line="276" w:lineRule="auto"/>
              <w:ind w:left="1020"/>
              <w:rPr>
                <w:rFonts w:asciiTheme="minorHAnsi" w:hAnsiTheme="minorHAnsi" w:cstheme="minorHAnsi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ujawnione mogą doprowadzić do podniesienia poziomu </w:t>
            </w:r>
            <w:proofErr w:type="spellStart"/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>ryzyk</w:t>
            </w:r>
            <w:proofErr w:type="spellEnd"/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związanych z bezpieczeństwem informacji i </w:t>
            </w:r>
            <w:proofErr w:type="spellStart"/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>cyberbezpieczeństwem</w:t>
            </w:r>
            <w:proofErr w:type="spellEnd"/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”.</w:t>
            </w:r>
          </w:p>
          <w:p w:rsidR="00A06425" w:rsidRPr="00C1378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F747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A8379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C13782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B2A71" w:rsidRPr="00A83792" w:rsidRDefault="00EB2A71" w:rsidP="00A83792">
            <w:pPr>
              <w:tabs>
                <w:tab w:val="left" w:pos="145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Jak Generatywna Sztuczna Inteligencja może pomóc w pracy?</w:t>
            </w:r>
          </w:p>
          <w:p w:rsidR="00EB2A71" w:rsidRDefault="00A83792" w:rsidP="00A837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4</w:t>
            </w:r>
          </w:p>
          <w:p w:rsidR="00A83792" w:rsidRPr="00C13782" w:rsidRDefault="00A83792" w:rsidP="00A837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B2A71" w:rsidRPr="00C13782" w:rsidRDefault="00F64D62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Czy lista bezpiecznych</w:t>
            </w:r>
            <w:r w:rsidR="00EB2A71" w:rsidRPr="00C13782">
              <w:rPr>
                <w:rFonts w:cstheme="minorHAnsi"/>
                <w:sz w:val="22"/>
                <w:szCs w:val="22"/>
              </w:rPr>
              <w:t xml:space="preserve"> programów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GenAI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będzie dostępna,</w:t>
            </w:r>
            <w:r w:rsidR="00EB2A71" w:rsidRPr="00C13782">
              <w:rPr>
                <w:rFonts w:cstheme="minorHAnsi"/>
                <w:sz w:val="22"/>
                <w:szCs w:val="22"/>
              </w:rPr>
              <w:t xml:space="preserve"> w szczególności tych</w:t>
            </w:r>
            <w:r>
              <w:rPr>
                <w:rFonts w:cstheme="minorHAnsi"/>
                <w:sz w:val="22"/>
                <w:szCs w:val="22"/>
              </w:rPr>
              <w:t>,</w:t>
            </w:r>
            <w:r w:rsidR="00EB2A71" w:rsidRPr="00C13782">
              <w:rPr>
                <w:rFonts w:cstheme="minorHAnsi"/>
                <w:sz w:val="22"/>
                <w:szCs w:val="22"/>
              </w:rPr>
              <w:t xml:space="preserve"> które pozwalają na uzyskanie poniższych propozycji zastosowania </w:t>
            </w:r>
            <w:proofErr w:type="spellStart"/>
            <w:r w:rsidR="00EB2A71" w:rsidRPr="00C13782">
              <w:rPr>
                <w:rFonts w:cstheme="minorHAnsi"/>
                <w:sz w:val="22"/>
                <w:szCs w:val="22"/>
              </w:rPr>
              <w:t>GenAI</w:t>
            </w:r>
            <w:proofErr w:type="spellEnd"/>
            <w:r w:rsidR="00EB2A71" w:rsidRPr="00C13782">
              <w:rPr>
                <w:rFonts w:cstheme="minorHAnsi"/>
                <w:sz w:val="22"/>
                <w:szCs w:val="22"/>
              </w:rPr>
              <w:t>?</w:t>
            </w:r>
          </w:p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lastRenderedPageBreak/>
              <w:t>W jaki k</w:t>
            </w:r>
            <w:r w:rsidR="00A83792">
              <w:rPr>
                <w:rFonts w:cstheme="minorHAnsi"/>
                <w:sz w:val="22"/>
                <w:szCs w:val="22"/>
              </w:rPr>
              <w:t>onkretnie sposób pracownik ma</w:t>
            </w:r>
            <w:r w:rsidRPr="00C13782">
              <w:rPr>
                <w:rFonts w:cstheme="minorHAnsi"/>
                <w:sz w:val="22"/>
                <w:szCs w:val="22"/>
              </w:rPr>
              <w:t xml:space="preserve"> sprawdzić</w:t>
            </w:r>
            <w:r w:rsidR="00A83792" w:rsidRPr="00C13782">
              <w:rPr>
                <w:rFonts w:cstheme="minorHAnsi"/>
                <w:sz w:val="22"/>
                <w:szCs w:val="22"/>
              </w:rPr>
              <w:t xml:space="preserve"> czy wygenerowane pomysły nie są błędne, stronnicze lub dyskryminujące</w:t>
            </w:r>
            <w:r w:rsidRPr="00C13782">
              <w:rPr>
                <w:rFonts w:cstheme="minorHAnsi"/>
                <w:sz w:val="22"/>
                <w:szCs w:val="22"/>
              </w:rPr>
              <w:t xml:space="preserve">? Czy zostanie przygotowane jakieś wsparcie jak to sprawdzać? Czy pracownik ma się zdać na własną ocenę, intuicję? </w:t>
            </w:r>
          </w:p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>Warto zwrócić uwagę na problem stronniczości AI, który w głównej mierze powstaje na etapie projektowania i tworzenia. Pracownik na etapie stosowania może nawet nie być świadom tego, że wynik zapytania wyszedł stronniczy, błędny lub dyskryminujący. Dlatego rozwiązania</w:t>
            </w:r>
            <w:r w:rsidR="00A83792">
              <w:rPr>
                <w:rFonts w:cstheme="minorHAnsi"/>
                <w:sz w:val="22"/>
                <w:szCs w:val="22"/>
              </w:rPr>
              <w:t>,</w:t>
            </w:r>
            <w:r w:rsidRPr="00C13782">
              <w:rPr>
                <w:rFonts w:cstheme="minorHAnsi"/>
                <w:sz w:val="22"/>
                <w:szCs w:val="22"/>
              </w:rPr>
              <w:t xml:space="preserve"> które zostaną zaproponowane pracownikom powinny zostać zweryfikowane przez specjalistów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>w dziedzinie AI.</w:t>
            </w:r>
          </w:p>
          <w:p w:rsidR="00A06425" w:rsidRPr="00C1378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C1378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F747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7A72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C13782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A7212" w:rsidRDefault="007A7212" w:rsidP="007A721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Jak prowadzić konstruktywną „rozmowę” z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GenAI</w:t>
            </w:r>
            <w:proofErr w:type="spellEnd"/>
          </w:p>
          <w:p w:rsidR="007A7212" w:rsidRDefault="007A7212" w:rsidP="007A721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B2A71" w:rsidRPr="00C13782" w:rsidRDefault="00EB2A71" w:rsidP="007A72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Precyzyjny kontekst</w:t>
            </w: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7A7212" w:rsidRPr="007A7212" w:rsidRDefault="007A7212" w:rsidP="007A7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A7212">
              <w:rPr>
                <w:rFonts w:asciiTheme="minorHAnsi" w:hAnsiTheme="minorHAnsi" w:cstheme="minorHAnsi"/>
                <w:sz w:val="22"/>
                <w:szCs w:val="22"/>
              </w:rPr>
              <w:t>tr.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-6</w:t>
            </w:r>
          </w:p>
          <w:p w:rsidR="00A06425" w:rsidRPr="00C1378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B2A71" w:rsidRPr="00D93E3F" w:rsidRDefault="007A7212" w:rsidP="007A721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Przykład: </w:t>
            </w:r>
            <w:r w:rsidRPr="00D93E3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„Poinformuj </w:t>
            </w:r>
            <w:proofErr w:type="spellStart"/>
            <w:r w:rsidRPr="00D93E3F">
              <w:rPr>
                <w:rFonts w:asciiTheme="minorHAnsi" w:hAnsiTheme="minorHAnsi" w:cstheme="minorHAnsi"/>
                <w:i/>
                <w:sz w:val="22"/>
                <w:szCs w:val="22"/>
              </w:rPr>
              <w:t>GenAI</w:t>
            </w:r>
            <w:proofErr w:type="spellEnd"/>
            <w:r w:rsidRPr="00D93E3F">
              <w:rPr>
                <w:rFonts w:asciiTheme="minorHAnsi" w:hAnsiTheme="minorHAnsi" w:cstheme="minorHAnsi"/>
                <w:i/>
                <w:sz w:val="22"/>
                <w:szCs w:val="22"/>
              </w:rPr>
              <w:t>, że jest się pracownikiem konkretnej instytucji…”.</w:t>
            </w:r>
          </w:p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 xml:space="preserve">Kontekst oczywiście jest ważny dla tego typu rozwiązań, ale w ramach różnego rodzaju szkoleń zwraca się uwagę na to, aby pracownicy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 xml:space="preserve">z rozsądkiem podchodzili do ujawniania informacji o sobie oraz o miejscu pracy. Wynika to z rosnącej liczby zagrożeń związanych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 xml:space="preserve">z wyłudzeniami danych, oszustwami, </w:t>
            </w:r>
            <w:proofErr w:type="spellStart"/>
            <w:r w:rsidRPr="00C13782">
              <w:rPr>
                <w:rFonts w:cstheme="minorHAnsi"/>
                <w:sz w:val="22"/>
                <w:szCs w:val="22"/>
              </w:rPr>
              <w:t>phishingu</w:t>
            </w:r>
            <w:proofErr w:type="spellEnd"/>
            <w:r w:rsidRPr="00C13782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C13782">
              <w:rPr>
                <w:rFonts w:cstheme="minorHAnsi"/>
                <w:sz w:val="22"/>
                <w:szCs w:val="22"/>
              </w:rPr>
              <w:t>vishingu</w:t>
            </w:r>
            <w:proofErr w:type="spellEnd"/>
            <w:r w:rsidRPr="00C13782">
              <w:rPr>
                <w:rFonts w:cstheme="minorHAnsi"/>
                <w:sz w:val="22"/>
                <w:szCs w:val="22"/>
              </w:rPr>
              <w:t xml:space="preserve">. Może zatem dojść do sytuacji w której będziemy mu rekomendowali sprzeczne zalecenia. </w:t>
            </w:r>
          </w:p>
          <w:p w:rsidR="00EB2A71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>Dopóki nie zostanie opracowana zweryfikowana lista programów/rozwiązań/narzędzi, z której będą mogli korzystać pracownicy administracji, to nie możemy sobie tym zakresie pozwolić na dowolność. W gruncie rzecz większość z tych rozwiązań, to rozwiązania komercyjne, co do których pracownicy nie mają wiedzy w jaki sposób przetwarzane są w nich informacje, gdzie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 xml:space="preserve"> i czy w ogóle przechowywane oraz do czego </w:t>
            </w:r>
            <w:r w:rsidRPr="00C13782">
              <w:rPr>
                <w:rFonts w:cstheme="minorHAnsi"/>
                <w:sz w:val="22"/>
                <w:szCs w:val="22"/>
              </w:rPr>
              <w:lastRenderedPageBreak/>
              <w:t xml:space="preserve">potencjalnie mogą zostać wykorzystane np.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 xml:space="preserve">w wyniku cyberataku na dostawcę takiego rozwiązania.     </w:t>
            </w:r>
          </w:p>
          <w:p w:rsidR="007A7212" w:rsidRPr="007A7212" w:rsidRDefault="007A7212" w:rsidP="007A7212">
            <w:pPr>
              <w:pStyle w:val="Tekstkomentarza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 związku z powyższym p</w:t>
            </w:r>
            <w:r w:rsidRPr="007A7212">
              <w:rPr>
                <w:rFonts w:cstheme="minorHAnsi"/>
                <w:sz w:val="22"/>
                <w:szCs w:val="22"/>
              </w:rPr>
              <w:t xml:space="preserve">roponuje się zmianę treści porad dotyczących pisania </w:t>
            </w:r>
            <w:proofErr w:type="spellStart"/>
            <w:r w:rsidRPr="007A7212">
              <w:rPr>
                <w:rFonts w:cstheme="minorHAnsi"/>
                <w:sz w:val="22"/>
                <w:szCs w:val="22"/>
              </w:rPr>
              <w:t>promptów</w:t>
            </w:r>
            <w:proofErr w:type="spellEnd"/>
            <w:r w:rsidRPr="007A7212">
              <w:rPr>
                <w:rFonts w:cstheme="minorHAnsi"/>
                <w:sz w:val="22"/>
                <w:szCs w:val="22"/>
              </w:rPr>
              <w:t xml:space="preserve">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7A7212">
              <w:rPr>
                <w:rFonts w:cstheme="minorHAnsi"/>
                <w:sz w:val="22"/>
                <w:szCs w:val="22"/>
              </w:rPr>
              <w:t xml:space="preserve">w zakresie rekomendowania zachowania maksymalnej anonimowości w zapytaniach kierowanych do publicznych </w:t>
            </w:r>
            <w:proofErr w:type="spellStart"/>
            <w:r w:rsidRPr="007A7212">
              <w:rPr>
                <w:rFonts w:cstheme="minorHAnsi"/>
                <w:sz w:val="22"/>
                <w:szCs w:val="22"/>
              </w:rPr>
              <w:t>GenAI</w:t>
            </w:r>
            <w:proofErr w:type="spellEnd"/>
            <w:r w:rsidRPr="007A7212">
              <w:rPr>
                <w:rFonts w:cstheme="minorHAnsi"/>
                <w:sz w:val="22"/>
                <w:szCs w:val="22"/>
              </w:rPr>
              <w:t xml:space="preserve">, dotyczących danych osobowych jak i informacji o instytucji. </w:t>
            </w:r>
          </w:p>
          <w:p w:rsidR="007A7212" w:rsidRPr="00C13782" w:rsidRDefault="007A7212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7A7212">
              <w:rPr>
                <w:rFonts w:cstheme="minorHAnsi"/>
                <w:sz w:val="22"/>
                <w:szCs w:val="22"/>
              </w:rPr>
              <w:t xml:space="preserve">Część modeli językowych jest uczona na podstawie wprowadzonych zapytań  co może skutkować zbieraniem wewnętrznych danych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7A7212">
              <w:rPr>
                <w:rFonts w:cstheme="minorHAnsi"/>
                <w:sz w:val="22"/>
                <w:szCs w:val="22"/>
              </w:rPr>
              <w:t>o Podmiocie przez osoby nieupoważnione, cyberprzestępców lub obce służby.</w:t>
            </w:r>
          </w:p>
        </w:tc>
        <w:tc>
          <w:tcPr>
            <w:tcW w:w="5812" w:type="dxa"/>
            <w:shd w:val="clear" w:color="auto" w:fill="auto"/>
          </w:tcPr>
          <w:p w:rsidR="007A7212" w:rsidRPr="0084529A" w:rsidRDefault="007A7212" w:rsidP="007A72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przykładzie proponuje się wykreślenie zdania „Poinformuj </w:t>
            </w:r>
            <w:proofErr w:type="spellStart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GenAI</w:t>
            </w:r>
            <w:proofErr w:type="spellEnd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, że jest się pracownikiem konkretnej instytucji, np. kuratorium oświaty.”</w:t>
            </w:r>
          </w:p>
          <w:p w:rsidR="00A06425" w:rsidRPr="00C1378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A71" w:rsidRPr="00A06425" w:rsidTr="00A06425">
        <w:tc>
          <w:tcPr>
            <w:tcW w:w="562" w:type="dxa"/>
            <w:shd w:val="clear" w:color="auto" w:fill="auto"/>
          </w:tcPr>
          <w:p w:rsidR="00EB2A71" w:rsidRPr="00A06425" w:rsidRDefault="00F74725" w:rsidP="00EB2A7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E50E9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B2A71" w:rsidRPr="00C13782" w:rsidRDefault="00EB2A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93B45" w:rsidRPr="00B93B45" w:rsidRDefault="00B93B45" w:rsidP="00B93B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3B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Jak prowadzić konstruktywną „rozmowę” z </w:t>
            </w:r>
            <w:proofErr w:type="spellStart"/>
            <w:r w:rsidRPr="00B93B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GenAI</w:t>
            </w:r>
            <w:proofErr w:type="spellEnd"/>
          </w:p>
          <w:p w:rsidR="00B93B45" w:rsidRDefault="00B93B45" w:rsidP="00EB2A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B2A71" w:rsidRPr="00C13782" w:rsidRDefault="00EB2A71" w:rsidP="00EB2A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Określenie wymaganego tonu i stylu?</w:t>
            </w:r>
          </w:p>
          <w:p w:rsidR="00EB2A71" w:rsidRPr="00C13782" w:rsidRDefault="00B93B45" w:rsidP="00EB2A71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6</w:t>
            </w:r>
          </w:p>
          <w:p w:rsidR="00EB2A71" w:rsidRPr="00C13782" w:rsidRDefault="00EB2A71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B93B4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93B45" w:rsidRPr="00D93E3F" w:rsidRDefault="00B93B45" w:rsidP="00B93B4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93E3F">
              <w:rPr>
                <w:rFonts w:asciiTheme="minorHAnsi" w:hAnsiTheme="minorHAnsi" w:cstheme="minorHAnsi"/>
                <w:i/>
                <w:sz w:val="22"/>
                <w:szCs w:val="22"/>
              </w:rPr>
              <w:t>„Można także poprosić o wygenerowanie mniej formalnego emaila na zadany temat, kierowanego do współpracowników. W zależności od zadania, do polecenia można dołączyć (wkleić) przyjęty w danym urzędzie tekstowy szablon dokumentu lub przykład struktury i języka tekstu, na bazie którego tworzony jest materiał.”</w:t>
            </w:r>
          </w:p>
          <w:p w:rsidR="00EB2A71" w:rsidRPr="00C13782" w:rsidRDefault="00EB2A71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B93B45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 tym kontekście p</w:t>
            </w:r>
            <w:r w:rsidR="00EB2A71" w:rsidRPr="00C13782">
              <w:rPr>
                <w:rFonts w:cstheme="minorHAnsi"/>
                <w:sz w:val="22"/>
                <w:szCs w:val="22"/>
              </w:rPr>
              <w:t>od rozwagę</w:t>
            </w:r>
            <w:r>
              <w:rPr>
                <w:rFonts w:cstheme="minorHAnsi"/>
                <w:sz w:val="22"/>
                <w:szCs w:val="22"/>
              </w:rPr>
              <w:t xml:space="preserve"> należy poddać</w:t>
            </w:r>
            <w:r w:rsidR="00EB2A71" w:rsidRPr="00C13782">
              <w:rPr>
                <w:rFonts w:cstheme="minorHAnsi"/>
                <w:sz w:val="22"/>
                <w:szCs w:val="22"/>
              </w:rPr>
              <w:t xml:space="preserve"> określenie katalogu spraw/wątków, w których tego typu pomoc mogłaby mieć zastosowanie, bez narażania się pracownika na udostępnienia wrażliwych informacji do takiego narzędzia/programu/usługi. </w:t>
            </w:r>
          </w:p>
          <w:p w:rsidR="00EB2A71" w:rsidRPr="00C13782" w:rsidRDefault="00EB2A71" w:rsidP="00EB2A71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>Pod rozwagę poddaje się jednak wskazanie jakie szablony dokumentów mogą być „dołączone” – wklejone.</w:t>
            </w:r>
          </w:p>
        </w:tc>
        <w:tc>
          <w:tcPr>
            <w:tcW w:w="5812" w:type="dxa"/>
            <w:shd w:val="clear" w:color="auto" w:fill="auto"/>
          </w:tcPr>
          <w:p w:rsidR="00EB2A71" w:rsidRPr="00C13782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B2A71" w:rsidRPr="00A06425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A71" w:rsidRPr="00A06425" w:rsidTr="00A06425">
        <w:tc>
          <w:tcPr>
            <w:tcW w:w="562" w:type="dxa"/>
            <w:shd w:val="clear" w:color="auto" w:fill="auto"/>
          </w:tcPr>
          <w:p w:rsidR="00EB2A71" w:rsidRPr="00A06425" w:rsidRDefault="00F74725" w:rsidP="00EB2A7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E50E9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B2A71" w:rsidRPr="00C13782" w:rsidRDefault="00EB2A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B2A71" w:rsidRPr="00C13782" w:rsidRDefault="00EB2A71" w:rsidP="00EB2A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 czym należy pamiętać, korzystając z </w:t>
            </w:r>
            <w:proofErr w:type="spellStart"/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GenAI</w:t>
            </w:r>
            <w:proofErr w:type="spellEnd"/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celach służbowych  </w:t>
            </w:r>
          </w:p>
          <w:p w:rsidR="00EB2A71" w:rsidRPr="00C13782" w:rsidRDefault="00E50E97" w:rsidP="00EB2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7</w:t>
            </w:r>
          </w:p>
          <w:p w:rsidR="00EB2A71" w:rsidRPr="00C13782" w:rsidRDefault="00EB2A71" w:rsidP="00EB2A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B2A71" w:rsidRPr="00C13782" w:rsidRDefault="00EB2A71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C13782" w:rsidRDefault="00EB2A71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2A71" w:rsidRPr="00D93E3F" w:rsidRDefault="00E50E97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B0C0C"/>
                <w:sz w:val="22"/>
                <w:szCs w:val="22"/>
              </w:rPr>
              <w:lastRenderedPageBreak/>
              <w:t>„</w:t>
            </w:r>
            <w:r w:rsidRPr="00D93E3F">
              <w:rPr>
                <w:rFonts w:asciiTheme="minorHAnsi" w:hAnsiTheme="minorHAnsi" w:cstheme="minorHAnsi"/>
                <w:i/>
                <w:color w:val="0B0C0C"/>
                <w:sz w:val="22"/>
                <w:szCs w:val="22"/>
              </w:rPr>
              <w:t>Wchodząc</w:t>
            </w:r>
            <w:r w:rsidRPr="00D93E3F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 xml:space="preserve"> w interakcję z wybranym narzędziem </w:t>
            </w:r>
            <w:proofErr w:type="spellStart"/>
            <w:r w:rsidRPr="00D93E3F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>GenAI</w:t>
            </w:r>
            <w:proofErr w:type="spellEnd"/>
            <w:r w:rsidRPr="00D93E3F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 xml:space="preserve"> należy zachować podstawowe </w:t>
            </w:r>
            <w:hyperlink r:id="rId6" w:history="1">
              <w:r w:rsidRPr="00D93E3F">
                <w:rPr>
                  <w:rFonts w:asciiTheme="minorHAnsi" w:eastAsia="Aptos" w:hAnsiTheme="minorHAnsi" w:cstheme="minorHAnsi"/>
                  <w:i/>
                  <w:sz w:val="22"/>
                  <w:szCs w:val="22"/>
                </w:rPr>
                <w:t>zasady higieny cyfrowej</w:t>
              </w:r>
            </w:hyperlink>
            <w:r w:rsidRPr="00D93E3F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>.”</w:t>
            </w:r>
          </w:p>
          <w:p w:rsidR="00EB2A71" w:rsidRDefault="00EB2A71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>Pod rozwagę</w:t>
            </w:r>
            <w:r w:rsidR="00E50E97">
              <w:rPr>
                <w:rFonts w:asciiTheme="minorHAnsi" w:hAnsiTheme="minorHAnsi" w:cstheme="minorHAnsi"/>
                <w:sz w:val="22"/>
                <w:szCs w:val="22"/>
              </w:rPr>
              <w:t xml:space="preserve"> poddaje się</w:t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 xml:space="preserve"> wskazanie</w:t>
            </w:r>
            <w:r w:rsidR="00E50E97">
              <w:rPr>
                <w:rFonts w:asciiTheme="minorHAnsi" w:hAnsiTheme="minorHAnsi" w:cstheme="minorHAnsi"/>
                <w:sz w:val="22"/>
                <w:szCs w:val="22"/>
              </w:rPr>
              <w:t xml:space="preserve"> zasad</w:t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 xml:space="preserve"> higieny cyfrowej</w:t>
            </w:r>
            <w:r w:rsidR="00E50E9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50E97" w:rsidRPr="00C13782" w:rsidRDefault="00E50E97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EB2A71" w:rsidRPr="00C13782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B2A71" w:rsidRPr="00A06425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A71" w:rsidRPr="00A06425" w:rsidTr="00A06425">
        <w:tc>
          <w:tcPr>
            <w:tcW w:w="562" w:type="dxa"/>
            <w:shd w:val="clear" w:color="auto" w:fill="auto"/>
          </w:tcPr>
          <w:p w:rsidR="00EB2A71" w:rsidRPr="00A06425" w:rsidRDefault="000153D5" w:rsidP="00EB2A7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EB2A71" w:rsidRPr="00C13782" w:rsidRDefault="00EB2A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B2A71" w:rsidRPr="00C13782" w:rsidRDefault="00EB2A71" w:rsidP="00EB2A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 czym należy pamiętać, gdy wchodzi się w interakcję z </w:t>
            </w:r>
            <w:proofErr w:type="spellStart"/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GenAI</w:t>
            </w:r>
            <w:proofErr w:type="spellEnd"/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zwłaszcza w celach służbowych?</w:t>
            </w:r>
          </w:p>
          <w:p w:rsidR="00EB2A71" w:rsidRPr="00C13782" w:rsidRDefault="00EB2A71" w:rsidP="00EB2A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Ochrona danych</w:t>
            </w:r>
          </w:p>
          <w:p w:rsidR="00EB2A71" w:rsidRPr="000153D5" w:rsidRDefault="000153D5" w:rsidP="00EB2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53D5">
              <w:rPr>
                <w:rFonts w:asciiTheme="minorHAnsi" w:hAnsiTheme="minorHAnsi" w:cstheme="minorHAnsi"/>
                <w:sz w:val="22"/>
                <w:szCs w:val="22"/>
              </w:rPr>
              <w:t>str.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-8</w:t>
            </w:r>
          </w:p>
        </w:tc>
        <w:tc>
          <w:tcPr>
            <w:tcW w:w="4678" w:type="dxa"/>
            <w:shd w:val="clear" w:color="auto" w:fill="auto"/>
          </w:tcPr>
          <w:p w:rsidR="00EB2A71" w:rsidRPr="00D93E3F" w:rsidRDefault="000153D5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93E3F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 xml:space="preserve">„Korzystając z jednego z popularnych ogólnodostępnych modeli językowych, </w:t>
            </w:r>
            <w:r w:rsidRPr="00D93E3F">
              <w:rPr>
                <w:rFonts w:asciiTheme="minorHAnsi" w:eastAsia="Aptos" w:hAnsiTheme="minorHAnsi" w:cstheme="minorHAnsi"/>
                <w:b/>
                <w:bCs/>
                <w:i/>
                <w:sz w:val="22"/>
                <w:szCs w:val="22"/>
              </w:rPr>
              <w:t>nie mamy kontroli nad danymi</w:t>
            </w:r>
            <w:r w:rsidRPr="00D93E3F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>, które są mu przekazywane.”</w:t>
            </w:r>
          </w:p>
          <w:p w:rsidR="00F74725" w:rsidRDefault="00F74725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>Pod rozwagę poddaję się nie skupianie się tylko na popularnych rozwiązaniach, bo ten rynek szybko się rozwija.</w:t>
            </w:r>
          </w:p>
          <w:p w:rsidR="000153D5" w:rsidRDefault="000153D5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153D5" w:rsidRDefault="000153D5" w:rsidP="000153D5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153D5">
              <w:rPr>
                <w:rFonts w:asciiTheme="minorHAnsi" w:hAnsiTheme="minorHAnsi" w:cstheme="minorHAnsi"/>
                <w:sz w:val="22"/>
                <w:szCs w:val="22"/>
              </w:rPr>
              <w:t xml:space="preserve">Zgodnie z Art. 2 pkt 1 Dyrektywy Parlamentu Europejskiego i Rady (UE) 2016/943 z dnia 8 czerwca 2016 r. w sprawie ochrony niejawnego know-how i niejawnych informacji handlowych (tajemnic przedsiębiorstwa) przed ich bezprawnym pozyskiwaniem, wykorzystywaniem i ujawnianiem pod pojęciem "tajemnica przedsiębiorstwa" rozumie się „informacje, które spełniają wszystkie następujące wymogi: a) są poufne w tym sensie, że jako całość lub w szczególnym zestawie i zbiorze ich elementów nie są ogólnie znane lub łatwo dostępne dla osób </w:t>
            </w:r>
            <w:r w:rsidR="00A938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153D5">
              <w:rPr>
                <w:rFonts w:asciiTheme="minorHAnsi" w:hAnsiTheme="minorHAnsi" w:cstheme="minorHAnsi"/>
                <w:sz w:val="22"/>
                <w:szCs w:val="22"/>
              </w:rPr>
              <w:t xml:space="preserve">z kręgów, które zwykle zajmują się tym rodzajem informacji; b) mają wartość handlową dlatego, że są objęte tajemnicą; c) poddane zostały przez osobę, która zgodnie z prawem sprawuje nad nimi kontrolę, rozsądnym, w danych okolicznościach, działaniom dla utrzymania ich </w:t>
            </w:r>
            <w:r w:rsidR="00A938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153D5">
              <w:rPr>
                <w:rFonts w:asciiTheme="minorHAnsi" w:hAnsiTheme="minorHAnsi" w:cstheme="minorHAnsi"/>
                <w:sz w:val="22"/>
                <w:szCs w:val="22"/>
              </w:rPr>
              <w:t xml:space="preserve">w tajemnicy”. </w:t>
            </w:r>
          </w:p>
          <w:p w:rsidR="000153D5" w:rsidRPr="000153D5" w:rsidRDefault="000153D5" w:rsidP="000153D5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153D5">
              <w:rPr>
                <w:rFonts w:asciiTheme="minorHAnsi" w:hAnsiTheme="minorHAnsi" w:cstheme="minorHAnsi"/>
                <w:sz w:val="22"/>
                <w:szCs w:val="22"/>
              </w:rPr>
              <w:t xml:space="preserve">Jest to zakres znacznie szerszy, niż zakres informacji opisanych w rekomendacjach, jako dane wymagające ochrony. </w:t>
            </w:r>
          </w:p>
          <w:p w:rsidR="000153D5" w:rsidRPr="000153D5" w:rsidRDefault="000153D5" w:rsidP="00145127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153D5">
              <w:rPr>
                <w:rFonts w:asciiTheme="minorHAnsi" w:hAnsiTheme="minorHAnsi" w:cstheme="minorHAnsi"/>
                <w:sz w:val="22"/>
                <w:szCs w:val="22"/>
              </w:rPr>
              <w:t xml:space="preserve">Tymczasem, podczas korzystania z rozwiązań </w:t>
            </w:r>
            <w:proofErr w:type="spellStart"/>
            <w:r w:rsidRPr="000153D5">
              <w:rPr>
                <w:rFonts w:asciiTheme="minorHAnsi" w:hAnsiTheme="minorHAnsi" w:cstheme="minorHAnsi"/>
                <w:sz w:val="22"/>
                <w:szCs w:val="22"/>
              </w:rPr>
              <w:t>GenAI</w:t>
            </w:r>
            <w:proofErr w:type="spellEnd"/>
            <w:r w:rsidRPr="000153D5">
              <w:rPr>
                <w:rFonts w:asciiTheme="minorHAnsi" w:hAnsiTheme="minorHAnsi" w:cstheme="minorHAnsi"/>
                <w:sz w:val="22"/>
                <w:szCs w:val="22"/>
              </w:rPr>
              <w:t xml:space="preserve"> może dość do przekazywania informacji </w:t>
            </w:r>
            <w:r w:rsidRPr="000153D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spełniających wymogi "tajemnicy przedsiębiorstwa" jako elementów zapytań. Nie musi to tylko dotyczyć informacji urzędowych będących w fazie przygotowawczej, jak wskazują to rekomendacje. </w:t>
            </w:r>
          </w:p>
          <w:p w:rsidR="000153D5" w:rsidRPr="00C13782" w:rsidRDefault="000153D5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74725" w:rsidRDefault="00F74725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Pod rozwagę modyfikacja na: „Korzystając </w:t>
            </w:r>
            <w:r w:rsidR="00A938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>z ogólnodostępnych modeli językowych….”</w:t>
            </w:r>
          </w:p>
          <w:p w:rsidR="00145127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5127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5127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5127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5127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5127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5127" w:rsidRPr="00145127" w:rsidRDefault="00145127" w:rsidP="00145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127">
              <w:rPr>
                <w:rFonts w:asciiTheme="minorHAnsi" w:hAnsiTheme="minorHAnsi" w:cstheme="minorHAnsi"/>
                <w:sz w:val="22"/>
                <w:szCs w:val="22"/>
              </w:rPr>
              <w:t xml:space="preserve">Wskazane jest, by rozszerzony został katalog informacji uznanych, za informacje istotne dla realizacji działań statutowych instytucji administracji publicznej, udostępniane bez ograniczeń pracownikom instytucji lub na podstawie porozumień o zachowaniu poufności, które powinny podlegać ochronie. </w:t>
            </w:r>
          </w:p>
          <w:p w:rsidR="00145127" w:rsidRPr="00145127" w:rsidRDefault="00145127" w:rsidP="00145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127">
              <w:rPr>
                <w:rFonts w:asciiTheme="minorHAnsi" w:hAnsiTheme="minorHAnsi" w:cstheme="minorHAnsi"/>
                <w:sz w:val="22"/>
                <w:szCs w:val="22"/>
              </w:rPr>
              <w:t xml:space="preserve">Brak jest także wskazania wymaganej prawem ochrony dla danych stanowiących dane referencyjne krajowych rejestrów, które są określone w odrębnych przepisach (w tym np. dane </w:t>
            </w:r>
            <w:r w:rsidR="00A938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45127">
              <w:rPr>
                <w:rFonts w:asciiTheme="minorHAnsi" w:hAnsiTheme="minorHAnsi" w:cstheme="minorHAnsi"/>
                <w:sz w:val="22"/>
                <w:szCs w:val="22"/>
              </w:rPr>
              <w:t>o kluczowym znaczeniu dla bezpieczeństwa publicznego).</w:t>
            </w:r>
          </w:p>
          <w:p w:rsidR="00145127" w:rsidRPr="00C13782" w:rsidRDefault="00145127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B2A71" w:rsidRPr="00A06425" w:rsidRDefault="00EB2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4725" w:rsidRPr="00A06425" w:rsidTr="00A06425">
        <w:tc>
          <w:tcPr>
            <w:tcW w:w="562" w:type="dxa"/>
            <w:shd w:val="clear" w:color="auto" w:fill="auto"/>
          </w:tcPr>
          <w:p w:rsidR="00F74725" w:rsidRPr="00A06425" w:rsidRDefault="00E01598" w:rsidP="00EB2A7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F74725" w:rsidRPr="00C13782" w:rsidRDefault="00F747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74725" w:rsidRPr="00C13782" w:rsidRDefault="00F74725" w:rsidP="00F747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>Halucynacje</w:t>
            </w:r>
          </w:p>
          <w:p w:rsidR="00F74725" w:rsidRPr="00E01598" w:rsidRDefault="00E01598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E01598">
              <w:rPr>
                <w:rFonts w:asciiTheme="minorHAnsi" w:hAnsiTheme="minorHAnsi" w:cstheme="minorHAnsi"/>
                <w:sz w:val="22"/>
                <w:szCs w:val="22"/>
              </w:rPr>
              <w:t>tr. 8</w:t>
            </w:r>
          </w:p>
          <w:p w:rsidR="00F74725" w:rsidRPr="00C13782" w:rsidRDefault="00F74725" w:rsidP="00F74725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</w:rPr>
            </w:pPr>
          </w:p>
          <w:p w:rsidR="00F74725" w:rsidRPr="00C13782" w:rsidRDefault="00F74725" w:rsidP="00F74725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</w:rPr>
            </w:pPr>
          </w:p>
          <w:p w:rsidR="00F74725" w:rsidRPr="00C13782" w:rsidRDefault="00F74725" w:rsidP="00F74725">
            <w:pPr>
              <w:spacing w:line="312" w:lineRule="auto"/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01598" w:rsidRPr="00E01598" w:rsidRDefault="00E01598" w:rsidP="00E01598">
            <w:pPr>
              <w:rPr>
                <w:rFonts w:asciiTheme="minorHAnsi" w:eastAsia="Aptos" w:hAnsiTheme="minorHAnsi" w:cstheme="minorHAnsi"/>
                <w:b/>
                <w:bCs/>
                <w:i/>
                <w:sz w:val="22"/>
                <w:szCs w:val="22"/>
              </w:rPr>
            </w:pPr>
            <w:r w:rsidRPr="00E01598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 xml:space="preserve">„Dlatego </w:t>
            </w:r>
            <w:r w:rsidRPr="00E01598">
              <w:rPr>
                <w:rFonts w:asciiTheme="minorHAnsi" w:eastAsia="Aptos" w:hAnsiTheme="minorHAnsi" w:cstheme="minorHAnsi"/>
                <w:b/>
                <w:bCs/>
                <w:i/>
                <w:sz w:val="22"/>
                <w:szCs w:val="22"/>
              </w:rPr>
              <w:t>zawsze należy weryfikować informacje uzyskane od modeli językowych.”</w:t>
            </w:r>
          </w:p>
          <w:p w:rsidR="00F74725" w:rsidRPr="00C13782" w:rsidRDefault="00F74725" w:rsidP="00F74725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 xml:space="preserve">Większość urzędów nie posiada specjalistów </w:t>
            </w:r>
            <w:r w:rsidR="00A938AC">
              <w:rPr>
                <w:rFonts w:cstheme="minorHAnsi"/>
                <w:sz w:val="22"/>
                <w:szCs w:val="22"/>
              </w:rPr>
              <w:br/>
            </w:r>
            <w:r w:rsidRPr="00C13782">
              <w:rPr>
                <w:rFonts w:cstheme="minorHAnsi"/>
                <w:sz w:val="22"/>
                <w:szCs w:val="22"/>
              </w:rPr>
              <w:t xml:space="preserve">w zakresie AI, więc będzie to zalecenie trudne do realizacji. Chyba, że zostanie administracji zalecone jakieś narzędzie do np. </w:t>
            </w:r>
            <w:proofErr w:type="spellStart"/>
            <w:r w:rsidRPr="00C13782">
              <w:rPr>
                <w:rFonts w:cstheme="minorHAnsi"/>
                <w:sz w:val="22"/>
                <w:szCs w:val="22"/>
              </w:rPr>
              <w:t>factchecingu</w:t>
            </w:r>
            <w:proofErr w:type="spellEnd"/>
            <w:r w:rsidRPr="00C13782">
              <w:rPr>
                <w:rFonts w:cstheme="minorHAnsi"/>
                <w:sz w:val="22"/>
                <w:szCs w:val="22"/>
              </w:rPr>
              <w:t>.</w:t>
            </w:r>
          </w:p>
          <w:p w:rsidR="00E01598" w:rsidRDefault="00E01598" w:rsidP="00F74725">
            <w:pPr>
              <w:pStyle w:val="Tekstkomentarza"/>
              <w:rPr>
                <w:rFonts w:cstheme="minorHAnsi"/>
                <w:sz w:val="22"/>
                <w:szCs w:val="22"/>
              </w:rPr>
            </w:pPr>
          </w:p>
          <w:p w:rsidR="00E01598" w:rsidRPr="00E01598" w:rsidRDefault="00E01598" w:rsidP="00F74725">
            <w:pPr>
              <w:pStyle w:val="Tekstkomentarza"/>
              <w:rPr>
                <w:rFonts w:cstheme="minorHAnsi"/>
                <w:b/>
                <w:i/>
                <w:sz w:val="22"/>
                <w:szCs w:val="22"/>
              </w:rPr>
            </w:pPr>
            <w:r w:rsidRPr="00E01598">
              <w:rPr>
                <w:rFonts w:cstheme="minorHAnsi"/>
                <w:b/>
                <w:i/>
                <w:sz w:val="22"/>
                <w:szCs w:val="22"/>
              </w:rPr>
              <w:t>„</w:t>
            </w:r>
            <w:r w:rsidRPr="00E01598">
              <w:rPr>
                <w:rFonts w:eastAsia="Aptos" w:cstheme="minorHAnsi"/>
                <w:i/>
                <w:sz w:val="22"/>
                <w:szCs w:val="22"/>
              </w:rPr>
              <w:t xml:space="preserve">Dlatego zawsze należy weryfikować materiały uzyskane z </w:t>
            </w:r>
            <w:proofErr w:type="spellStart"/>
            <w:r w:rsidRPr="00E01598">
              <w:rPr>
                <w:rFonts w:eastAsia="Aptos" w:cstheme="minorHAnsi"/>
                <w:i/>
                <w:sz w:val="22"/>
                <w:szCs w:val="22"/>
              </w:rPr>
              <w:t>GenAI</w:t>
            </w:r>
            <w:proofErr w:type="spellEnd"/>
            <w:r w:rsidRPr="00E01598">
              <w:rPr>
                <w:rFonts w:eastAsia="Aptos" w:cstheme="minorHAnsi"/>
                <w:i/>
                <w:sz w:val="22"/>
                <w:szCs w:val="22"/>
              </w:rPr>
              <w:t xml:space="preserve"> pod</w:t>
            </w:r>
            <w:r w:rsidRPr="00E01598">
              <w:rPr>
                <w:rFonts w:eastAsia="Aptos" w:cstheme="minorHAnsi"/>
                <w:b/>
                <w:i/>
                <w:sz w:val="22"/>
                <w:szCs w:val="22"/>
              </w:rPr>
              <w:t xml:space="preserve"> </w:t>
            </w:r>
            <w:r w:rsidRPr="00E01598">
              <w:rPr>
                <w:rFonts w:eastAsia="Aptos" w:cstheme="minorHAnsi"/>
                <w:b/>
                <w:bCs/>
                <w:i/>
                <w:sz w:val="22"/>
                <w:szCs w:val="22"/>
              </w:rPr>
              <w:t>względem ich reprezentatywności i bezstronności.”</w:t>
            </w:r>
          </w:p>
          <w:p w:rsidR="00F74725" w:rsidRPr="00C13782" w:rsidRDefault="00F74725" w:rsidP="00F74725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Fonts w:cstheme="minorHAnsi"/>
                <w:sz w:val="22"/>
                <w:szCs w:val="22"/>
              </w:rPr>
              <w:t>Pracownik na etapie stosowania może nawet nie być świadom tego, że wynik zapytania wyszedł stronniczy. Dlatego rozwiązania które zostaną zaproponowane pracownikom powinny zostać zweryfikowane przez specjalistów w dziedzinie AI.</w:t>
            </w:r>
          </w:p>
        </w:tc>
        <w:tc>
          <w:tcPr>
            <w:tcW w:w="5812" w:type="dxa"/>
            <w:shd w:val="clear" w:color="auto" w:fill="auto"/>
          </w:tcPr>
          <w:p w:rsidR="00F74725" w:rsidRPr="00C13782" w:rsidRDefault="00F747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74725" w:rsidRPr="00A06425" w:rsidRDefault="00F747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4725" w:rsidRPr="00A06425" w:rsidTr="00A06425">
        <w:tc>
          <w:tcPr>
            <w:tcW w:w="562" w:type="dxa"/>
            <w:shd w:val="clear" w:color="auto" w:fill="auto"/>
          </w:tcPr>
          <w:p w:rsidR="00F74725" w:rsidRPr="00A06425" w:rsidRDefault="00E01598" w:rsidP="00EB2A7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F74725" w:rsidRPr="00C13782" w:rsidRDefault="00F747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74725" w:rsidRPr="00C13782" w:rsidRDefault="00F74725" w:rsidP="00F747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Manipulacja </w:t>
            </w:r>
          </w:p>
          <w:p w:rsidR="00F74725" w:rsidRPr="00E01598" w:rsidRDefault="00E01598" w:rsidP="00F74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598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:rsidR="00F74725" w:rsidRPr="00C13782" w:rsidRDefault="00F74725" w:rsidP="00E0159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01598" w:rsidRPr="00E01598" w:rsidRDefault="00E01598" w:rsidP="00E01598">
            <w:pPr>
              <w:rPr>
                <w:rFonts w:asciiTheme="minorHAnsi" w:eastAsia="Aptos" w:hAnsiTheme="minorHAnsi" w:cstheme="minorHAnsi"/>
                <w:b/>
                <w:bCs/>
                <w:i/>
                <w:sz w:val="22"/>
                <w:szCs w:val="22"/>
              </w:rPr>
            </w:pPr>
            <w:r w:rsidRPr="00E01598">
              <w:rPr>
                <w:rFonts w:asciiTheme="minorHAnsi" w:eastAsia="Aptos" w:hAnsiTheme="minorHAnsi" w:cstheme="minorHAnsi"/>
                <w:i/>
                <w:sz w:val="22"/>
                <w:szCs w:val="22"/>
              </w:rPr>
              <w:t xml:space="preserve">„Dlatego zawsze należy weryfikować zgodność z oryginałem, nie przyczyniać się do rozpowszechniania dezinformacji i </w:t>
            </w:r>
            <w:r w:rsidRPr="00E01598">
              <w:rPr>
                <w:rFonts w:asciiTheme="minorHAnsi" w:eastAsia="Aptos" w:hAnsiTheme="minorHAnsi" w:cstheme="minorHAnsi"/>
                <w:b/>
                <w:bCs/>
                <w:i/>
                <w:sz w:val="22"/>
                <w:szCs w:val="22"/>
              </w:rPr>
              <w:t>oznaczać, że stworzone treści są wygenerowane za pomocą sztucznej inteligencji.”</w:t>
            </w:r>
          </w:p>
          <w:p w:rsidR="00D93E3F" w:rsidRDefault="00D93E3F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0D1B" w:rsidRDefault="00290D1B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>To zbyt ogólne zalecenia. Jakimi narzędziami na to być spra</w:t>
            </w:r>
            <w:r w:rsidR="00D93E3F">
              <w:rPr>
                <w:rFonts w:asciiTheme="minorHAnsi" w:hAnsiTheme="minorHAnsi" w:cstheme="minorHAnsi"/>
                <w:sz w:val="22"/>
                <w:szCs w:val="22"/>
              </w:rPr>
              <w:t>wdzane?</w:t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 xml:space="preserve"> Jak ma taki materiał być oznaczony? </w:t>
            </w:r>
            <w:r w:rsidR="00D93E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93E3F" w:rsidRPr="00C13782">
              <w:rPr>
                <w:rFonts w:asciiTheme="minorHAnsi" w:hAnsiTheme="minorHAnsi" w:cstheme="minorHAnsi"/>
                <w:sz w:val="22"/>
                <w:szCs w:val="22"/>
              </w:rPr>
              <w:t>owinno</w:t>
            </w:r>
            <w:r w:rsidR="00D93E3F">
              <w:rPr>
                <w:rFonts w:asciiTheme="minorHAnsi" w:hAnsiTheme="minorHAnsi" w:cstheme="minorHAnsi"/>
                <w:sz w:val="22"/>
                <w:szCs w:val="22"/>
              </w:rPr>
              <w:t xml:space="preserve"> to zostać określone</w:t>
            </w:r>
            <w:r w:rsidR="00D93E3F" w:rsidRPr="00C137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3E3F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>dgórnie</w:t>
            </w:r>
            <w:r w:rsidR="00D93E3F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 xml:space="preserve"> jednolicie </w:t>
            </w:r>
            <w:r w:rsidR="00D93E3F">
              <w:rPr>
                <w:rFonts w:asciiTheme="minorHAnsi" w:hAnsiTheme="minorHAnsi" w:cstheme="minorHAnsi"/>
                <w:sz w:val="22"/>
                <w:szCs w:val="22"/>
              </w:rPr>
              <w:t>w ramach administracji publicznej</w:t>
            </w:r>
            <w:r w:rsidRPr="00C13782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  <w:p w:rsidR="00D93E3F" w:rsidRPr="00C13782" w:rsidRDefault="00D93E3F" w:rsidP="00EB2A71">
            <w:pPr>
              <w:tabs>
                <w:tab w:val="left" w:pos="62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74725" w:rsidRPr="00C13782" w:rsidRDefault="00F747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74725" w:rsidRPr="00A06425" w:rsidRDefault="00F747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30C3" w:rsidRPr="0084529A" w:rsidTr="009A30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C3" w:rsidRPr="0084529A" w:rsidRDefault="009A30C3" w:rsidP="009A30C3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C3" w:rsidRPr="0084529A" w:rsidRDefault="009A30C3" w:rsidP="00D547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C3" w:rsidRPr="009A30C3" w:rsidRDefault="009A30C3" w:rsidP="009A30C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30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Rekomendacje użycia </w:t>
            </w:r>
            <w:proofErr w:type="spellStart"/>
            <w:r w:rsidRPr="009A30C3">
              <w:rPr>
                <w:rFonts w:asciiTheme="minorHAnsi" w:hAnsiTheme="minorHAnsi" w:cstheme="minorHAnsi"/>
                <w:b/>
                <w:sz w:val="22"/>
                <w:szCs w:val="22"/>
              </w:rPr>
              <w:t>GenAI</w:t>
            </w:r>
            <w:proofErr w:type="spellEnd"/>
            <w:r w:rsidRPr="009A30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</w:t>
            </w:r>
            <w:r w:rsidRPr="009A30C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zależności od modelu dostępu</w:t>
            </w:r>
          </w:p>
          <w:p w:rsidR="009A30C3" w:rsidRPr="009A30C3" w:rsidRDefault="009A30C3" w:rsidP="009A30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9A30C3">
              <w:rPr>
                <w:rFonts w:asciiTheme="minorHAnsi" w:hAnsiTheme="minorHAnsi" w:cstheme="minorHAnsi"/>
                <w:sz w:val="22"/>
                <w:szCs w:val="22"/>
              </w:rPr>
              <w:t>tr. 9</w:t>
            </w:r>
            <w:r w:rsidR="00326277">
              <w:rPr>
                <w:rFonts w:asciiTheme="minorHAnsi" w:hAnsiTheme="minorHAnsi" w:cstheme="minorHAnsi"/>
                <w:sz w:val="22"/>
                <w:szCs w:val="22"/>
              </w:rPr>
              <w:t>-10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27D" w:rsidRPr="0081427D" w:rsidRDefault="0081427D" w:rsidP="0081427D">
            <w:pPr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lastRenderedPageBreak/>
              <w:t>Proponuje się rekomendować rozwiązania  on-</w:t>
            </w:r>
            <w:proofErr w:type="spellStart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>premise</w:t>
            </w:r>
            <w:proofErr w:type="spellEnd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  (wdrożenia lokalne). Ewentualny dostęp do chmury z dedykowanym dostępem będzie </w:t>
            </w:r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lastRenderedPageBreak/>
              <w:t xml:space="preserve">możliwy na zasadach i warunkach określonych </w:t>
            </w:r>
            <w:r w:rsidR="00A938AC">
              <w:rPr>
                <w:rFonts w:asciiTheme="minorHAnsi" w:eastAsia="Aptos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w Standardach </w:t>
            </w:r>
            <w:proofErr w:type="spellStart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 Chmur Obliczeniowych (SCOO) v.1.00.</w:t>
            </w:r>
          </w:p>
          <w:p w:rsidR="0081427D" w:rsidRPr="0081427D" w:rsidRDefault="0081427D" w:rsidP="0081427D">
            <w:pPr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Komercyjne usługi </w:t>
            </w:r>
            <w:proofErr w:type="spellStart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>GenAI</w:t>
            </w:r>
            <w:proofErr w:type="spellEnd"/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 w chmurze bez dedykowanego dostępu stanowią zagrożenie udostępniania poufnych danych ze względu na specyfikę korzystania z tego typu narzędzi, zgodnie z uwa</w:t>
            </w:r>
            <w:r w:rsidR="008848AC">
              <w:rPr>
                <w:rFonts w:asciiTheme="minorHAnsi" w:eastAsia="Aptos" w:hAnsiTheme="minorHAnsi" w:cstheme="minorHAnsi"/>
                <w:sz w:val="22"/>
                <w:szCs w:val="22"/>
              </w:rPr>
              <w:t>gą pkt 2</w:t>
            </w:r>
            <w:r w:rsidRPr="0081427D">
              <w:rPr>
                <w:rFonts w:asciiTheme="minorHAnsi" w:eastAsia="Aptos" w:hAnsiTheme="minorHAnsi" w:cstheme="minorHAnsi"/>
                <w:sz w:val="22"/>
                <w:szCs w:val="22"/>
              </w:rPr>
              <w:t>.</w:t>
            </w:r>
          </w:p>
          <w:p w:rsidR="009A30C3" w:rsidRPr="009A30C3" w:rsidRDefault="009A30C3" w:rsidP="009A30C3">
            <w:pPr>
              <w:rPr>
                <w:rFonts w:asciiTheme="minorHAnsi" w:eastAsia="Aptos" w:hAnsiTheme="minorHAnsi" w:cstheme="minorHAnsi"/>
                <w:i/>
                <w:sz w:val="22"/>
                <w:szCs w:val="22"/>
              </w:rPr>
            </w:pPr>
          </w:p>
          <w:p w:rsidR="009A30C3" w:rsidRPr="009A30C3" w:rsidRDefault="009A30C3" w:rsidP="00C7513C">
            <w:pPr>
              <w:rPr>
                <w:rFonts w:asciiTheme="minorHAnsi" w:eastAsia="Aptos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C3" w:rsidRPr="0084529A" w:rsidRDefault="009A30C3" w:rsidP="00D547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C3" w:rsidRPr="0084529A" w:rsidRDefault="009A30C3" w:rsidP="00D547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AA3" w:rsidRPr="0084529A" w:rsidTr="00245A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84529A" w:rsidRDefault="00245AA3" w:rsidP="00245AA3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84529A" w:rsidRDefault="00245AA3" w:rsidP="00245A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245AA3" w:rsidRDefault="00245AA3" w:rsidP="00245AA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AA3">
              <w:rPr>
                <w:rFonts w:asciiTheme="minorHAnsi" w:hAnsiTheme="minorHAnsi" w:cstheme="minorHAnsi"/>
                <w:b/>
                <w:sz w:val="22"/>
                <w:szCs w:val="22"/>
              </w:rPr>
              <w:t>Rozdział: „</w:t>
            </w:r>
            <w:proofErr w:type="spellStart"/>
            <w:r w:rsidRPr="00245AA3">
              <w:rPr>
                <w:rFonts w:asciiTheme="minorHAnsi" w:hAnsiTheme="minorHAnsi" w:cstheme="minorHAnsi"/>
                <w:b/>
                <w:sz w:val="22"/>
                <w:szCs w:val="22"/>
              </w:rPr>
              <w:t>Cyberbezpieczeństwo</w:t>
            </w:r>
            <w:proofErr w:type="spellEnd"/>
            <w:r w:rsidRPr="00245AA3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  <w:p w:rsidR="00245AA3" w:rsidRPr="00245AA3" w:rsidRDefault="00245AA3" w:rsidP="00245AA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45AA3" w:rsidRPr="00245AA3" w:rsidRDefault="00245AA3" w:rsidP="00245A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245AA3">
              <w:rPr>
                <w:rFonts w:asciiTheme="minorHAnsi" w:hAnsiTheme="minorHAnsi" w:cstheme="minorHAnsi"/>
                <w:sz w:val="22"/>
                <w:szCs w:val="22"/>
              </w:rPr>
              <w:t>tr.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245AA3" w:rsidRDefault="00245AA3" w:rsidP="00245AA3">
            <w:pPr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245AA3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Proponuje się rozważenie dopisania do punktu 2 w celu informacyjnym również innych ataków ukierunkowanych na AI i LLM opisanych przez organizacje Mitre.org zajmującą się </w:t>
            </w:r>
            <w:proofErr w:type="spellStart"/>
            <w:r w:rsidRPr="00245AA3">
              <w:rPr>
                <w:rFonts w:asciiTheme="minorHAnsi" w:eastAsia="Aptos" w:hAnsiTheme="minorHAnsi" w:cstheme="minorHAnsi"/>
                <w:sz w:val="22"/>
                <w:szCs w:val="22"/>
              </w:rPr>
              <w:t>cyberbezpieczeństwem</w:t>
            </w:r>
            <w:proofErr w:type="spellEnd"/>
            <w:r w:rsidRPr="00245AA3">
              <w:rPr>
                <w:rFonts w:asciiTheme="minorHAnsi" w:eastAsia="Aptos" w:hAnsiTheme="minorHAnsi" w:cstheme="minorHAnsi"/>
                <w:sz w:val="22"/>
                <w:szCs w:val="22"/>
              </w:rPr>
              <w:t>, albo wskazanie poniższego źródła. Matryca: https://atlas.mitre.org/matrices/ATLAS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84529A" w:rsidRDefault="00245AA3" w:rsidP="00245AA3">
            <w:pPr>
              <w:pStyle w:val="NormalnyWeb"/>
              <w:spacing w:before="0" w:beforeAutospacing="0" w:after="0" w:afterAutospacing="0"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sz w:val="22"/>
                <w:szCs w:val="22"/>
              </w:rPr>
              <w:t xml:space="preserve">Środowisko modelu powinno być zabezpieczone w celu uniemożliwienia ataków typu </w:t>
            </w:r>
            <w:proofErr w:type="spellStart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reverse</w:t>
            </w:r>
            <w:proofErr w:type="spellEnd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-engineering, data-</w:t>
            </w:r>
            <w:proofErr w:type="spellStart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poisoning</w:t>
            </w:r>
            <w:proofErr w:type="spellEnd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 xml:space="preserve"> czy </w:t>
            </w:r>
            <w:proofErr w:type="spellStart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DDoS</w:t>
            </w:r>
            <w:proofErr w:type="spellEnd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 xml:space="preserve">, także ataków ukierunkowanych na LLM opisanych przez organizację Mitre.org </w:t>
            </w:r>
            <w:hyperlink r:id="rId7" w:history="1">
              <w:r w:rsidRPr="00245AA3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https://atlas.mitre.org/matrices/ATLAS</w:t>
              </w:r>
            </w:hyperlink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. </w:t>
            </w:r>
          </w:p>
          <w:p w:rsidR="00245AA3" w:rsidRPr="0084529A" w:rsidRDefault="00245AA3" w:rsidP="00245A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A3" w:rsidRPr="0084529A" w:rsidRDefault="00245AA3" w:rsidP="00245A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0D1B" w:rsidRPr="00A06425" w:rsidTr="00A06425">
        <w:tc>
          <w:tcPr>
            <w:tcW w:w="562" w:type="dxa"/>
            <w:shd w:val="clear" w:color="auto" w:fill="auto"/>
          </w:tcPr>
          <w:p w:rsidR="00290D1B" w:rsidRDefault="00245AA3" w:rsidP="00EB2A7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134" w:type="dxa"/>
            <w:shd w:val="clear" w:color="auto" w:fill="auto"/>
          </w:tcPr>
          <w:p w:rsidR="00290D1B" w:rsidRPr="00C13782" w:rsidRDefault="00290D1B" w:rsidP="00290D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290D1B" w:rsidRPr="00245AA3" w:rsidRDefault="00290D1B" w:rsidP="00290D1B">
            <w:pPr>
              <w:pStyle w:val="Nagwek2"/>
              <w:spacing w:before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245AA3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>System godny zaufania</w:t>
            </w:r>
          </w:p>
          <w:p w:rsidR="00290D1B" w:rsidRPr="00D61BA3" w:rsidRDefault="00D61BA3" w:rsidP="00290D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1BA3">
              <w:rPr>
                <w:rFonts w:asciiTheme="minorHAnsi" w:hAnsiTheme="minorHAnsi" w:cstheme="minorHAnsi"/>
                <w:sz w:val="22"/>
                <w:szCs w:val="22"/>
              </w:rPr>
              <w:t>str. 12</w:t>
            </w:r>
          </w:p>
          <w:p w:rsidR="00290D1B" w:rsidRPr="00C13782" w:rsidRDefault="00290D1B" w:rsidP="00290D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90D1B" w:rsidRPr="00C13782" w:rsidRDefault="00290D1B" w:rsidP="00290D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90D1B" w:rsidRPr="00C13782" w:rsidRDefault="00D61BA3" w:rsidP="00290D1B">
            <w:pPr>
              <w:pStyle w:val="Tekstkomentarza"/>
              <w:rPr>
                <w:rStyle w:val="Odwoaniedokomentarza"/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Użyto sformułowania „</w:t>
            </w:r>
            <w:proofErr w:type="spellStart"/>
            <w:r w:rsidRPr="00C13782">
              <w:rPr>
                <w:rFonts w:cstheme="minorHAnsi"/>
                <w:sz w:val="22"/>
                <w:szCs w:val="22"/>
              </w:rPr>
              <w:t>user</w:t>
            </w:r>
            <w:proofErr w:type="spellEnd"/>
            <w:r w:rsidRPr="00C13782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C13782">
              <w:rPr>
                <w:rFonts w:cstheme="minorHAnsi"/>
                <w:sz w:val="22"/>
                <w:szCs w:val="22"/>
              </w:rPr>
              <w:t>experience</w:t>
            </w:r>
            <w:proofErr w:type="spellEnd"/>
            <w:r>
              <w:rPr>
                <w:rFonts w:cstheme="minorHAnsi"/>
                <w:sz w:val="22"/>
                <w:szCs w:val="22"/>
              </w:rPr>
              <w:t>”.</w:t>
            </w:r>
          </w:p>
          <w:p w:rsidR="00290D1B" w:rsidRPr="00C13782" w:rsidRDefault="00290D1B" w:rsidP="00290D1B">
            <w:pPr>
              <w:pStyle w:val="Tekstkomentarza"/>
              <w:rPr>
                <w:rStyle w:val="Odwoaniedokomentarza"/>
                <w:rFonts w:cstheme="minorHAnsi"/>
                <w:sz w:val="22"/>
                <w:szCs w:val="22"/>
              </w:rPr>
            </w:pPr>
            <w:r w:rsidRPr="00C13782">
              <w:rPr>
                <w:rStyle w:val="Odwoaniedokomentarza"/>
                <w:rFonts w:cstheme="minorHAnsi"/>
                <w:sz w:val="22"/>
                <w:szCs w:val="22"/>
              </w:rPr>
              <w:t xml:space="preserve">Do wyjaśnienia – urzędowym językiem jest j. polski a nie j. angielski </w:t>
            </w:r>
          </w:p>
        </w:tc>
        <w:tc>
          <w:tcPr>
            <w:tcW w:w="5812" w:type="dxa"/>
            <w:shd w:val="clear" w:color="auto" w:fill="auto"/>
          </w:tcPr>
          <w:p w:rsidR="00290D1B" w:rsidRPr="00C13782" w:rsidRDefault="00290D1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90D1B" w:rsidRPr="00A06425" w:rsidRDefault="00290D1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AA3" w:rsidRPr="0084529A" w:rsidTr="00245A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84529A" w:rsidRDefault="00245AA3" w:rsidP="00245AA3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84529A" w:rsidRDefault="00245AA3" w:rsidP="00245AA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245AA3" w:rsidRDefault="00245AA3" w:rsidP="00245AA3">
            <w:pPr>
              <w:pStyle w:val="Nagwek2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245AA3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>Rozdział „Rekomendacje technologiczne”</w:t>
            </w:r>
          </w:p>
          <w:p w:rsidR="00245AA3" w:rsidRPr="00245AA3" w:rsidRDefault="00245AA3" w:rsidP="00245AA3">
            <w:pPr>
              <w:pStyle w:val="Nagwek2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</w:p>
          <w:p w:rsidR="00245AA3" w:rsidRPr="00245AA3" w:rsidRDefault="00245AA3" w:rsidP="00245AA3">
            <w:pPr>
              <w:pStyle w:val="Nagwek2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245AA3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Str.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Default="00245AA3" w:rsidP="00245AA3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84529A">
              <w:rPr>
                <w:rFonts w:cstheme="minorHAnsi"/>
                <w:sz w:val="22"/>
                <w:szCs w:val="22"/>
              </w:rPr>
              <w:t>Proponuje się dodanie zalecenia stosowania modeli z popularnych i uznanych w środowisku open-</w:t>
            </w:r>
            <w:proofErr w:type="spellStart"/>
            <w:r w:rsidRPr="0084529A">
              <w:rPr>
                <w:rFonts w:cstheme="minorHAnsi"/>
                <w:sz w:val="22"/>
                <w:szCs w:val="22"/>
              </w:rPr>
              <w:t>source</w:t>
            </w:r>
            <w:proofErr w:type="spellEnd"/>
            <w:r w:rsidRPr="0084529A">
              <w:rPr>
                <w:rFonts w:cstheme="minorHAnsi"/>
                <w:sz w:val="22"/>
                <w:szCs w:val="22"/>
              </w:rPr>
              <w:t xml:space="preserve"> źródeł (np. Ollama.com,  pllum.org.pl itp.)</w:t>
            </w:r>
            <w:r>
              <w:rPr>
                <w:rFonts w:cstheme="minorHAnsi"/>
                <w:sz w:val="22"/>
                <w:szCs w:val="22"/>
              </w:rPr>
              <w:t>.</w:t>
            </w:r>
            <w:r w:rsidRPr="0084529A">
              <w:rPr>
                <w:rFonts w:cstheme="minorHAnsi"/>
                <w:sz w:val="22"/>
                <w:szCs w:val="22"/>
              </w:rPr>
              <w:t xml:space="preserve"> Modele przygotowane przez twórców o niskiej reputacji lub </w:t>
            </w:r>
            <w:proofErr w:type="spellStart"/>
            <w:r w:rsidRPr="0084529A">
              <w:rPr>
                <w:rFonts w:cstheme="minorHAnsi"/>
                <w:sz w:val="22"/>
                <w:szCs w:val="22"/>
              </w:rPr>
              <w:t>cyerprzestepców</w:t>
            </w:r>
            <w:proofErr w:type="spellEnd"/>
            <w:r w:rsidRPr="0084529A">
              <w:rPr>
                <w:rFonts w:cstheme="minorHAnsi"/>
                <w:sz w:val="22"/>
                <w:szCs w:val="22"/>
              </w:rPr>
              <w:t xml:space="preserve"> mogą propagować dezinformację lub generować niecenzuralne treści.</w:t>
            </w:r>
          </w:p>
          <w:p w:rsidR="00245AA3" w:rsidRPr="0084529A" w:rsidRDefault="00245AA3" w:rsidP="00245AA3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C13782">
              <w:rPr>
                <w:rStyle w:val="Odwoaniedokomentarza"/>
                <w:rFonts w:cstheme="minorHAnsi"/>
                <w:sz w:val="22"/>
                <w:szCs w:val="22"/>
              </w:rPr>
              <w:t>Do wyjaśnienia</w:t>
            </w:r>
            <w:r>
              <w:rPr>
                <w:rStyle w:val="Odwoaniedokomentarza"/>
                <w:rFonts w:cstheme="minorHAnsi"/>
                <w:sz w:val="22"/>
                <w:szCs w:val="22"/>
              </w:rPr>
              <w:t xml:space="preserve"> pojęcia użyte w języku angielskim </w:t>
            </w:r>
            <w:r w:rsidRPr="00C13782">
              <w:rPr>
                <w:rStyle w:val="Odwoaniedokomentarza"/>
                <w:rFonts w:cstheme="minorHAnsi"/>
                <w:sz w:val="22"/>
                <w:szCs w:val="22"/>
              </w:rPr>
              <w:t xml:space="preserve"> </w:t>
            </w:r>
            <w:r w:rsidR="00A372B6">
              <w:rPr>
                <w:rStyle w:val="Odwoaniedokomentarza"/>
                <w:rFonts w:cstheme="minorHAnsi"/>
                <w:sz w:val="22"/>
                <w:szCs w:val="22"/>
              </w:rPr>
              <w:t>(</w:t>
            </w:r>
            <w:proofErr w:type="spellStart"/>
            <w:r w:rsidR="00A372B6" w:rsidRPr="00C13782">
              <w:rPr>
                <w:rFonts w:cstheme="minorHAnsi"/>
                <w:sz w:val="22"/>
                <w:szCs w:val="22"/>
              </w:rPr>
              <w:t>glass-box</w:t>
            </w:r>
            <w:proofErr w:type="spellEnd"/>
            <w:r w:rsidR="00A372B6">
              <w:rPr>
                <w:rFonts w:cstheme="minorHAnsi"/>
                <w:sz w:val="22"/>
                <w:szCs w:val="22"/>
              </w:rPr>
              <w:t>,</w:t>
            </w:r>
            <w:r w:rsidR="00A372B6" w:rsidRPr="00C13782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A372B6" w:rsidRPr="00C13782">
              <w:rPr>
                <w:rFonts w:cstheme="minorHAnsi"/>
                <w:sz w:val="22"/>
                <w:szCs w:val="22"/>
              </w:rPr>
              <w:t>black-box</w:t>
            </w:r>
            <w:proofErr w:type="spellEnd"/>
            <w:r w:rsidR="00A372B6">
              <w:rPr>
                <w:rFonts w:cstheme="minorHAnsi"/>
                <w:sz w:val="22"/>
                <w:szCs w:val="22"/>
              </w:rPr>
              <w:t>)</w:t>
            </w:r>
            <w:r w:rsidR="00A372B6" w:rsidRPr="00C13782">
              <w:rPr>
                <w:rStyle w:val="Odwoaniedokomentarza"/>
                <w:rFonts w:cstheme="minorHAnsi"/>
                <w:sz w:val="22"/>
                <w:szCs w:val="22"/>
              </w:rPr>
              <w:t xml:space="preserve"> </w:t>
            </w:r>
            <w:r w:rsidRPr="00C13782">
              <w:rPr>
                <w:rStyle w:val="Odwoaniedokomentarza"/>
                <w:rFonts w:cstheme="minorHAnsi"/>
                <w:sz w:val="22"/>
                <w:szCs w:val="22"/>
              </w:rPr>
              <w:t>– urzędowym językiem jest j. polski a nie j. angielski</w:t>
            </w:r>
            <w:r>
              <w:rPr>
                <w:rStyle w:val="Odwoaniedokomentarza"/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A3" w:rsidRPr="0084529A" w:rsidRDefault="00245AA3" w:rsidP="00245AA3">
            <w:pPr>
              <w:pStyle w:val="NormalnyWeb"/>
              <w:spacing w:before="0" w:beforeAutospacing="0" w:after="0" w:afterAutospacing="0"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„Należy używać modeli na licencji typu open-</w:t>
            </w:r>
            <w:proofErr w:type="spellStart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source</w:t>
            </w:r>
            <w:proofErr w:type="spellEnd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 xml:space="preserve"> zamiast technologii zamkniętych, przy czym należy używać modeli z popularnych i uznanych w społeczności open-</w:t>
            </w:r>
            <w:proofErr w:type="spellStart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>source</w:t>
            </w:r>
            <w:proofErr w:type="spellEnd"/>
            <w:r w:rsidRPr="0084529A">
              <w:rPr>
                <w:rFonts w:asciiTheme="minorHAnsi" w:hAnsiTheme="minorHAnsi" w:cstheme="minorHAnsi"/>
                <w:sz w:val="22"/>
                <w:szCs w:val="22"/>
              </w:rPr>
              <w:t xml:space="preserve"> źródeł.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A3" w:rsidRPr="0084529A" w:rsidRDefault="00245AA3" w:rsidP="00245A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32F9D"/>
    <w:multiLevelType w:val="hybridMultilevel"/>
    <w:tmpl w:val="AEAA3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EB4"/>
    <w:multiLevelType w:val="multilevel"/>
    <w:tmpl w:val="FC54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2B19C0"/>
    <w:multiLevelType w:val="hybridMultilevel"/>
    <w:tmpl w:val="3BDA8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61169"/>
    <w:multiLevelType w:val="multilevel"/>
    <w:tmpl w:val="3A9E24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7B2412"/>
    <w:multiLevelType w:val="hybridMultilevel"/>
    <w:tmpl w:val="EE641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3D5"/>
    <w:rsid w:val="00034258"/>
    <w:rsid w:val="00082B24"/>
    <w:rsid w:val="00140BE8"/>
    <w:rsid w:val="00145127"/>
    <w:rsid w:val="0019648E"/>
    <w:rsid w:val="001F17F7"/>
    <w:rsid w:val="00245AA3"/>
    <w:rsid w:val="002715B2"/>
    <w:rsid w:val="00290D1B"/>
    <w:rsid w:val="003124D1"/>
    <w:rsid w:val="00326277"/>
    <w:rsid w:val="00342512"/>
    <w:rsid w:val="003B4105"/>
    <w:rsid w:val="00470831"/>
    <w:rsid w:val="004D086F"/>
    <w:rsid w:val="00553049"/>
    <w:rsid w:val="0055532D"/>
    <w:rsid w:val="005F6527"/>
    <w:rsid w:val="00606F84"/>
    <w:rsid w:val="00664356"/>
    <w:rsid w:val="006705EC"/>
    <w:rsid w:val="00686071"/>
    <w:rsid w:val="006A3238"/>
    <w:rsid w:val="006E16E9"/>
    <w:rsid w:val="007A7212"/>
    <w:rsid w:val="00807385"/>
    <w:rsid w:val="0081427D"/>
    <w:rsid w:val="008848AC"/>
    <w:rsid w:val="00944932"/>
    <w:rsid w:val="009A30C3"/>
    <w:rsid w:val="009E5FDB"/>
    <w:rsid w:val="00A06425"/>
    <w:rsid w:val="00A372B6"/>
    <w:rsid w:val="00A83792"/>
    <w:rsid w:val="00A938AC"/>
    <w:rsid w:val="00AC7796"/>
    <w:rsid w:val="00AD54CC"/>
    <w:rsid w:val="00B871B6"/>
    <w:rsid w:val="00B93B45"/>
    <w:rsid w:val="00C13782"/>
    <w:rsid w:val="00C64B1B"/>
    <w:rsid w:val="00C70E2D"/>
    <w:rsid w:val="00C7513C"/>
    <w:rsid w:val="00CD5EB0"/>
    <w:rsid w:val="00D54795"/>
    <w:rsid w:val="00D61BA3"/>
    <w:rsid w:val="00D93E3F"/>
    <w:rsid w:val="00DC61D0"/>
    <w:rsid w:val="00E01598"/>
    <w:rsid w:val="00E14C33"/>
    <w:rsid w:val="00E50E97"/>
    <w:rsid w:val="00EB2A71"/>
    <w:rsid w:val="00F64D62"/>
    <w:rsid w:val="00F7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A71"/>
    <w:pPr>
      <w:keepNext/>
      <w:keepLines/>
      <w:spacing w:before="240" w:line="27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2A71"/>
    <w:pPr>
      <w:keepNext/>
      <w:keepLines/>
      <w:spacing w:before="40" w:line="27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A7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A71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EB2A71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EB2A7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EB2A7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B2A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290D1B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9A30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5A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tlas.mitre.org/matrices/ATL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baza-wiedzy/cyberbezpieczenstwo" TargetMode="External"/><Relationship Id="rId5" Type="http://schemas.openxmlformats.org/officeDocument/2006/relationships/hyperlink" Target="https://www.gov.pl/web/krmc/projekt-dokumentu-zawierajacego-rekomendacje-uzycia-generatywnej-sztucznej-inteligencji-w-urzedac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Małż Jolanta</cp:lastModifiedBy>
  <cp:revision>30</cp:revision>
  <dcterms:created xsi:type="dcterms:W3CDTF">2024-08-01T11:03:00Z</dcterms:created>
  <dcterms:modified xsi:type="dcterms:W3CDTF">2024-08-02T05:41:00Z</dcterms:modified>
</cp:coreProperties>
</file>