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395FC2D6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29C25C11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1948D5C3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EF4B465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3D76098A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7A13D99E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6690817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0A7C956E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2DAE45E4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7112BA">
        <w:rPr>
          <w:rFonts w:ascii="Arial" w:hAnsi="Arial" w:cs="Arial"/>
          <w:b/>
          <w:color w:val="339966"/>
          <w:sz w:val="20"/>
          <w:szCs w:val="20"/>
        </w:rPr>
        <w:t>10, 11 lub 12</w:t>
      </w:r>
      <w:r w:rsidR="007112BA" w:rsidRPr="00B267BF">
        <w:rPr>
          <w:rFonts w:ascii="Arial" w:hAnsi="Arial" w:cs="Arial"/>
          <w:b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b/>
          <w:color w:val="339966"/>
          <w:sz w:val="20"/>
          <w:szCs w:val="20"/>
        </w:rPr>
        <w:t>wybranych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3B175487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proofErr w:type="gramStart"/>
      <w:r w:rsidR="0026036E" w:rsidRPr="005677F4">
        <w:rPr>
          <w:rFonts w:ascii="Arial-BoldMT" w:hAnsi="Arial-BoldMT" w:cs="Arial-BoldMT"/>
          <w:bCs/>
          <w:sz w:val="16"/>
          <w:szCs w:val="16"/>
        </w:rPr>
        <w:t>…….</w:t>
      </w:r>
      <w:proofErr w:type="gramEnd"/>
      <w:r w:rsidR="0026036E" w:rsidRPr="005677F4">
        <w:rPr>
          <w:rFonts w:ascii="Arial-BoldMT" w:hAnsi="Arial-BoldMT" w:cs="Arial-BoldMT"/>
          <w:bCs/>
          <w:sz w:val="16"/>
          <w:szCs w:val="16"/>
        </w:rPr>
        <w:t>………….………..…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09129D4E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>
        <w:rPr>
          <w:rFonts w:ascii="Arial-BoldMT" w:hAnsi="Arial-BoldMT" w:cs="Arial-BoldMT"/>
          <w:bCs/>
          <w:color w:val="339966"/>
          <w:sz w:val="14"/>
          <w:szCs w:val="14"/>
        </w:rPr>
        <w:t>10, 11 lub 12</w:t>
      </w:r>
      <w:r w:rsidR="00B267BF"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1525D7DF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5B690A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</w:t>
      </w:r>
      <w:proofErr w:type="gramStart"/>
      <w:r w:rsidR="0026036E" w:rsidRPr="005677F4">
        <w:rPr>
          <w:sz w:val="16"/>
          <w:szCs w:val="16"/>
        </w:rPr>
        <w:t>...</w:t>
      </w:r>
      <w:r w:rsidR="0026036E" w:rsidRPr="005677F4">
        <w:rPr>
          <w:rFonts w:cs="Times New Roman"/>
          <w:sz w:val="16"/>
          <w:szCs w:val="16"/>
        </w:rPr>
        <w:t>….</w:t>
      </w:r>
      <w:proofErr w:type="gramEnd"/>
      <w:r w:rsidR="0026036E" w:rsidRPr="005677F4">
        <w:rPr>
          <w:rFonts w:cs="Times New Roman"/>
          <w:sz w:val="16"/>
          <w:szCs w:val="16"/>
        </w:rPr>
        <w:t>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……………………………</w:t>
      </w:r>
      <w:r w:rsidR="0026036E" w:rsidRPr="005677F4">
        <w:rPr>
          <w:sz w:val="16"/>
          <w:szCs w:val="16"/>
        </w:rPr>
        <w:t>……..</w:t>
      </w:r>
    </w:p>
    <w:p w14:paraId="4F9103EE" w14:textId="196808F9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 w:rsidRPr="007112BA">
        <w:rPr>
          <w:rFonts w:ascii="Arial-BoldMT" w:hAnsi="Arial-BoldMT" w:cs="Arial-BoldMT"/>
          <w:bCs/>
          <w:color w:val="339966"/>
          <w:sz w:val="14"/>
          <w:szCs w:val="14"/>
        </w:rPr>
        <w:t xml:space="preserve">10, 11 lub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21F3BB08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519B8F7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A9EE376" w14:textId="4C455F1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marchwi (o masie netto co </w:t>
            </w:r>
            <w:proofErr w:type="gramStart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najmniej  90</w:t>
            </w:r>
            <w:proofErr w:type="gramEnd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g)</w:t>
            </w:r>
          </w:p>
        </w:tc>
        <w:tc>
          <w:tcPr>
            <w:tcW w:w="1701" w:type="dxa"/>
            <w:vAlign w:val="center"/>
          </w:tcPr>
          <w:p w14:paraId="44468247" w14:textId="049FF93E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6000C857" w14:textId="0829606C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3664B8B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280352" w14:textId="511042F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D3C9935" w:rsidR="00D162E5" w:rsidRPr="008D6110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A3F5C37" w14:textId="78CE73A5" w:rsidR="00D162E5" w:rsidRPr="008D6110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77777777" w:rsidR="00D162E5" w:rsidRPr="008D6110" w:rsidRDefault="00D05D0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77777777" w:rsidR="00D162E5" w:rsidRPr="008D6110" w:rsidRDefault="007D3719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1E9B4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458BF990" w14:textId="06ED613E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5BB833A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4ED36C1" w14:textId="1315CD65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2B155697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4675620D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7EDB1201" w:rsidR="00204576" w:rsidRPr="008D6110" w:rsidDel="00204576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C15A514" w14:textId="203F55B5" w:rsidR="00204576" w:rsidRPr="008D6110" w:rsidDel="00204576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2F9B1A0E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20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A87C42">
        <w:rPr>
          <w:rFonts w:ascii="Arial" w:hAnsi="Arial" w:cs="Arial"/>
          <w:i/>
          <w:color w:val="339966"/>
          <w:sz w:val="18"/>
          <w:szCs w:val="18"/>
        </w:rPr>
        <w:t>444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późn.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1668F4AE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677F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495956C9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04046ED0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677F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33E3A9DC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11-29FE-42B5-932A-86E8BFD8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12</cp:revision>
  <cp:lastPrinted>2019-06-28T12:38:00Z</cp:lastPrinted>
  <dcterms:created xsi:type="dcterms:W3CDTF">2021-12-16T13:45:00Z</dcterms:created>
  <dcterms:modified xsi:type="dcterms:W3CDTF">2022-03-02T10:01:00Z</dcterms:modified>
</cp:coreProperties>
</file>