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6E396" w14:textId="3A8B8C8E" w:rsidR="008927DE" w:rsidRPr="008927DE" w:rsidRDefault="008927DE" w:rsidP="003134C3">
      <w:pPr>
        <w:outlineLvl w:val="0"/>
        <w:rPr>
          <w:i/>
        </w:rPr>
      </w:pPr>
    </w:p>
    <w:p w14:paraId="2905DAFE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37"/>
        <w:gridCol w:w="1548"/>
        <w:gridCol w:w="9072"/>
      </w:tblGrid>
      <w:tr w:rsidR="007A0A3D" w:rsidRPr="002450C4" w14:paraId="694E5636" w14:textId="77777777" w:rsidTr="00941340">
        <w:tc>
          <w:tcPr>
            <w:tcW w:w="437" w:type="dxa"/>
          </w:tcPr>
          <w:p w14:paraId="60AF128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48" w:type="dxa"/>
          </w:tcPr>
          <w:p w14:paraId="376666C3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9072" w:type="dxa"/>
          </w:tcPr>
          <w:p w14:paraId="6E8116A3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7DA9B85E" w14:textId="77777777" w:rsidTr="00941340">
        <w:tc>
          <w:tcPr>
            <w:tcW w:w="437" w:type="dxa"/>
          </w:tcPr>
          <w:p w14:paraId="7D4E3E2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3DB2D3D4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9072" w:type="dxa"/>
          </w:tcPr>
          <w:p w14:paraId="10754376" w14:textId="101F11E0" w:rsidR="007A0A3D" w:rsidRPr="002450C4" w:rsidRDefault="00CB45DD" w:rsidP="0092099A">
            <w:pPr>
              <w:jc w:val="both"/>
              <w:rPr>
                <w:i/>
                <w:sz w:val="18"/>
                <w:szCs w:val="20"/>
              </w:rPr>
            </w:pPr>
            <w:r w:rsidRPr="008B2E01">
              <w:rPr>
                <w:b/>
                <w:bCs/>
                <w:i/>
                <w:sz w:val="18"/>
                <w:szCs w:val="20"/>
              </w:rPr>
              <w:t>Digitalizacja zasobów będących w posiadaniu Polskiego Wydawnictwa Muzycznego</w:t>
            </w:r>
            <w:r w:rsidR="004B2BFF">
              <w:rPr>
                <w:b/>
                <w:bCs/>
                <w:i/>
                <w:sz w:val="18"/>
                <w:szCs w:val="20"/>
              </w:rPr>
              <w:t xml:space="preserve"> - </w:t>
            </w:r>
            <w:r>
              <w:rPr>
                <w:b/>
                <w:bCs/>
                <w:i/>
                <w:sz w:val="18"/>
                <w:szCs w:val="20"/>
              </w:rPr>
              <w:t>kontynuacja</w:t>
            </w:r>
          </w:p>
        </w:tc>
      </w:tr>
      <w:tr w:rsidR="007A0A3D" w:rsidRPr="002450C4" w14:paraId="30956182" w14:textId="77777777" w:rsidTr="00941340">
        <w:trPr>
          <w:trHeight w:val="265"/>
        </w:trPr>
        <w:tc>
          <w:tcPr>
            <w:tcW w:w="437" w:type="dxa"/>
          </w:tcPr>
          <w:p w14:paraId="7312D852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3501AA77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9072" w:type="dxa"/>
          </w:tcPr>
          <w:p w14:paraId="1BF567A2" w14:textId="251EB0A3" w:rsidR="001C611C" w:rsidRPr="00A1534B" w:rsidRDefault="00CB45DD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Polskie Wydawnictwo Muzyczne</w:t>
            </w:r>
          </w:p>
        </w:tc>
      </w:tr>
      <w:tr w:rsidR="007A0A3D" w:rsidRPr="002450C4" w14:paraId="488BAC33" w14:textId="77777777" w:rsidTr="00941340">
        <w:tc>
          <w:tcPr>
            <w:tcW w:w="437" w:type="dxa"/>
          </w:tcPr>
          <w:p w14:paraId="6DCA7FC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0C950768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9072" w:type="dxa"/>
          </w:tcPr>
          <w:p w14:paraId="4C49DC0D" w14:textId="079946EC" w:rsidR="007A0A3D" w:rsidRPr="002450C4" w:rsidRDefault="00CB45DD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Nie dotyczy</w:t>
            </w:r>
            <w:r w:rsidR="00A1534B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3B107D" w:rsidRPr="002450C4" w14:paraId="7A3672C0" w14:textId="77777777" w:rsidTr="00941340">
        <w:tc>
          <w:tcPr>
            <w:tcW w:w="437" w:type="dxa"/>
          </w:tcPr>
          <w:p w14:paraId="3159F353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62D885FA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9072" w:type="dxa"/>
          </w:tcPr>
          <w:p w14:paraId="3147EA1F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Pierwotny planowany koszt realizacji projektu:</w:t>
            </w:r>
          </w:p>
          <w:p w14:paraId="2EED7723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Ogółem: 10 914 058,88 zł;</w:t>
            </w:r>
          </w:p>
          <w:p w14:paraId="67004551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Kwalifikowane: 9 869 651,78 zł;</w:t>
            </w:r>
          </w:p>
          <w:p w14:paraId="107018D5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Dofinansowanie: 8 352 570,63 zł</w:t>
            </w:r>
          </w:p>
          <w:p w14:paraId="37756624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</w:p>
          <w:p w14:paraId="2DDC46D9" w14:textId="77777777" w:rsidR="00E35FEA" w:rsidRDefault="00E35FEA" w:rsidP="00E35FEA">
            <w:pPr>
              <w:jc w:val="both"/>
              <w:rPr>
                <w:bCs/>
                <w:color w:val="000000"/>
              </w:rPr>
            </w:pPr>
            <w:r w:rsidRPr="001612D5">
              <w:rPr>
                <w:bCs/>
                <w:color w:val="000000"/>
                <w:sz w:val="18"/>
                <w:szCs w:val="18"/>
              </w:rPr>
              <w:t>Ostatni planowany koszt realizacji projektu</w:t>
            </w:r>
            <w:r>
              <w:rPr>
                <w:bCs/>
                <w:color w:val="000000"/>
              </w:rPr>
              <w:t>:</w:t>
            </w:r>
          </w:p>
          <w:p w14:paraId="7696CF84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Ogółem: 11 534 171,29 zł;</w:t>
            </w:r>
          </w:p>
          <w:p w14:paraId="12A3EF3F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Kwalifikowane: 10 395 758,95 zł;</w:t>
            </w:r>
          </w:p>
          <w:p w14:paraId="361DF3C4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Dofinansowanie: 8 797 815,16 zł</w:t>
            </w:r>
          </w:p>
          <w:p w14:paraId="361D82AA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</w:p>
          <w:p w14:paraId="252A9325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Faktyczny koszt projektu:</w:t>
            </w:r>
          </w:p>
          <w:p w14:paraId="6D5BAEAE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Ogółem: 11 555 927,18 zł;</w:t>
            </w:r>
          </w:p>
          <w:p w14:paraId="71494AE9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Kwalifikowane: 10 384 602,84 zł</w:t>
            </w:r>
          </w:p>
          <w:p w14:paraId="23CBB6AC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Dofinansowanie: 8 788 489,17 zł</w:t>
            </w:r>
          </w:p>
          <w:p w14:paraId="592B98DC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</w:p>
          <w:p w14:paraId="7894087C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Odchylenia od pierwotnego planu finansowego:</w:t>
            </w:r>
          </w:p>
          <w:p w14:paraId="621671B5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Ogółem: </w:t>
            </w:r>
            <w:r w:rsidRPr="00734F1D">
              <w:rPr>
                <w:i/>
                <w:sz w:val="18"/>
                <w:szCs w:val="20"/>
              </w:rPr>
              <w:t>641 868,30</w:t>
            </w:r>
            <w:r>
              <w:rPr>
                <w:i/>
                <w:sz w:val="18"/>
                <w:szCs w:val="20"/>
              </w:rPr>
              <w:t xml:space="preserve"> zł</w:t>
            </w:r>
          </w:p>
          <w:p w14:paraId="121525EB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Kwalifikowane:</w:t>
            </w:r>
            <w:r>
              <w:t xml:space="preserve"> </w:t>
            </w:r>
            <w:r w:rsidRPr="00734F1D">
              <w:rPr>
                <w:i/>
                <w:sz w:val="18"/>
                <w:szCs w:val="20"/>
              </w:rPr>
              <w:t>514 951,06</w:t>
            </w:r>
            <w:r>
              <w:rPr>
                <w:i/>
                <w:sz w:val="18"/>
                <w:szCs w:val="20"/>
              </w:rPr>
              <w:t xml:space="preserve"> zł</w:t>
            </w:r>
          </w:p>
          <w:p w14:paraId="505C50D5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Dofinansowanie:</w:t>
            </w:r>
            <w:r>
              <w:t xml:space="preserve"> </w:t>
            </w:r>
            <w:r w:rsidRPr="00734F1D">
              <w:rPr>
                <w:i/>
                <w:sz w:val="18"/>
                <w:szCs w:val="20"/>
              </w:rPr>
              <w:t>435 918,54</w:t>
            </w:r>
            <w:r>
              <w:rPr>
                <w:i/>
                <w:sz w:val="18"/>
                <w:szCs w:val="20"/>
              </w:rPr>
              <w:t xml:space="preserve"> zł</w:t>
            </w:r>
          </w:p>
          <w:p w14:paraId="0095D885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</w:p>
          <w:p w14:paraId="0FA01154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Odchylenia wynikają z wydłużenia czasu realizacji projektu. Pierwotnie zakończenie projektu przewidywane było na 04.06.2023, następnie przedłużono do 30 września 2023r. bez zwiększania kosztów. Zgoda na wydłużenie projektu do 31.12.2023 wiązało się z finansowaniem o 3 m-ce pracowników bezpośrednio i pośrednio związanych z realizacją zadań digitalizacyjnych.    </w:t>
            </w:r>
          </w:p>
          <w:p w14:paraId="0AC58109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</w:p>
          <w:p w14:paraId="55F3FA1E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Odchylenia od ostatniego planowanego kosztu realizacji projektu:</w:t>
            </w:r>
          </w:p>
          <w:p w14:paraId="0BCF29CE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Ogółem: 21 755,89 zł</w:t>
            </w:r>
          </w:p>
          <w:p w14:paraId="258377FD" w14:textId="77777777" w:rsidR="00E35FEA" w:rsidRPr="008B4E62" w:rsidRDefault="00E35FEA" w:rsidP="00E35FEA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20"/>
              </w:rPr>
              <w:t>Kwalifikowane:</w:t>
            </w:r>
            <w:r>
              <w:t xml:space="preserve"> </w:t>
            </w:r>
            <w:r w:rsidRPr="008B4E62">
              <w:rPr>
                <w:sz w:val="18"/>
                <w:szCs w:val="18"/>
              </w:rPr>
              <w:t>11 156,11 zł</w:t>
            </w:r>
          </w:p>
          <w:p w14:paraId="3F9EE892" w14:textId="77777777" w:rsidR="00E35FEA" w:rsidRDefault="00E35FEA" w:rsidP="00E35FEA">
            <w:pPr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20"/>
              </w:rPr>
              <w:t>Dofinansowanie:</w:t>
            </w:r>
            <w:r>
              <w:t xml:space="preserve"> </w:t>
            </w:r>
            <w:r w:rsidRPr="008B4E62">
              <w:rPr>
                <w:sz w:val="18"/>
                <w:szCs w:val="18"/>
              </w:rPr>
              <w:t>9 325,99 zł</w:t>
            </w:r>
          </w:p>
          <w:p w14:paraId="4E4D03B4" w14:textId="77777777" w:rsidR="00E35FEA" w:rsidRDefault="00E35FEA" w:rsidP="00E35FEA">
            <w:pPr>
              <w:jc w:val="both"/>
              <w:rPr>
                <w:i/>
                <w:sz w:val="18"/>
                <w:szCs w:val="18"/>
              </w:rPr>
            </w:pPr>
          </w:p>
          <w:p w14:paraId="7B93E1FC" w14:textId="77777777" w:rsidR="00E35FEA" w:rsidRDefault="00E35FEA" w:rsidP="00E35FEA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Oszczędności w wydatkach kwalifikowanych wyniosły: 11 156,11 zł i zostały wygenerowane na::</w:t>
            </w:r>
          </w:p>
          <w:p w14:paraId="73517954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Zad. 3.15 usłudze redakcyjnej materiałów poddawanych digitalizacji -oszczędność w kwocie: 5 027,73 zł.  Wykonawcy zaproponowali korzystniejsze ceny niż przewidziane w planie, co skutkowało powyższą oszczędnością.</w:t>
            </w:r>
          </w:p>
          <w:p w14:paraId="2AA2FA68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</w:p>
          <w:p w14:paraId="6F8E92C3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Zad. 7.3 wynagrodzeniach pracowników wykonujących zadania bezpośrednio związane z głównymi celami i produktami projektu-specjalista-redaktor encyklopedii- oszczędność w kwocie: 5 723,20 zł z powodu ze zwolnień lekarskich pracowników </w:t>
            </w:r>
          </w:p>
          <w:p w14:paraId="4BA12B84" w14:textId="77777777" w:rsidR="00E35FEA" w:rsidRPr="001612D5" w:rsidRDefault="00E35FEA" w:rsidP="00E35FEA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20"/>
              </w:rPr>
              <w:t xml:space="preserve">Zad. 8.5 informacji i promocji-naklejki, tablice, tabliczki -  oszczędność w kwocie: 853,95 zł, </w:t>
            </w:r>
            <w:r w:rsidRPr="001612D5">
              <w:rPr>
                <w:sz w:val="18"/>
                <w:szCs w:val="18"/>
              </w:rPr>
              <w:t xml:space="preserve">wyniku wyboru najkorzystniejszej oferty </w:t>
            </w:r>
            <w:r>
              <w:rPr>
                <w:sz w:val="18"/>
                <w:szCs w:val="18"/>
              </w:rPr>
              <w:t>na podstawie par. 15 ust. 1 Regulaminu planowania, zasad organizacji i udzielania zamówień publicznych w wartości poniżej kwoty 130 000,00 zł obowiązującego w PWM z dn. 26.07.2022</w:t>
            </w:r>
          </w:p>
          <w:p w14:paraId="010F375B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</w:p>
          <w:p w14:paraId="3FCB4DB7" w14:textId="77777777" w:rsidR="00E35FEA" w:rsidRPr="005F48BC" w:rsidRDefault="00E35FEA" w:rsidP="00E35FEA">
            <w:pPr>
              <w:pStyle w:val="Other0"/>
              <w:rPr>
                <w:b/>
                <w:bCs/>
                <w:i/>
                <w:iCs/>
              </w:rPr>
            </w:pPr>
            <w:r>
              <w:rPr>
                <w:i/>
                <w:szCs w:val="20"/>
              </w:rPr>
              <w:t xml:space="preserve"> </w:t>
            </w:r>
            <w:r w:rsidRPr="005F48BC">
              <w:rPr>
                <w:b/>
                <w:bCs/>
                <w:i/>
                <w:iCs/>
              </w:rPr>
              <w:t>Poziom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 realizacji</w:t>
            </w:r>
            <w:r w:rsidRPr="005F48BC">
              <w:rPr>
                <w:b/>
                <w:bCs/>
                <w:i/>
                <w:iCs/>
              </w:rPr>
              <w:t xml:space="preserve"> kosztów </w:t>
            </w:r>
            <w:r>
              <w:rPr>
                <w:b/>
                <w:bCs/>
                <w:i/>
                <w:iCs/>
              </w:rPr>
              <w:t xml:space="preserve">kwalifikowanych </w:t>
            </w:r>
            <w:r w:rsidRPr="005F48BC">
              <w:rPr>
                <w:b/>
                <w:bCs/>
                <w:i/>
                <w:iCs/>
              </w:rPr>
              <w:t xml:space="preserve">w stosunku do </w:t>
            </w:r>
            <w:r>
              <w:rPr>
                <w:b/>
                <w:bCs/>
                <w:i/>
                <w:iCs/>
              </w:rPr>
              <w:t xml:space="preserve">ostatniego </w:t>
            </w:r>
            <w:r w:rsidRPr="005F48BC">
              <w:rPr>
                <w:b/>
                <w:bCs/>
                <w:i/>
                <w:iCs/>
              </w:rPr>
              <w:t>planu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: </w:t>
            </w:r>
            <w:r>
              <w:rPr>
                <w:b/>
                <w:bCs/>
                <w:i/>
                <w:iCs/>
                <w:color w:val="000000"/>
              </w:rPr>
              <w:t>99,89 %</w:t>
            </w:r>
          </w:p>
          <w:p w14:paraId="75712D09" w14:textId="77777777" w:rsidR="00E35FEA" w:rsidRDefault="00E35FEA" w:rsidP="00E35FEA">
            <w:pPr>
              <w:jc w:val="both"/>
              <w:rPr>
                <w:i/>
                <w:sz w:val="18"/>
                <w:szCs w:val="20"/>
              </w:rPr>
            </w:pPr>
          </w:p>
          <w:p w14:paraId="11D9A97C" w14:textId="77777777" w:rsidR="00E35FEA" w:rsidRDefault="00E35FEA" w:rsidP="00E35FEA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</w:t>
            </w:r>
            <w:r>
              <w:rPr>
                <w:b/>
                <w:bCs/>
                <w:iCs/>
              </w:rPr>
              <w:t>h na W</w:t>
            </w:r>
            <w:r w:rsidRPr="005F48BC">
              <w:rPr>
                <w:b/>
                <w:bCs/>
                <w:iCs/>
              </w:rPr>
              <w:t>ykonawców</w:t>
            </w:r>
            <w:r>
              <w:rPr>
                <w:b/>
                <w:bCs/>
                <w:iCs/>
              </w:rPr>
              <w:t>: 0 zł</w:t>
            </w:r>
          </w:p>
          <w:p w14:paraId="6647AD39" w14:textId="77777777" w:rsidR="00E35FEA" w:rsidRPr="003C746F" w:rsidRDefault="00E35FEA" w:rsidP="00E35FEA">
            <w:pPr>
              <w:pStyle w:val="Other0"/>
              <w:rPr>
                <w:b/>
              </w:rPr>
            </w:pPr>
            <w:r w:rsidRPr="000736F7">
              <w:rPr>
                <w:b/>
              </w:rPr>
              <w:t>Wyjaśnienie</w:t>
            </w:r>
            <w:r>
              <w:rPr>
                <w:b/>
              </w:rPr>
              <w:t>: nie dotyczy</w:t>
            </w:r>
          </w:p>
          <w:p w14:paraId="66CD3FDE" w14:textId="77777777" w:rsidR="00E35FEA" w:rsidRDefault="00E35FEA" w:rsidP="00E35FEA">
            <w:pPr>
              <w:pStyle w:val="Other0"/>
              <w:rPr>
                <w:b/>
                <w:bCs/>
                <w:i/>
                <w:iCs/>
              </w:rPr>
            </w:pPr>
          </w:p>
          <w:p w14:paraId="6B181185" w14:textId="77777777" w:rsidR="00E35FEA" w:rsidRPr="0077732B" w:rsidRDefault="00E35FEA" w:rsidP="00E35FEA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nałożonych na Beneficjenta:</w:t>
            </w:r>
            <w:r>
              <w:rPr>
                <w:b/>
                <w:bCs/>
                <w:iCs/>
              </w:rPr>
              <w:t xml:space="preserve"> 0 zł</w:t>
            </w:r>
          </w:p>
          <w:p w14:paraId="15650E69" w14:textId="77777777" w:rsidR="00E35FEA" w:rsidRDefault="00E35FEA" w:rsidP="00E35FEA">
            <w:pPr>
              <w:pStyle w:val="Other0"/>
              <w:rPr>
                <w:b/>
              </w:rPr>
            </w:pPr>
            <w:r w:rsidRPr="000736F7">
              <w:rPr>
                <w:b/>
              </w:rPr>
              <w:t>Wyjaśnienie:</w:t>
            </w:r>
            <w:r>
              <w:rPr>
                <w:b/>
              </w:rPr>
              <w:t xml:space="preserve"> nie dotyczy</w:t>
            </w:r>
          </w:p>
          <w:p w14:paraId="60E6859E" w14:textId="77777777" w:rsidR="00E35FEA" w:rsidRDefault="00E35FEA" w:rsidP="00E35FEA">
            <w:pPr>
              <w:pStyle w:val="Other0"/>
              <w:rPr>
                <w:b/>
              </w:rPr>
            </w:pPr>
          </w:p>
          <w:p w14:paraId="06A0F670" w14:textId="77777777" w:rsidR="00E35FEA" w:rsidRPr="00A45C48" w:rsidRDefault="00E35FEA" w:rsidP="00E35FEA">
            <w:pPr>
              <w:pStyle w:val="Other0"/>
            </w:pPr>
            <w:r>
              <w:rPr>
                <w:b/>
                <w:bCs/>
                <w:color w:val="000000"/>
              </w:rPr>
              <w:t xml:space="preserve">Zakontraktowana wartość dofinansowania:  ogółem kwalifikowane: </w:t>
            </w:r>
            <w:r w:rsidRPr="00A45C48">
              <w:rPr>
                <w:b/>
                <w:bCs/>
                <w:i/>
                <w:szCs w:val="20"/>
              </w:rPr>
              <w:t>10 384 602,84 zł</w:t>
            </w:r>
            <w:r>
              <w:rPr>
                <w:i/>
                <w:szCs w:val="20"/>
              </w:rPr>
              <w:t xml:space="preserve">  (Planowana kwota kwalifikowana </w:t>
            </w:r>
            <w:r w:rsidRPr="00A45C48">
              <w:rPr>
                <w:color w:val="000000"/>
              </w:rPr>
              <w:t>10 395 758,95 zł -oszczędności 11 156,11 zł)</w:t>
            </w:r>
          </w:p>
          <w:p w14:paraId="681AD9B6" w14:textId="77777777" w:rsidR="00E35FEA" w:rsidRPr="00F579F0" w:rsidRDefault="00E35FEA" w:rsidP="00E35FEA">
            <w:pPr>
              <w:pStyle w:val="Other0"/>
              <w:rPr>
                <w:b/>
                <w:i/>
              </w:rPr>
            </w:pPr>
            <w:r w:rsidRPr="005F48BC">
              <w:rPr>
                <w:b/>
                <w:i/>
              </w:rPr>
              <w:t xml:space="preserve">Poziom certyfikacji w odniesieniu do zakontraktowanej wartości dofinansowania: </w:t>
            </w:r>
          </w:p>
          <w:p w14:paraId="25FD1C61" w14:textId="7D47259A" w:rsidR="003B107D" w:rsidRPr="002450C4" w:rsidRDefault="00E35FEA" w:rsidP="00195B5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Kwota zatwierdzonych wniosków o płatność: 9 424 822,92 zł</w:t>
            </w:r>
            <w:r w:rsidR="00C00A8D">
              <w:rPr>
                <w:i/>
                <w:sz w:val="18"/>
                <w:szCs w:val="20"/>
              </w:rPr>
              <w:t xml:space="preserve">. </w:t>
            </w:r>
            <w:r w:rsidR="00CC1284">
              <w:rPr>
                <w:iCs/>
                <w:sz w:val="18"/>
                <w:szCs w:val="20"/>
              </w:rPr>
              <w:t xml:space="preserve">Zatwierdzone wnioski o płatność/zakontraktowana wartość dofinansowania * 100% = </w:t>
            </w:r>
            <w:r w:rsidR="00CC1284" w:rsidRPr="00345594">
              <w:rPr>
                <w:iCs/>
                <w:sz w:val="18"/>
                <w:szCs w:val="20"/>
              </w:rPr>
              <w:t>9 424 822,92</w:t>
            </w:r>
            <w:r w:rsidR="00CC1284">
              <w:rPr>
                <w:iCs/>
                <w:sz w:val="18"/>
                <w:szCs w:val="20"/>
              </w:rPr>
              <w:t>/</w:t>
            </w:r>
            <w:r w:rsidR="00CC1284" w:rsidRPr="00345594">
              <w:rPr>
                <w:iCs/>
                <w:sz w:val="18"/>
                <w:szCs w:val="20"/>
              </w:rPr>
              <w:t>10 384 602,84</w:t>
            </w:r>
            <w:r w:rsidR="00CC1284">
              <w:rPr>
                <w:iCs/>
                <w:sz w:val="18"/>
                <w:szCs w:val="20"/>
              </w:rPr>
              <w:t xml:space="preserve"> *100% = 90,76%</w:t>
            </w:r>
          </w:p>
        </w:tc>
      </w:tr>
      <w:tr w:rsidR="007A0A3D" w:rsidRPr="002450C4" w14:paraId="7F8A4FE2" w14:textId="77777777" w:rsidTr="00941340">
        <w:tc>
          <w:tcPr>
            <w:tcW w:w="437" w:type="dxa"/>
          </w:tcPr>
          <w:p w14:paraId="15DD34D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62404CE8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9072" w:type="dxa"/>
          </w:tcPr>
          <w:p w14:paraId="6AC53FD2" w14:textId="2202A089" w:rsidR="00F579F0" w:rsidRPr="00850976" w:rsidRDefault="00F579F0" w:rsidP="00F579F0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="00B77856">
              <w:rPr>
                <w:bCs/>
                <w:color w:val="000000"/>
              </w:rPr>
              <w:t>02.2020</w:t>
            </w:r>
          </w:p>
          <w:p w14:paraId="2C2E447D" w14:textId="5627AE07" w:rsidR="00F579F0" w:rsidRPr="00850976" w:rsidRDefault="00F579F0" w:rsidP="00F579F0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="00EC4C99">
              <w:rPr>
                <w:bCs/>
                <w:color w:val="000000"/>
              </w:rPr>
              <w:t>5.06.202</w:t>
            </w:r>
            <w:r w:rsidR="00077AC5">
              <w:rPr>
                <w:bCs/>
                <w:color w:val="000000"/>
              </w:rPr>
              <w:t>0</w:t>
            </w:r>
          </w:p>
          <w:p w14:paraId="06064A27" w14:textId="6AD137D7" w:rsidR="00F579F0" w:rsidRDefault="00F579F0" w:rsidP="00F579F0">
            <w:pPr>
              <w:pStyle w:val="Other0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="00EC4C99">
              <w:rPr>
                <w:b/>
                <w:bCs/>
                <w:color w:val="000000"/>
              </w:rPr>
              <w:t>5.06.2023</w:t>
            </w:r>
          </w:p>
          <w:p w14:paraId="3A576C5F" w14:textId="7717780A" w:rsidR="00F579F0" w:rsidRPr="00850976" w:rsidRDefault="00F579F0" w:rsidP="00F579F0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="00B77856">
              <w:rPr>
                <w:bCs/>
                <w:color w:val="000000"/>
              </w:rPr>
              <w:t>02.2023</w:t>
            </w:r>
          </w:p>
          <w:p w14:paraId="46E546D0" w14:textId="05A2318B" w:rsidR="00F579F0" w:rsidRPr="00850976" w:rsidRDefault="00F579F0" w:rsidP="00F579F0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="00077AC5">
              <w:rPr>
                <w:bCs/>
                <w:color w:val="000000"/>
              </w:rPr>
              <w:t>31</w:t>
            </w:r>
            <w:r w:rsidR="00EC4C99">
              <w:rPr>
                <w:bCs/>
                <w:color w:val="000000"/>
              </w:rPr>
              <w:t>.</w:t>
            </w:r>
            <w:r w:rsidR="00077AC5">
              <w:rPr>
                <w:bCs/>
                <w:color w:val="000000"/>
              </w:rPr>
              <w:t>12</w:t>
            </w:r>
            <w:r w:rsidR="00EC4C99">
              <w:rPr>
                <w:bCs/>
                <w:color w:val="000000"/>
              </w:rPr>
              <w:t>.2023</w:t>
            </w:r>
          </w:p>
          <w:p w14:paraId="65BEBC67" w14:textId="348FE7FD" w:rsidR="00F579F0" w:rsidRPr="00EC4C99" w:rsidRDefault="00F579F0" w:rsidP="00F579F0">
            <w:pPr>
              <w:pStyle w:val="Other0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Faktyczna data zakończenia realizacji projektu:</w:t>
            </w:r>
            <w:r w:rsidRPr="00EC4C99">
              <w:rPr>
                <w:b/>
                <w:bCs/>
                <w:color w:val="000000"/>
              </w:rPr>
              <w:t xml:space="preserve"> </w:t>
            </w:r>
            <w:r w:rsidR="00EC4C99" w:rsidRPr="00EC4C99">
              <w:rPr>
                <w:b/>
                <w:bCs/>
                <w:color w:val="000000"/>
              </w:rPr>
              <w:t>31</w:t>
            </w:r>
            <w:r w:rsidR="00EC4C99" w:rsidRPr="00EC4C99">
              <w:rPr>
                <w:b/>
                <w:color w:val="000000"/>
              </w:rPr>
              <w:t>.12.2023</w:t>
            </w:r>
          </w:p>
          <w:p w14:paraId="1F8FCD57" w14:textId="098D92FB" w:rsidR="00F579F0" w:rsidRDefault="00F579F0" w:rsidP="00B0071E">
            <w:pPr>
              <w:jc w:val="both"/>
              <w:rPr>
                <w:i/>
                <w:sz w:val="18"/>
                <w:szCs w:val="20"/>
              </w:rPr>
            </w:pPr>
          </w:p>
          <w:p w14:paraId="06318929" w14:textId="772E52FB" w:rsidR="007C6FC7" w:rsidRDefault="00F579F0" w:rsidP="00F579F0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Przyczyną zmiany terminu zakończenia realizacji projektu w stosunku do pierwotnego planu jest:</w:t>
            </w:r>
          </w:p>
          <w:p w14:paraId="609A7360" w14:textId="58AE3E48" w:rsidR="007C6FC7" w:rsidRDefault="00D0784F" w:rsidP="00D0784F">
            <w:pPr>
              <w:pStyle w:val="Other0"/>
              <w:jc w:val="both"/>
              <w:rPr>
                <w:b/>
                <w:bCs/>
                <w:color w:val="000000"/>
              </w:rPr>
            </w:pPr>
            <w:r>
              <w:t>Konieczność dostosowania się do Rozporządzenia Ministra Zdrowia z dnia 13 marca 2020 r. w sprawie ogłoszenia na obszarze Rzeczypospolitej Polskiej stanu zagrożenia epidemicznego oraz Ustawą z dnia 4 kwietnia 2019 r. o dostępności cyfrowej Beneficjent, Polskie Wydawnictwo Muzyczne, zwróciło się z prośbą do Centrum Projektów Polska Cyfrowa o zgodę na wydłużenie czasu realizacji założeń do 30.09.2023 r. Zgodnie z rozporządzeniem Rady Ministrów w październiku 2020 roku wprowadzone zostały liczne ograniczenia, w tym zamknięcie wielu placówek i miejsc publicznych. Równie rygorystyczne obostrzenia pojawiły się w marcu 2021 roku, podczas trzeciej fali pandemii.</w:t>
            </w:r>
          </w:p>
          <w:p w14:paraId="174C6574" w14:textId="77777777" w:rsidR="00F579F0" w:rsidRPr="00EC4C99" w:rsidRDefault="00F579F0" w:rsidP="00B0071E">
            <w:pPr>
              <w:jc w:val="both"/>
              <w:rPr>
                <w:iCs/>
                <w:sz w:val="18"/>
                <w:szCs w:val="20"/>
              </w:rPr>
            </w:pPr>
          </w:p>
          <w:p w14:paraId="0689A71B" w14:textId="614E9AA6" w:rsidR="00B0071E" w:rsidRDefault="00B0071E" w:rsidP="00B0071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Okres realizacji projektu według umowy o dofinansowanie: 05.06.2020 – 04.06.2023</w:t>
            </w:r>
          </w:p>
          <w:p w14:paraId="69DC5B85" w14:textId="029A6F5C" w:rsidR="00B0071E" w:rsidRDefault="00B0071E" w:rsidP="00B0071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Okres realizacji projektu : 05.06.2020 – 31.12.2023</w:t>
            </w:r>
          </w:p>
          <w:p w14:paraId="6F83026B" w14:textId="198AA4F7" w:rsidR="00261660" w:rsidRDefault="00261660" w:rsidP="0026166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W projekcie osiągnięto wszystkie zaplanowane kamienie milowe. Opóźnienia w realizacji kamieni milowych związane były </w:t>
            </w:r>
            <w:r w:rsidR="007F14EA">
              <w:rPr>
                <w:i/>
                <w:sz w:val="18"/>
                <w:szCs w:val="20"/>
              </w:rPr>
              <w:br/>
            </w:r>
            <w:r>
              <w:rPr>
                <w:i/>
                <w:sz w:val="18"/>
                <w:szCs w:val="20"/>
              </w:rPr>
              <w:t xml:space="preserve">z procedurami zamówień publicznych  i problemami z wyborem Wykonawców zadań, jednak nie miały one wpływu na terminową i prawidłowa realizację projektu.  Ze względu na sytuację epidemiologiczną w kraju i obostrzenia, które trwały podczas realizacji projektu, ostateczny termin jego zakończenia został przesunięty o </w:t>
            </w:r>
            <w:r w:rsidR="00A256DA">
              <w:rPr>
                <w:i/>
                <w:sz w:val="18"/>
                <w:szCs w:val="20"/>
              </w:rPr>
              <w:t xml:space="preserve">niespełna </w:t>
            </w:r>
            <w:r>
              <w:rPr>
                <w:i/>
                <w:sz w:val="18"/>
                <w:szCs w:val="20"/>
              </w:rPr>
              <w:t xml:space="preserve">7 miesięcy. </w:t>
            </w:r>
          </w:p>
          <w:p w14:paraId="48C2B67A" w14:textId="70DF46D3" w:rsidR="00F579F0" w:rsidRDefault="00F579F0" w:rsidP="00261660">
            <w:pPr>
              <w:jc w:val="both"/>
              <w:rPr>
                <w:i/>
                <w:sz w:val="18"/>
                <w:szCs w:val="20"/>
              </w:rPr>
            </w:pPr>
          </w:p>
          <w:p w14:paraId="498E0269" w14:textId="77777777" w:rsidR="00F579F0" w:rsidRDefault="00F579F0" w:rsidP="00F579F0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Wszystkie zadania w projekcie zostały zrealizowane zgodnie z planowanym zakresem. Status realizacji zadań na zakończenie projektu:</w:t>
            </w:r>
          </w:p>
          <w:p w14:paraId="23B45F73" w14:textId="77777777" w:rsidR="004B2BFF" w:rsidRDefault="004B2BFF" w:rsidP="00F579F0">
            <w:pPr>
              <w:pStyle w:val="Other0"/>
              <w:rPr>
                <w:b/>
                <w:bCs/>
                <w:color w:val="000000"/>
              </w:rPr>
            </w:pPr>
          </w:p>
          <w:p w14:paraId="2893DCB0" w14:textId="77777777" w:rsidR="00EC4C99" w:rsidRDefault="00EC4C99" w:rsidP="00EC4C9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57FDC">
              <w:rPr>
                <w:rFonts w:ascii="Arial" w:hAnsi="Arial" w:cs="Arial"/>
                <w:b/>
                <w:sz w:val="18"/>
                <w:szCs w:val="18"/>
              </w:rPr>
              <w:t>Kamienie milowe</w:t>
            </w:r>
          </w:p>
          <w:p w14:paraId="36A5CC89" w14:textId="77777777" w:rsidR="00257FDC" w:rsidRDefault="00257FDC" w:rsidP="00EC4C9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7"/>
              <w:gridCol w:w="1797"/>
              <w:gridCol w:w="1797"/>
              <w:gridCol w:w="1798"/>
              <w:gridCol w:w="1798"/>
            </w:tblGrid>
            <w:tr w:rsidR="00257FDC" w14:paraId="751A3855" w14:textId="77777777" w:rsidTr="00257FDC">
              <w:tc>
                <w:tcPr>
                  <w:tcW w:w="1797" w:type="dxa"/>
                  <w:shd w:val="clear" w:color="auto" w:fill="BFBFBF" w:themeFill="background1" w:themeFillShade="BF"/>
                </w:tcPr>
                <w:p w14:paraId="0C8AA8C7" w14:textId="2D59043C" w:rsidR="00257FDC" w:rsidRPr="00A66965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r w:rsidRPr="00A66965">
                    <w:rPr>
                      <w:rFonts w:ascii="Arial" w:hAnsi="Arial" w:cs="Arial"/>
                      <w:b/>
                      <w:i/>
                      <w:iCs/>
                      <w:sz w:val="14"/>
                      <w:szCs w:val="14"/>
                    </w:rPr>
                    <w:t>Nazwa</w:t>
                  </w:r>
                </w:p>
              </w:tc>
              <w:tc>
                <w:tcPr>
                  <w:tcW w:w="1797" w:type="dxa"/>
                  <w:shd w:val="clear" w:color="auto" w:fill="BFBFBF" w:themeFill="background1" w:themeFillShade="BF"/>
                </w:tcPr>
                <w:p w14:paraId="3E79A479" w14:textId="75BEF49A" w:rsidR="00257FDC" w:rsidRPr="00A66965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r w:rsidRPr="00A66965">
                    <w:rPr>
                      <w:rFonts w:ascii="Arial" w:hAnsi="Arial" w:cs="Arial"/>
                      <w:b/>
                      <w:i/>
                      <w:iCs/>
                      <w:sz w:val="14"/>
                      <w:szCs w:val="14"/>
                    </w:rPr>
                    <w:t xml:space="preserve">Powiązane wskaźniki projektu </w:t>
                  </w:r>
                  <w:r w:rsidRPr="00A66965">
                    <w:rPr>
                      <w:rStyle w:val="Odwoanieprzypisudolnego"/>
                      <w:rFonts w:ascii="Arial" w:hAnsi="Arial" w:cs="Arial"/>
                      <w:b/>
                      <w:i/>
                      <w:iCs/>
                      <w:sz w:val="14"/>
                      <w:szCs w:val="14"/>
                    </w:rPr>
                    <w:footnoteReference w:id="1"/>
                  </w:r>
                </w:p>
              </w:tc>
              <w:tc>
                <w:tcPr>
                  <w:tcW w:w="1797" w:type="dxa"/>
                  <w:shd w:val="clear" w:color="auto" w:fill="BFBFBF" w:themeFill="background1" w:themeFillShade="BF"/>
                </w:tcPr>
                <w:p w14:paraId="5BA7890D" w14:textId="4C7F0CCF" w:rsidR="00257FDC" w:rsidRPr="00A66965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r w:rsidRPr="00A66965">
                    <w:rPr>
                      <w:rFonts w:ascii="Arial" w:hAnsi="Arial" w:cs="Arial"/>
                      <w:b/>
                      <w:i/>
                      <w:iCs/>
                      <w:sz w:val="14"/>
                      <w:szCs w:val="14"/>
                    </w:rPr>
                    <w:t>Planowany termin osiągnięcia</w:t>
                  </w:r>
                </w:p>
              </w:tc>
              <w:tc>
                <w:tcPr>
                  <w:tcW w:w="1798" w:type="dxa"/>
                  <w:shd w:val="clear" w:color="auto" w:fill="BFBFBF" w:themeFill="background1" w:themeFillShade="BF"/>
                </w:tcPr>
                <w:p w14:paraId="4541A26C" w14:textId="411B381E" w:rsidR="00257FDC" w:rsidRPr="00A66965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r w:rsidRPr="00A66965">
                    <w:rPr>
                      <w:rFonts w:ascii="Arial" w:hAnsi="Arial" w:cs="Arial"/>
                      <w:b/>
                      <w:i/>
                      <w:iCs/>
                      <w:sz w:val="14"/>
                      <w:szCs w:val="14"/>
                    </w:rPr>
                    <w:t>Rzeczywisty termin osiągnięcia</w:t>
                  </w:r>
                </w:p>
              </w:tc>
              <w:tc>
                <w:tcPr>
                  <w:tcW w:w="1798" w:type="dxa"/>
                  <w:shd w:val="clear" w:color="auto" w:fill="BFBFBF" w:themeFill="background1" w:themeFillShade="BF"/>
                </w:tcPr>
                <w:p w14:paraId="0200D5E4" w14:textId="4C44A559" w:rsidR="00257FDC" w:rsidRPr="00A66965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  <w:r w:rsidRPr="00A66965">
                    <w:rPr>
                      <w:rFonts w:ascii="Arial" w:hAnsi="Arial" w:cs="Arial"/>
                      <w:b/>
                      <w:i/>
                      <w:iCs/>
                      <w:sz w:val="14"/>
                      <w:szCs w:val="14"/>
                    </w:rPr>
                    <w:t>Status realizacji kamienia milowego</w:t>
                  </w:r>
                </w:p>
              </w:tc>
            </w:tr>
            <w:tr w:rsidR="00257FDC" w14:paraId="36B10EC8" w14:textId="77777777" w:rsidTr="00257FDC">
              <w:trPr>
                <w:trHeight w:val="2558"/>
              </w:trPr>
              <w:tc>
                <w:tcPr>
                  <w:tcW w:w="1797" w:type="dxa"/>
                </w:tcPr>
                <w:p w14:paraId="09F0110B" w14:textId="195CF190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Wdrożenie zapisów dokumentacji aplikacyjnej</w:t>
                  </w:r>
                </w:p>
              </w:tc>
              <w:tc>
                <w:tcPr>
                  <w:tcW w:w="1797" w:type="dxa"/>
                </w:tcPr>
                <w:p w14:paraId="59CA7649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4728BD90" w14:textId="1DABD7B6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07-2020</w:t>
                  </w:r>
                </w:p>
              </w:tc>
              <w:tc>
                <w:tcPr>
                  <w:tcW w:w="1798" w:type="dxa"/>
                </w:tcPr>
                <w:p w14:paraId="00FD1E80" w14:textId="647F3602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06-2020</w:t>
                  </w:r>
                </w:p>
              </w:tc>
              <w:tc>
                <w:tcPr>
                  <w:tcW w:w="1798" w:type="dxa"/>
                </w:tcPr>
                <w:p w14:paraId="7F47E335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Osiągnięty. Dokumentacja techniczna i finansowa została przygotowana i złożona w ramach poddziałania 2.3.2 Cyfrowe udostępnianie zasobów kultury w ramach Programu Operacyjnego Polska Cyfrowa na lata 2014 -2020.</w:t>
                  </w:r>
                </w:p>
                <w:p w14:paraId="03E46B75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Kamień milowy osiągnięty wraz z protokolarnym odbiorem usługi.</w:t>
                  </w:r>
                </w:p>
                <w:p w14:paraId="0987B82B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257FDC" w14:paraId="0625507D" w14:textId="77777777" w:rsidTr="00257FDC">
              <w:tc>
                <w:tcPr>
                  <w:tcW w:w="1797" w:type="dxa"/>
                </w:tcPr>
                <w:p w14:paraId="4190E6BC" w14:textId="6CFB1D13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Nawiązanie umów z zespołem digitalizacji</w:t>
                  </w:r>
                </w:p>
              </w:tc>
              <w:tc>
                <w:tcPr>
                  <w:tcW w:w="1797" w:type="dxa"/>
                </w:tcPr>
                <w:p w14:paraId="6EF094CF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1E89B33A" w14:textId="78975D3B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02-2021</w:t>
                  </w:r>
                </w:p>
              </w:tc>
              <w:tc>
                <w:tcPr>
                  <w:tcW w:w="1798" w:type="dxa"/>
                </w:tcPr>
                <w:p w14:paraId="61E0A009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03-2021</w:t>
                  </w:r>
                </w:p>
                <w:p w14:paraId="23AD6C72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8" w:type="dxa"/>
                </w:tcPr>
                <w:p w14:paraId="01686000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Osiągnięty: nawiązano umowy z zespołem projektowym</w:t>
                  </w:r>
                </w:p>
                <w:p w14:paraId="4F2629FB" w14:textId="1C37949A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Większość pracowników zespołu projektowego została zatrudniona lub oddelegowana w planowanym terminie. Proces zatrudnienia nowych pracowników przedłużył się ze względu na występującą pandemie COVID-19.</w:t>
                  </w:r>
                </w:p>
              </w:tc>
            </w:tr>
            <w:tr w:rsidR="00257FDC" w14:paraId="2CE04D0C" w14:textId="77777777" w:rsidTr="00257FDC">
              <w:tc>
                <w:tcPr>
                  <w:tcW w:w="1797" w:type="dxa"/>
                </w:tcPr>
                <w:p w14:paraId="608D77C4" w14:textId="1B4C9F0E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Wdrożenie zespołu projektowego</w:t>
                  </w:r>
                </w:p>
              </w:tc>
              <w:tc>
                <w:tcPr>
                  <w:tcW w:w="1797" w:type="dxa"/>
                </w:tcPr>
                <w:p w14:paraId="2E38886D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49D6787E" w14:textId="657EA986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04-2021</w:t>
                  </w:r>
                </w:p>
              </w:tc>
              <w:tc>
                <w:tcPr>
                  <w:tcW w:w="1798" w:type="dxa"/>
                </w:tcPr>
                <w:p w14:paraId="43D94AC5" w14:textId="473A5C2C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04-2021</w:t>
                  </w:r>
                </w:p>
              </w:tc>
              <w:tc>
                <w:tcPr>
                  <w:tcW w:w="1798" w:type="dxa"/>
                </w:tcPr>
                <w:p w14:paraId="02164EF9" w14:textId="24EEE81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 : wdrożono zespół projektowy</w:t>
                  </w:r>
                </w:p>
              </w:tc>
            </w:tr>
            <w:tr w:rsidR="00257FDC" w14:paraId="44EA2C60" w14:textId="77777777" w:rsidTr="00257FDC">
              <w:tc>
                <w:tcPr>
                  <w:tcW w:w="1797" w:type="dxa"/>
                </w:tcPr>
                <w:p w14:paraId="33F88DBE" w14:textId="2393C8FD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 xml:space="preserve">Przygotowanie dokumentacji </w:t>
                  </w:r>
                  <w:proofErr w:type="spellStart"/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zzp</w:t>
                  </w:r>
                  <w:proofErr w:type="spellEnd"/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 xml:space="preserve"> do adaptacji pomieszczeń </w:t>
                  </w:r>
                  <w:proofErr w:type="spellStart"/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ikonoteki</w:t>
                  </w:r>
                  <w:proofErr w:type="spellEnd"/>
                </w:p>
              </w:tc>
              <w:tc>
                <w:tcPr>
                  <w:tcW w:w="1797" w:type="dxa"/>
                </w:tcPr>
                <w:p w14:paraId="61628E55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1CFB4AB1" w14:textId="779258A4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03-2021</w:t>
                  </w:r>
                </w:p>
              </w:tc>
              <w:tc>
                <w:tcPr>
                  <w:tcW w:w="1798" w:type="dxa"/>
                </w:tcPr>
                <w:p w14:paraId="6F6D2CC8" w14:textId="445F7766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03-2021</w:t>
                  </w:r>
                </w:p>
              </w:tc>
              <w:tc>
                <w:tcPr>
                  <w:tcW w:w="1798" w:type="dxa"/>
                </w:tcPr>
                <w:p w14:paraId="4A5BF59C" w14:textId="1D746C95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 xml:space="preserve">Osiągnięty. Postępowanie zakończone, Wykonawca został wyłoniony. </w:t>
                  </w:r>
                </w:p>
              </w:tc>
            </w:tr>
            <w:tr w:rsidR="00257FDC" w14:paraId="67BCA8D6" w14:textId="77777777" w:rsidTr="00257FDC">
              <w:tc>
                <w:tcPr>
                  <w:tcW w:w="1797" w:type="dxa"/>
                </w:tcPr>
                <w:p w14:paraId="16765285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lastRenderedPageBreak/>
                    <w:t xml:space="preserve">Adaptacja pomieszczeń </w:t>
                  </w:r>
                  <w:proofErr w:type="spellStart"/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Ikonoteki</w:t>
                  </w:r>
                  <w:proofErr w:type="spellEnd"/>
                </w:p>
                <w:p w14:paraId="5448693E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66B53C62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51DA6FD1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44007433" w14:textId="78FA60D0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08-2021*</w:t>
                  </w:r>
                </w:p>
              </w:tc>
              <w:tc>
                <w:tcPr>
                  <w:tcW w:w="1798" w:type="dxa"/>
                </w:tcPr>
                <w:p w14:paraId="6076A91C" w14:textId="3860FDFB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07-2021</w:t>
                  </w:r>
                </w:p>
              </w:tc>
              <w:tc>
                <w:tcPr>
                  <w:tcW w:w="1798" w:type="dxa"/>
                </w:tcPr>
                <w:p w14:paraId="4342762E" w14:textId="7BFC47BE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 xml:space="preserve">Osiągnięty : zakończono prace związane z adaptacją pomieszczenia przeznaczonego na </w:t>
                  </w:r>
                  <w:proofErr w:type="spellStart"/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Ikonotekę</w:t>
                  </w:r>
                  <w:proofErr w:type="spellEnd"/>
                </w:p>
              </w:tc>
            </w:tr>
            <w:tr w:rsidR="00257FDC" w14:paraId="16FFDB38" w14:textId="77777777" w:rsidTr="00257FDC">
              <w:tc>
                <w:tcPr>
                  <w:tcW w:w="1797" w:type="dxa"/>
                </w:tcPr>
                <w:p w14:paraId="4BA609AF" w14:textId="185941C2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Zakończenie postępowań w celu wyłonienia dostawców wyposażenia i oprogramowania</w:t>
                  </w:r>
                </w:p>
              </w:tc>
              <w:tc>
                <w:tcPr>
                  <w:tcW w:w="1797" w:type="dxa"/>
                </w:tcPr>
                <w:p w14:paraId="3BCE66A6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7844D39B" w14:textId="333C5B29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05-2021*</w:t>
                  </w:r>
                </w:p>
              </w:tc>
              <w:tc>
                <w:tcPr>
                  <w:tcW w:w="1798" w:type="dxa"/>
                </w:tcPr>
                <w:p w14:paraId="0376D155" w14:textId="2D8209C4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05-2021</w:t>
                  </w:r>
                </w:p>
              </w:tc>
              <w:tc>
                <w:tcPr>
                  <w:tcW w:w="1798" w:type="dxa"/>
                </w:tcPr>
                <w:p w14:paraId="00494C46" w14:textId="70BD5DD2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Osiągnięty.</w:t>
                  </w:r>
                </w:p>
              </w:tc>
            </w:tr>
            <w:tr w:rsidR="00257FDC" w14:paraId="33AD078E" w14:textId="77777777" w:rsidTr="00257FDC">
              <w:tc>
                <w:tcPr>
                  <w:tcW w:w="1797" w:type="dxa"/>
                </w:tcPr>
                <w:p w14:paraId="7089B940" w14:textId="2BC53548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 xml:space="preserve">Rozpoczęcie procesu digitalizacji </w:t>
                  </w:r>
                </w:p>
              </w:tc>
              <w:tc>
                <w:tcPr>
                  <w:tcW w:w="1797" w:type="dxa"/>
                </w:tcPr>
                <w:p w14:paraId="6E94C683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5C908227" w14:textId="4799C586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03-2021</w:t>
                  </w:r>
                </w:p>
              </w:tc>
              <w:tc>
                <w:tcPr>
                  <w:tcW w:w="1798" w:type="dxa"/>
                </w:tcPr>
                <w:p w14:paraId="2EDE0808" w14:textId="713B929F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03-2021</w:t>
                  </w:r>
                </w:p>
              </w:tc>
              <w:tc>
                <w:tcPr>
                  <w:tcW w:w="1798" w:type="dxa"/>
                </w:tcPr>
                <w:p w14:paraId="16E6EA09" w14:textId="1574E203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Osiągnięty.</w:t>
                  </w:r>
                </w:p>
              </w:tc>
            </w:tr>
            <w:tr w:rsidR="00257FDC" w14:paraId="092A79F2" w14:textId="77777777" w:rsidTr="00257FDC">
              <w:tc>
                <w:tcPr>
                  <w:tcW w:w="1797" w:type="dxa"/>
                </w:tcPr>
                <w:p w14:paraId="1007937A" w14:textId="400F577E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Digitalizacja wykonywana przez zespół merytoryczny</w:t>
                  </w:r>
                </w:p>
              </w:tc>
              <w:tc>
                <w:tcPr>
                  <w:tcW w:w="1797" w:type="dxa"/>
                </w:tcPr>
                <w:p w14:paraId="279C64C7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1 – 1 szt.</w:t>
                  </w:r>
                </w:p>
                <w:p w14:paraId="35D2DE44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2- 6,7 TB</w:t>
                  </w:r>
                </w:p>
                <w:p w14:paraId="75A5A47A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3-10 TB</w:t>
                  </w:r>
                </w:p>
                <w:p w14:paraId="6EA3CAFD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4 – 13300 szt.</w:t>
                  </w:r>
                </w:p>
                <w:p w14:paraId="0DB16E57" w14:textId="1CAF30B1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5 – 8850 szt.</w:t>
                  </w:r>
                </w:p>
              </w:tc>
              <w:tc>
                <w:tcPr>
                  <w:tcW w:w="1797" w:type="dxa"/>
                </w:tcPr>
                <w:p w14:paraId="6AE2A9DD" w14:textId="07EBB59E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04-2023</w:t>
                  </w:r>
                </w:p>
              </w:tc>
              <w:tc>
                <w:tcPr>
                  <w:tcW w:w="1798" w:type="dxa"/>
                </w:tcPr>
                <w:p w14:paraId="149B6E36" w14:textId="78A3348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04-2023</w:t>
                  </w:r>
                </w:p>
              </w:tc>
              <w:tc>
                <w:tcPr>
                  <w:tcW w:w="1798" w:type="dxa"/>
                </w:tcPr>
                <w:p w14:paraId="28231FD9" w14:textId="77777777" w:rsidR="00257FDC" w:rsidRPr="004B2BFF" w:rsidRDefault="00257FDC" w:rsidP="00257FDC">
                  <w:pP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</w:t>
                  </w:r>
                  <w:r w:rsidRPr="004B2BFF"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</w:rPr>
                    <w:t xml:space="preserve">. </w:t>
                  </w:r>
                </w:p>
                <w:p w14:paraId="29DFC8E3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257FDC" w14:paraId="38456C1F" w14:textId="77777777" w:rsidTr="00257FDC">
              <w:tc>
                <w:tcPr>
                  <w:tcW w:w="1797" w:type="dxa"/>
                </w:tcPr>
                <w:p w14:paraId="3D94E559" w14:textId="66898499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Zakończenie postępowań w celu wyłonienia dostawców sprzętu informatycznego</w:t>
                  </w:r>
                </w:p>
              </w:tc>
              <w:tc>
                <w:tcPr>
                  <w:tcW w:w="1797" w:type="dxa"/>
                </w:tcPr>
                <w:p w14:paraId="142F5629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770919AA" w14:textId="44B0C756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  <w:lang w:eastAsia="pl-PL"/>
                    </w:rPr>
                    <w:t>11-2021*</w:t>
                  </w:r>
                </w:p>
              </w:tc>
              <w:tc>
                <w:tcPr>
                  <w:tcW w:w="1798" w:type="dxa"/>
                </w:tcPr>
                <w:p w14:paraId="332A867F" w14:textId="4CDBFB58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10-2021</w:t>
                  </w:r>
                </w:p>
              </w:tc>
              <w:tc>
                <w:tcPr>
                  <w:tcW w:w="1798" w:type="dxa"/>
                </w:tcPr>
                <w:p w14:paraId="017673CF" w14:textId="2E46354A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Osiągnięty.</w:t>
                  </w:r>
                </w:p>
              </w:tc>
            </w:tr>
            <w:tr w:rsidR="00257FDC" w14:paraId="4D32DF48" w14:textId="77777777" w:rsidTr="00257FDC">
              <w:tc>
                <w:tcPr>
                  <w:tcW w:w="1797" w:type="dxa"/>
                </w:tcPr>
                <w:p w14:paraId="5A51A346" w14:textId="567714F3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Modernizacja systemu repozytorium</w:t>
                  </w:r>
                </w:p>
              </w:tc>
              <w:tc>
                <w:tcPr>
                  <w:tcW w:w="1797" w:type="dxa"/>
                </w:tcPr>
                <w:p w14:paraId="08F19AB6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</w:tcPr>
                <w:p w14:paraId="37C8E945" w14:textId="316B898B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02-2022*</w:t>
                  </w:r>
                </w:p>
              </w:tc>
              <w:tc>
                <w:tcPr>
                  <w:tcW w:w="1798" w:type="dxa"/>
                </w:tcPr>
                <w:p w14:paraId="31A9DBE7" w14:textId="0588561E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02-2022</w:t>
                  </w:r>
                </w:p>
              </w:tc>
              <w:tc>
                <w:tcPr>
                  <w:tcW w:w="1798" w:type="dxa"/>
                </w:tcPr>
                <w:p w14:paraId="5C65EC9B" w14:textId="5A5C6E5A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Osiągnięty.</w:t>
                  </w:r>
                </w:p>
              </w:tc>
            </w:tr>
            <w:tr w:rsidR="00257FDC" w14:paraId="0908BB1B" w14:textId="77777777" w:rsidTr="00257FDC">
              <w:tc>
                <w:tcPr>
                  <w:tcW w:w="1797" w:type="dxa"/>
                </w:tcPr>
                <w:p w14:paraId="33ACB95B" w14:textId="2702480A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Rozbudowa portalu i stworzenie Encyklopedii Muzycznej online</w:t>
                  </w:r>
                </w:p>
              </w:tc>
              <w:tc>
                <w:tcPr>
                  <w:tcW w:w="1797" w:type="dxa"/>
                </w:tcPr>
                <w:p w14:paraId="1D927D34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6 – 1 szt.</w:t>
                  </w:r>
                </w:p>
                <w:p w14:paraId="17D9F801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7 – 1 szt.</w:t>
                  </w:r>
                </w:p>
                <w:p w14:paraId="200BF61D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8. 106 552 szt.</w:t>
                  </w:r>
                </w:p>
                <w:p w14:paraId="044F96A1" w14:textId="05ED6F69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9 – 0 szt.</w:t>
                  </w:r>
                </w:p>
              </w:tc>
              <w:tc>
                <w:tcPr>
                  <w:tcW w:w="1797" w:type="dxa"/>
                </w:tcPr>
                <w:p w14:paraId="7C52454C" w14:textId="00D7BD74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04-2022</w:t>
                  </w:r>
                </w:p>
              </w:tc>
              <w:tc>
                <w:tcPr>
                  <w:tcW w:w="1798" w:type="dxa"/>
                </w:tcPr>
                <w:p w14:paraId="7B397841" w14:textId="6F8BC85B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12-2022</w:t>
                  </w:r>
                </w:p>
              </w:tc>
              <w:tc>
                <w:tcPr>
                  <w:tcW w:w="1798" w:type="dxa"/>
                </w:tcPr>
                <w:p w14:paraId="60923442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Osiągnięty.</w:t>
                  </w:r>
                </w:p>
                <w:p w14:paraId="63EBAE40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6388CB21" w14:textId="77777777" w:rsidR="00257FDC" w:rsidRPr="004B2BFF" w:rsidRDefault="00257FDC" w:rsidP="00257FD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Działania  projektowe realizowane są w kolejności wynikającej ze specyfiki prowadzonego projektu, uwzględniając stan realizacji działań poprzedzających kolejne, konieczne do podjęcia by zrealizować założone cele i wskaźniki projektu.</w:t>
                  </w:r>
                </w:p>
                <w:p w14:paraId="11E590D3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Opóźnienie realizacji kamienia milowego nie wpłynęło na pozostałe zadania oraz realizację projektu.</w:t>
                  </w:r>
                </w:p>
                <w:p w14:paraId="2EF1AE58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08BA2895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8 – w trakcie realizacji</w:t>
                  </w:r>
                </w:p>
                <w:p w14:paraId="66C75B5C" w14:textId="77777777" w:rsidR="00257FDC" w:rsidRDefault="00257FDC" w:rsidP="00257FDC">
                  <w:pPr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257FDC" w14:paraId="5B665848" w14:textId="77777777" w:rsidTr="00257FDC">
              <w:tc>
                <w:tcPr>
                  <w:tcW w:w="1797" w:type="dxa"/>
                </w:tcPr>
                <w:p w14:paraId="6945C394" w14:textId="0055BB65" w:rsidR="00257FDC" w:rsidRPr="004B2BFF" w:rsidRDefault="00257FDC" w:rsidP="00257FDC">
                  <w:pPr>
                    <w:spacing w:after="12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Działania informacyjno-promocyjne w trakcie realizacji projektu</w:t>
                  </w:r>
                </w:p>
              </w:tc>
              <w:tc>
                <w:tcPr>
                  <w:tcW w:w="1797" w:type="dxa"/>
                </w:tcPr>
                <w:p w14:paraId="346CE44D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14:paraId="507F2827" w14:textId="7402C11E" w:rsidR="00257FDC" w:rsidRPr="004B2BFF" w:rsidRDefault="00257FDC" w:rsidP="00257FDC">
                  <w:pPr>
                    <w:spacing w:after="120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bCs/>
                      <w:sz w:val="14"/>
                      <w:szCs w:val="14"/>
                    </w:rPr>
                    <w:t>09-2023**</w:t>
                  </w:r>
                </w:p>
              </w:tc>
              <w:tc>
                <w:tcPr>
                  <w:tcW w:w="1798" w:type="dxa"/>
                </w:tcPr>
                <w:p w14:paraId="39343344" w14:textId="28B79B48" w:rsidR="00257FDC" w:rsidRPr="004B2BFF" w:rsidRDefault="00257FDC" w:rsidP="00257FDC">
                  <w:pPr>
                    <w:spacing w:after="120"/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  <w:lang w:eastAsia="pl-PL"/>
                    </w:rPr>
                    <w:t>09-2023</w:t>
                  </w:r>
                </w:p>
              </w:tc>
              <w:tc>
                <w:tcPr>
                  <w:tcW w:w="1798" w:type="dxa"/>
                </w:tcPr>
                <w:p w14:paraId="26CCD2EE" w14:textId="77777777" w:rsidR="00257FDC" w:rsidRPr="004B2BFF" w:rsidRDefault="00257FDC" w:rsidP="00257FDC">
                  <w:pPr>
                    <w:jc w:val="both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4B2BFF">
                    <w:rPr>
                      <w:rFonts w:ascii="Arial" w:hAnsi="Arial" w:cs="Arial"/>
                      <w:sz w:val="14"/>
                      <w:szCs w:val="14"/>
                    </w:rPr>
                    <w:t>Osiągnięty</w:t>
                  </w:r>
                </w:p>
                <w:p w14:paraId="229F7C0A" w14:textId="77777777" w:rsidR="00257FDC" w:rsidRPr="004B2BFF" w:rsidRDefault="00257FDC" w:rsidP="00257FDC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0FA8AF23" w14:textId="77777777" w:rsidR="004B2BFF" w:rsidRDefault="004B2BFF" w:rsidP="00F579F0">
            <w:pPr>
              <w:pStyle w:val="Other0"/>
            </w:pPr>
          </w:p>
          <w:p w14:paraId="67190D97" w14:textId="77777777" w:rsidR="00E5797B" w:rsidRDefault="00E5797B" w:rsidP="00F579F0">
            <w:pPr>
              <w:pStyle w:val="Other0"/>
            </w:pPr>
          </w:p>
          <w:p w14:paraId="1DA6B788" w14:textId="62A5E2B5" w:rsidR="00E5797B" w:rsidRDefault="00E5797B" w:rsidP="00F579F0">
            <w:pPr>
              <w:pStyle w:val="Other0"/>
            </w:pPr>
            <w:r>
              <w:t>Przyczyny przesunięcia terminu realizacji kamieni milowych w projekcie</w:t>
            </w:r>
          </w:p>
          <w:p w14:paraId="3EDDF8A7" w14:textId="77777777" w:rsidR="00E5797B" w:rsidRDefault="00E5797B" w:rsidP="00F579F0">
            <w:pPr>
              <w:pStyle w:val="Other0"/>
            </w:pPr>
          </w:p>
          <w:p w14:paraId="1B600021" w14:textId="1DF99A1D" w:rsidR="00E5797B" w:rsidRDefault="00433B9B" w:rsidP="00F579F0">
            <w:pPr>
              <w:pStyle w:val="Other0"/>
            </w:pPr>
            <w:r>
              <w:t>Trudności w osiągnięciu poszczególnych kamieni milowych spowodowane był</w:t>
            </w:r>
            <w:r w:rsidR="0029613F">
              <w:t>y</w:t>
            </w:r>
            <w:r>
              <w:t xml:space="preserve"> w szczególności wystąpieniem pandemii COVID-19. Utrudniło to przede wszystkim przeprowadzanie procedur zamówień publicznych, ze względu na brak aktualnych ofert składanych przez Wykonawców, zmiany kosztów towarów i usług na rynku, a także braki podzespołów, które uniemożliwiały zakup sprzętów IT.</w:t>
            </w:r>
            <w:r w:rsidR="0029613F">
              <w:t xml:space="preserve"> W między czasie zmiana ustawy PZP w trakcie trwania postępowań wymusiła zmiany projektowe i kosztorysowe w ramach przygotowania pomieszczenia </w:t>
            </w:r>
            <w:proofErr w:type="spellStart"/>
            <w:r w:rsidR="0029613F">
              <w:t>ikonoteki</w:t>
            </w:r>
            <w:proofErr w:type="spellEnd"/>
            <w:r w:rsidR="0029613F">
              <w:t>, a także wymusiła potrzebę unieważnienia postępowań i przeprowadzenie ich ponownie.</w:t>
            </w:r>
            <w:r>
              <w:t xml:space="preserve"> Opóźnienie w realizacji jednego działania, często skutkowało przesunięciem realizacji kolejnego zadania</w:t>
            </w:r>
            <w:r w:rsidR="0029613F">
              <w:t xml:space="preserve">, np. </w:t>
            </w:r>
            <w:r>
              <w:t xml:space="preserve"> wydłużenie pierwszego projektu digitalizacji </w:t>
            </w:r>
            <w:r w:rsidR="0029613F">
              <w:t>spowolniło proces rozpoczęcia pracy merytorycznej nad modernizacją systemu repozytorium (co wpłynęło na przesunięcie prac związanych z rozbudową portalu). Również proces rekrutacji nowych pracowników zespołu projektowego przedłużył się ze względu na utrudniony proces rekrutacji.</w:t>
            </w:r>
          </w:p>
          <w:p w14:paraId="40AD0B0F" w14:textId="77777777" w:rsidR="00F579F0" w:rsidRDefault="00F579F0" w:rsidP="00261660">
            <w:pPr>
              <w:jc w:val="both"/>
              <w:rPr>
                <w:i/>
                <w:sz w:val="18"/>
                <w:szCs w:val="20"/>
              </w:rPr>
            </w:pPr>
          </w:p>
          <w:p w14:paraId="267665A5" w14:textId="4F75296F" w:rsidR="000C3C99" w:rsidRPr="004B2BFF" w:rsidRDefault="00D94976" w:rsidP="00D94976">
            <w:pPr>
              <w:jc w:val="both"/>
              <w:rPr>
                <w:i/>
                <w:sz w:val="18"/>
                <w:szCs w:val="20"/>
              </w:rPr>
            </w:pPr>
            <w:bookmarkStart w:id="0" w:name="_Hlk159919586"/>
            <w:r w:rsidRPr="004B2BFF">
              <w:rPr>
                <w:b/>
                <w:bCs/>
                <w:i/>
                <w:sz w:val="18"/>
                <w:szCs w:val="20"/>
              </w:rPr>
              <w:t>Wszystkie zmiany zostały zgłoszone z odpowiednim wyprzedzeniem do Instytucji Pośredniczącej</w:t>
            </w:r>
            <w:r w:rsidRPr="004B2BFF">
              <w:rPr>
                <w:i/>
                <w:sz w:val="18"/>
                <w:szCs w:val="20"/>
              </w:rPr>
              <w:t>. Zawarte również zostały w zaktualizowanych załącznikach p</w:t>
            </w:r>
            <w:r w:rsidR="00501BEE" w:rsidRPr="004B2BFF">
              <w:rPr>
                <w:i/>
                <w:sz w:val="18"/>
                <w:szCs w:val="20"/>
              </w:rPr>
              <w:t>rzy</w:t>
            </w:r>
            <w:r w:rsidRPr="004B2BFF">
              <w:rPr>
                <w:i/>
                <w:sz w:val="18"/>
                <w:szCs w:val="20"/>
              </w:rPr>
              <w:t xml:space="preserve"> podpisywaniu aneksów do umowy o dofinansowanie.</w:t>
            </w:r>
          </w:p>
          <w:bookmarkEnd w:id="0"/>
          <w:p w14:paraId="69A5A281" w14:textId="77777777" w:rsid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  <w:p w14:paraId="33AD5D75" w14:textId="77777777" w:rsidR="00F579F0" w:rsidRDefault="00F579F0" w:rsidP="00F579F0">
            <w:pPr>
              <w:pStyle w:val="Other0"/>
            </w:pPr>
          </w:p>
          <w:p w14:paraId="1CE71757" w14:textId="77777777" w:rsidR="00F579F0" w:rsidRPr="00996F06" w:rsidRDefault="00F579F0" w:rsidP="00996F06">
            <w:pPr>
              <w:pStyle w:val="Tablecaption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96F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wyniku realizacji projektu powstały poniżej wymienione produkty:</w:t>
            </w:r>
          </w:p>
          <w:p w14:paraId="3A003B6F" w14:textId="77777777" w:rsidR="00225813" w:rsidRDefault="00996F06" w:rsidP="0022581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25813">
              <w:rPr>
                <w:rFonts w:cstheme="minorHAnsi"/>
                <w:sz w:val="18"/>
                <w:szCs w:val="18"/>
              </w:rPr>
              <w:t xml:space="preserve">Rozbudowany portal udostępniania zasobów kultury - Polska Biblioteka Muzyczna wraz z planowanym modułem udostępniania zasobów kultury - Encyklopedia Muzyczna PWM oraz planowanym modułem Małe PWM; </w:t>
            </w:r>
          </w:p>
          <w:p w14:paraId="003F8D30" w14:textId="597DF4B6" w:rsidR="001D2322" w:rsidRDefault="001D2322" w:rsidP="0022581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digitalizacja haseł Encyklopedii Muzycznej PWM – skanowanie, przekształcenie tekstu za pomocą OCR, graficzna edycja tekstu, retusz, edycja merytoryczna;</w:t>
            </w:r>
          </w:p>
          <w:p w14:paraId="7460567A" w14:textId="61DFEE45" w:rsidR="001D2322" w:rsidRDefault="001D2322" w:rsidP="0022581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digitalizacja tytułów wydawniczych w formie </w:t>
            </w:r>
            <w:proofErr w:type="spellStart"/>
            <w:r>
              <w:rPr>
                <w:rFonts w:cstheme="minorHAnsi"/>
                <w:sz w:val="18"/>
                <w:szCs w:val="18"/>
              </w:rPr>
              <w:t>odwzorowań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1:1 (materiały skanowane, obróbka graficzna, czyszczenie, retusz);</w:t>
            </w:r>
          </w:p>
          <w:p w14:paraId="44BD355A" w14:textId="36990EDD" w:rsidR="001D2322" w:rsidRPr="00225813" w:rsidRDefault="001D2322" w:rsidP="0022581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digitalizacja materiałów orkiestrowych w formie </w:t>
            </w:r>
            <w:proofErr w:type="spellStart"/>
            <w:r>
              <w:rPr>
                <w:rFonts w:cstheme="minorHAnsi"/>
                <w:sz w:val="18"/>
                <w:szCs w:val="18"/>
              </w:rPr>
              <w:t>odwzorowań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1:1 (materiały skanowane, obróbka graficzna, czyszczenie, retusz;</w:t>
            </w:r>
          </w:p>
          <w:p w14:paraId="0D08DD4D" w14:textId="77777777" w:rsidR="00225813" w:rsidRPr="00225813" w:rsidRDefault="00996F06" w:rsidP="0022581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25813">
              <w:rPr>
                <w:rFonts w:cstheme="minorHAnsi"/>
                <w:sz w:val="18"/>
                <w:szCs w:val="18"/>
              </w:rPr>
              <w:t xml:space="preserve">rozbudowane Elektroniczne Archiwum Dokumentów; </w:t>
            </w:r>
          </w:p>
          <w:p w14:paraId="3463CF1C" w14:textId="77777777" w:rsidR="00225813" w:rsidRPr="00225813" w:rsidRDefault="00996F06" w:rsidP="0022581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25813">
              <w:rPr>
                <w:rFonts w:cstheme="minorHAnsi"/>
                <w:sz w:val="18"/>
                <w:szCs w:val="18"/>
              </w:rPr>
              <w:t xml:space="preserve">rozbudowany System Zarządzania </w:t>
            </w:r>
            <w:proofErr w:type="spellStart"/>
            <w:r w:rsidRPr="00225813">
              <w:rPr>
                <w:rFonts w:cstheme="minorHAnsi"/>
                <w:sz w:val="18"/>
                <w:szCs w:val="18"/>
              </w:rPr>
              <w:t>Zdigitalizowanymi</w:t>
            </w:r>
            <w:proofErr w:type="spellEnd"/>
            <w:r w:rsidRPr="00225813">
              <w:rPr>
                <w:rFonts w:cstheme="minorHAnsi"/>
                <w:sz w:val="18"/>
                <w:szCs w:val="18"/>
              </w:rPr>
              <w:t xml:space="preserve"> Zasobami (DMS); </w:t>
            </w:r>
          </w:p>
          <w:p w14:paraId="330345C0" w14:textId="77777777" w:rsidR="001D2322" w:rsidRDefault="00996F06" w:rsidP="0022581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25813">
              <w:rPr>
                <w:rFonts w:cstheme="minorHAnsi"/>
                <w:sz w:val="18"/>
                <w:szCs w:val="18"/>
              </w:rPr>
              <w:t>rozbudowany publiczny Interfejs API udostępniania zasobów kultury</w:t>
            </w:r>
            <w:r w:rsidR="001D2322">
              <w:rPr>
                <w:rFonts w:cstheme="minorHAnsi"/>
                <w:sz w:val="18"/>
                <w:szCs w:val="18"/>
              </w:rPr>
              <w:t>;</w:t>
            </w:r>
          </w:p>
          <w:p w14:paraId="5D72288B" w14:textId="5A8FC818" w:rsidR="00F579F0" w:rsidRPr="00225813" w:rsidRDefault="001D2322" w:rsidP="0022581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ikonoteka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– obiekty różnych formatów: rysunki, ryciny, drzeworyty, portrety kompozytorów, listy</w:t>
            </w:r>
            <w:r w:rsidR="009A6516">
              <w:rPr>
                <w:rFonts w:cstheme="minorHAnsi"/>
                <w:sz w:val="18"/>
                <w:szCs w:val="18"/>
              </w:rPr>
              <w:t xml:space="preserve"> do i od kompozytorów, autografy, prasa, recenzje, zdjęcia pomników, grobowców, zdjęcia z przedstawień teatralnych, afisze sztuk teatralnych, klisze/klatki filmów.</w:t>
            </w:r>
          </w:p>
        </w:tc>
      </w:tr>
      <w:tr w:rsidR="004D135D" w:rsidRPr="002450C4" w14:paraId="2BB752E3" w14:textId="77777777" w:rsidTr="00941340">
        <w:tc>
          <w:tcPr>
            <w:tcW w:w="437" w:type="dxa"/>
          </w:tcPr>
          <w:p w14:paraId="782786D0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1F6BC131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9072" w:type="dxa"/>
          </w:tcPr>
          <w:p w14:paraId="167543D0" w14:textId="58AA741C" w:rsidR="004D135D" w:rsidRDefault="000807CD" w:rsidP="00E30008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</w:t>
            </w:r>
          </w:p>
        </w:tc>
      </w:tr>
      <w:tr w:rsidR="00920CE8" w:rsidRPr="002450C4" w14:paraId="083EF33F" w14:textId="77777777" w:rsidTr="00941340">
        <w:trPr>
          <w:trHeight w:val="11184"/>
        </w:trPr>
        <w:tc>
          <w:tcPr>
            <w:tcW w:w="437" w:type="dxa"/>
          </w:tcPr>
          <w:p w14:paraId="32F39D84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46EE9CA1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9072" w:type="dxa"/>
          </w:tcPr>
          <w:p w14:paraId="63D5ED9D" w14:textId="77777777" w:rsidR="00205B7C" w:rsidRDefault="00205B7C" w:rsidP="00205B7C">
            <w:pPr>
              <w:pStyle w:val="Other0"/>
              <w:rPr>
                <w:b/>
                <w:bCs/>
              </w:rPr>
            </w:pPr>
            <w:r w:rsidRPr="004A74DA">
              <w:rPr>
                <w:b/>
                <w:bCs/>
              </w:rPr>
              <w:t>Zgodność z krajowymi dokumentami strategicznymi:</w:t>
            </w:r>
          </w:p>
          <w:p w14:paraId="47EF385E" w14:textId="77777777" w:rsidR="00205B7C" w:rsidRDefault="00205B7C" w:rsidP="00216AFF">
            <w:pPr>
              <w:jc w:val="both"/>
              <w:rPr>
                <w:i/>
                <w:sz w:val="18"/>
                <w:szCs w:val="20"/>
              </w:rPr>
            </w:pPr>
          </w:p>
          <w:p w14:paraId="0936DE9C" w14:textId="77777777" w:rsidR="00205B7C" w:rsidRPr="005A126F" w:rsidRDefault="00205B7C" w:rsidP="00205B7C">
            <w:pPr>
              <w:spacing w:line="276" w:lineRule="auto"/>
              <w:jc w:val="both"/>
              <w:rPr>
                <w:i/>
                <w:sz w:val="18"/>
                <w:szCs w:val="20"/>
              </w:rPr>
            </w:pPr>
            <w:r w:rsidRPr="005A126F">
              <w:rPr>
                <w:i/>
                <w:sz w:val="18"/>
                <w:szCs w:val="20"/>
              </w:rPr>
              <w:t>Projekt realizuje głównie cele Długookresowej Strategii Rozwoju Kraju. Polska 2030. Trzecia Fala Nowoczesności;  procesy cyfryzacji obejmujące m.in. zwiększenie potrzeby używania Internetu poprzez rozwój i udostępnianie treści – zasobów publicznych oraz zwiększenie kompetencji cyfrowych społeczeństwa – promocja i edukacja. Jako długookresowy cel rozwoju został wskazany Cel 5: „Stworzenie Polski Cyfrowej” dla wspierania procesu tworzenia infrastruktury cyfrowej, rozwoju usług i treści, w tym digitalizacji i udostępnienia zasobów dziedzictwa i kultury oraz podwyższenia poziomu ich wykorzystania.</w:t>
            </w:r>
          </w:p>
          <w:p w14:paraId="1906B8E0" w14:textId="77777777" w:rsidR="00205B7C" w:rsidRDefault="00205B7C" w:rsidP="00205B7C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Udostępnienie </w:t>
            </w:r>
            <w:proofErr w:type="spellStart"/>
            <w:r>
              <w:rPr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i/>
                <w:sz w:val="18"/>
                <w:szCs w:val="20"/>
              </w:rPr>
              <w:t xml:space="preserve"> zasobów w otwartym dostępie dla każdego oraz ich promocja realizuje przede wszystkim następujące cele strategiczne państwa:</w:t>
            </w:r>
          </w:p>
          <w:p w14:paraId="31EF37AD" w14:textId="77777777" w:rsidR="00205B7C" w:rsidRDefault="00205B7C" w:rsidP="00205B7C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- </w:t>
            </w:r>
            <w:r w:rsidRPr="00D47EEA">
              <w:rPr>
                <w:i/>
                <w:sz w:val="18"/>
                <w:szCs w:val="20"/>
              </w:rPr>
              <w:t>Strategia Rozwoju Kraju 2020: Cel II.5.3. Zapewnienie odpowiedniej jakości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D47EEA">
              <w:rPr>
                <w:i/>
                <w:sz w:val="18"/>
                <w:szCs w:val="20"/>
              </w:rPr>
              <w:t>treści i usług cyfrowych</w:t>
            </w:r>
            <w:r>
              <w:rPr>
                <w:i/>
                <w:sz w:val="18"/>
                <w:szCs w:val="20"/>
              </w:rPr>
              <w:t xml:space="preserve">; </w:t>
            </w:r>
            <w:r w:rsidRPr="00D47EEA">
              <w:rPr>
                <w:i/>
                <w:sz w:val="18"/>
                <w:szCs w:val="20"/>
              </w:rPr>
              <w:t xml:space="preserve"> </w:t>
            </w:r>
            <w:r w:rsidRPr="00064386">
              <w:rPr>
                <w:i/>
                <w:sz w:val="18"/>
                <w:szCs w:val="20"/>
              </w:rPr>
              <w:t>zwiększenie wykorzystania technologii cyfrowych poprzez otwarcie zasobów publicznych, w tym dziedzictwa narodowego, dzięki ich digitalizacji, zapewnienia odpowiedniej jakości treści i usług cyfrowych, a także stworzenia warunków właściwego przechowywania i ich udostępniania celem szerokiego rozpowszechniania treści cyfrowych</w:t>
            </w:r>
            <w:r>
              <w:rPr>
                <w:i/>
                <w:sz w:val="18"/>
                <w:szCs w:val="20"/>
              </w:rPr>
              <w:t>,</w:t>
            </w:r>
          </w:p>
          <w:p w14:paraId="4137BA92" w14:textId="77777777" w:rsidR="00205B7C" w:rsidRDefault="00205B7C" w:rsidP="00205B7C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</w:t>
            </w:r>
            <w:r w:rsidRPr="00D47EEA">
              <w:rPr>
                <w:i/>
                <w:sz w:val="18"/>
                <w:szCs w:val="20"/>
              </w:rPr>
              <w:t>Program Operacyjny Polska Cyfrowa 2020: Cel 4: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D47EEA">
              <w:rPr>
                <w:i/>
                <w:sz w:val="18"/>
                <w:szCs w:val="20"/>
              </w:rPr>
              <w:t>Cyfrowa dostępność i użyteczność informacji sektora publicznego</w:t>
            </w:r>
            <w:r>
              <w:rPr>
                <w:i/>
                <w:sz w:val="18"/>
                <w:szCs w:val="20"/>
              </w:rPr>
              <w:t>; p</w:t>
            </w:r>
            <w:r w:rsidRPr="004C0E12">
              <w:rPr>
                <w:i/>
                <w:sz w:val="18"/>
                <w:szCs w:val="20"/>
              </w:rPr>
              <w:t>rzedmiot projektu podobnie jak cel realizacji poddziałania obejmuje digitalizację zasobów kultury i zwiększenie ich dostępności oraz poprawę jakości cyfrowo udostępnianych zasobów kultury, a także polepszenie możliwości ich ponownego wykorzystania. Projekt wykorzystuje nowoczesne technologie dla zapewnienia wysokich standardów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4C0E12">
              <w:rPr>
                <w:i/>
                <w:sz w:val="18"/>
                <w:szCs w:val="20"/>
              </w:rPr>
              <w:t>w zakresie digitalizacji i przechowywania danych cyfrowych</w:t>
            </w:r>
            <w:r>
              <w:rPr>
                <w:i/>
                <w:sz w:val="18"/>
                <w:szCs w:val="20"/>
              </w:rPr>
              <w:t xml:space="preserve"> oraz </w:t>
            </w:r>
            <w:r w:rsidRPr="004C0E12">
              <w:rPr>
                <w:i/>
                <w:sz w:val="18"/>
                <w:szCs w:val="20"/>
              </w:rPr>
              <w:t>dostępności dla zapewnienia możliwości korzystania z danych cyfrowych osobom o szczególnych potrzebach, w tym osób starszych i z niepełnosprawnościami</w:t>
            </w:r>
            <w:r>
              <w:rPr>
                <w:i/>
                <w:sz w:val="18"/>
                <w:szCs w:val="20"/>
              </w:rPr>
              <w:t>,</w:t>
            </w:r>
          </w:p>
          <w:p w14:paraId="11FD3AE6" w14:textId="77777777" w:rsidR="00205B7C" w:rsidRDefault="00205B7C" w:rsidP="00205B7C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</w:t>
            </w:r>
            <w:r w:rsidRPr="00D47EEA">
              <w:rPr>
                <w:i/>
                <w:sz w:val="18"/>
                <w:szCs w:val="20"/>
              </w:rPr>
              <w:t xml:space="preserve"> Narodowa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D47EEA">
              <w:rPr>
                <w:i/>
                <w:sz w:val="18"/>
                <w:szCs w:val="20"/>
              </w:rPr>
              <w:t>Strategia Rozwoju Kultury 2004 – 2020: Cel Efektywna promocja twórczości i</w:t>
            </w:r>
            <w:r>
              <w:rPr>
                <w:i/>
                <w:sz w:val="18"/>
                <w:szCs w:val="20"/>
              </w:rPr>
              <w:t xml:space="preserve"> z</w:t>
            </w:r>
            <w:r w:rsidRPr="00D47EEA">
              <w:rPr>
                <w:i/>
                <w:sz w:val="18"/>
                <w:szCs w:val="20"/>
              </w:rPr>
              <w:t xml:space="preserve">achowanie dziedzictwa kulturowego, </w:t>
            </w:r>
            <w:r w:rsidRPr="005C6255">
              <w:rPr>
                <w:i/>
                <w:sz w:val="18"/>
                <w:szCs w:val="20"/>
              </w:rPr>
              <w:t>a także wprowadzenie    innowacyjnych   rozwiązań   w   systemie   organizacji   działalności kulturalnej i w systemie upowszechniania kultury oraz promocja polskiej kultury za granicą</w:t>
            </w:r>
            <w:r>
              <w:rPr>
                <w:i/>
                <w:sz w:val="18"/>
                <w:szCs w:val="20"/>
              </w:rPr>
              <w:t>,</w:t>
            </w:r>
          </w:p>
          <w:p w14:paraId="3AC94473" w14:textId="77777777" w:rsidR="00205B7C" w:rsidRDefault="00205B7C" w:rsidP="00205B7C">
            <w:pPr>
              <w:spacing w:after="160" w:line="276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- </w:t>
            </w:r>
            <w:r w:rsidRPr="00D47EEA">
              <w:rPr>
                <w:i/>
                <w:sz w:val="18"/>
                <w:szCs w:val="20"/>
              </w:rPr>
              <w:t>Strategia Rozwoju Krakowa: Cel 2.4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D47EEA">
              <w:rPr>
                <w:i/>
                <w:sz w:val="18"/>
                <w:szCs w:val="20"/>
              </w:rPr>
              <w:t>Wzmocnienie promocji dziedzictwa regionalnego</w:t>
            </w:r>
            <w:r>
              <w:rPr>
                <w:i/>
                <w:sz w:val="18"/>
                <w:szCs w:val="20"/>
              </w:rPr>
              <w:t>; p</w:t>
            </w:r>
            <w:r w:rsidRPr="00054163">
              <w:rPr>
                <w:i/>
                <w:sz w:val="18"/>
                <w:szCs w:val="20"/>
              </w:rPr>
              <w:t xml:space="preserve">owszechny dostęp online do cennych zasobów kultury przyczynia się do budowy unikalnego charakteru oferty produktów kulturowych i tożsamości opartej na tradycji, kulturze i edukacji muzycznej. Wykorzystanie nowoczesnych form komunikacji dla popularyzacji </w:t>
            </w:r>
            <w:proofErr w:type="spellStart"/>
            <w:r w:rsidRPr="00054163">
              <w:rPr>
                <w:i/>
                <w:sz w:val="18"/>
                <w:szCs w:val="20"/>
              </w:rPr>
              <w:t>zdigitalizowanych</w:t>
            </w:r>
            <w:proofErr w:type="spellEnd"/>
            <w:r w:rsidRPr="00054163">
              <w:rPr>
                <w:i/>
                <w:sz w:val="18"/>
                <w:szCs w:val="20"/>
              </w:rPr>
              <w:t xml:space="preserve"> zasobów w kraju i zagranicą zwiększy zakres społecznego odbioru oferty kulturalnej i kształtowania marki miasta jako ośrodka kultury i sztuki w sposób nowoczesny prezentującego swój potencjał.</w:t>
            </w:r>
          </w:p>
          <w:p w14:paraId="5653C0C6" w14:textId="77777777" w:rsidR="00205B7C" w:rsidRDefault="00205B7C" w:rsidP="00205B7C">
            <w:pPr>
              <w:spacing w:after="160" w:line="276" w:lineRule="auto"/>
              <w:jc w:val="both"/>
              <w:rPr>
                <w:i/>
                <w:sz w:val="18"/>
                <w:szCs w:val="20"/>
              </w:rPr>
            </w:pPr>
            <w:r w:rsidRPr="00E5622F">
              <w:rPr>
                <w:i/>
                <w:sz w:val="18"/>
                <w:szCs w:val="20"/>
              </w:rPr>
              <w:t>Pozostałe cele strategiczne państwa:</w:t>
            </w:r>
          </w:p>
          <w:p w14:paraId="66175354" w14:textId="77777777" w:rsidR="00205B7C" w:rsidRDefault="00205B7C" w:rsidP="00205B7C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- </w:t>
            </w:r>
            <w:r w:rsidRPr="005A126F">
              <w:rPr>
                <w:i/>
                <w:sz w:val="18"/>
                <w:szCs w:val="20"/>
              </w:rPr>
              <w:t>Strategii Sprawne Państwo 2020; Cel 5. Efektywne świadczenie usług publicznych</w:t>
            </w:r>
            <w:r>
              <w:rPr>
                <w:i/>
                <w:sz w:val="18"/>
                <w:szCs w:val="20"/>
              </w:rPr>
              <w:t xml:space="preserve">; </w:t>
            </w:r>
            <w:r w:rsidRPr="005A126F">
              <w:rPr>
                <w:i/>
                <w:sz w:val="18"/>
                <w:szCs w:val="20"/>
              </w:rPr>
              <w:t xml:space="preserve"> rozwój treści cyfrowych i ich udostępnienie na platformie on-line, która będzie spełniała standardy dostępności dla osób o szczególnych potrzebach oraz odbiorców zagranicznych (treści dostępne w języku angielskim i niemieckim). rozwój treści cyfrowych i ich udostępnienie na platformie on-line, która będzie spełniała standardy dostępności dla osób o szczególnych potrzebach oraz odbiorców zagranicznych (treści dostępne w języku angielskim i niemieckim)</w:t>
            </w:r>
            <w:r>
              <w:rPr>
                <w:i/>
                <w:sz w:val="18"/>
                <w:szCs w:val="20"/>
              </w:rPr>
              <w:t>,</w:t>
            </w:r>
            <w:r>
              <w:rPr>
                <w:i/>
                <w:sz w:val="18"/>
                <w:szCs w:val="20"/>
              </w:rPr>
              <w:br/>
              <w:t xml:space="preserve">- </w:t>
            </w:r>
            <w:r w:rsidRPr="00DC7621">
              <w:rPr>
                <w:i/>
                <w:sz w:val="18"/>
                <w:szCs w:val="20"/>
              </w:rPr>
              <w:t>Strategia Rozwoju Kapitału Społecznego 2020; zwiększanie dostępności informacji i popraw</w:t>
            </w:r>
            <w:r>
              <w:rPr>
                <w:i/>
                <w:sz w:val="18"/>
                <w:szCs w:val="20"/>
              </w:rPr>
              <w:t>a</w:t>
            </w:r>
            <w:r w:rsidRPr="00DC7621">
              <w:rPr>
                <w:i/>
                <w:sz w:val="18"/>
                <w:szCs w:val="20"/>
              </w:rPr>
              <w:t xml:space="preserve"> jakości komunikacji w sferze publicznej dzięki zwiększeniu dostępności treści edukacyjnych, naukowych i kulturowych w domenie publicznej. Najszerszy dostęp do wiedzy i dorobku kulturowego zapewnią procesy cyfryzacji i publicznego udostępniania zasobów dziedzictwa kulturowego z czym związane są także działania na rzecz przetwarzan</w:t>
            </w:r>
            <w:r>
              <w:rPr>
                <w:i/>
                <w:sz w:val="18"/>
                <w:szCs w:val="20"/>
              </w:rPr>
              <w:t xml:space="preserve">ia </w:t>
            </w:r>
            <w:r w:rsidRPr="00DC7621">
              <w:rPr>
                <w:i/>
                <w:sz w:val="18"/>
                <w:szCs w:val="20"/>
              </w:rPr>
              <w:t>przechowywania i archiwizacji danych cyfrowyc</w:t>
            </w:r>
            <w:r>
              <w:rPr>
                <w:i/>
                <w:sz w:val="18"/>
                <w:szCs w:val="20"/>
              </w:rPr>
              <w:t>h,</w:t>
            </w:r>
          </w:p>
          <w:p w14:paraId="33AC0EBB" w14:textId="27E4B0D5" w:rsidR="00205B7C" w:rsidRDefault="00205B7C" w:rsidP="00205B7C">
            <w:pPr>
              <w:jc w:val="both"/>
              <w:rPr>
                <w:i/>
                <w:sz w:val="18"/>
                <w:szCs w:val="20"/>
              </w:rPr>
            </w:pPr>
            <w:r w:rsidRPr="005A79A1">
              <w:rPr>
                <w:i/>
                <w:sz w:val="18"/>
                <w:szCs w:val="20"/>
              </w:rPr>
              <w:t>- Program Zintegrowanej Informatyzacji Państwa; dostępność zainteresowanych podmiotów do usług wysokiej jakości dzięki otwarciu i udostępnieniu zasobów z obszaru muzycznego dziedzictwa kultury oraz dostosowaniu usług informacyjnych do standardów interoperacyjności oraz zasad otwartości i transparentności, w szczególności przez uwzględnienie międzynarodowych wytycznych dostępności WCAG 2.1</w:t>
            </w:r>
            <w:r>
              <w:rPr>
                <w:i/>
                <w:sz w:val="18"/>
                <w:szCs w:val="20"/>
              </w:rPr>
              <w:t>,</w:t>
            </w:r>
            <w:r>
              <w:rPr>
                <w:i/>
                <w:sz w:val="18"/>
                <w:szCs w:val="20"/>
              </w:rPr>
              <w:br/>
            </w:r>
            <w:r w:rsidRPr="005A79A1">
              <w:rPr>
                <w:i/>
                <w:sz w:val="18"/>
                <w:szCs w:val="20"/>
              </w:rPr>
              <w:t xml:space="preserve">- </w:t>
            </w:r>
            <w:r w:rsidRPr="001F7959">
              <w:rPr>
                <w:i/>
                <w:sz w:val="18"/>
                <w:szCs w:val="20"/>
              </w:rPr>
              <w:t>Strategia Rozwoju Polski Południowej do roku 2020, Strategia Rozwoju Województwa Małopolskiego na lata 2011-2020, Regionalna Strategia Innowacji Województwa Małopolskiego 2020, Strategia Rozwoju Krakowa 2030; celem wszystkich wymienionych strategii jest głównie wzrost atrakcyjności regionu oraz jego promocja, jako miejsca z dostępem do najwyższej jakości usług cyfrowych, szczególnie w obszarze udostępniania zasobów kultury oraz dostępu do wiedzy i edukacji.</w:t>
            </w:r>
          </w:p>
          <w:p w14:paraId="1414A3E8" w14:textId="77777777" w:rsidR="00205B7C" w:rsidRDefault="00205B7C" w:rsidP="00216AFF">
            <w:pPr>
              <w:jc w:val="both"/>
              <w:rPr>
                <w:i/>
                <w:sz w:val="18"/>
                <w:szCs w:val="20"/>
              </w:rPr>
            </w:pPr>
          </w:p>
          <w:p w14:paraId="26DEE028" w14:textId="77777777" w:rsidR="00205B7C" w:rsidRDefault="00205B7C" w:rsidP="00216AFF">
            <w:pPr>
              <w:jc w:val="both"/>
              <w:rPr>
                <w:i/>
                <w:sz w:val="18"/>
                <w:szCs w:val="20"/>
              </w:rPr>
            </w:pPr>
          </w:p>
          <w:p w14:paraId="69EC0E04" w14:textId="77777777" w:rsidR="00205B7C" w:rsidRDefault="00205B7C" w:rsidP="00216AFF">
            <w:pPr>
              <w:jc w:val="both"/>
              <w:rPr>
                <w:i/>
                <w:sz w:val="18"/>
                <w:szCs w:val="20"/>
              </w:rPr>
            </w:pPr>
          </w:p>
          <w:p w14:paraId="52741F4E" w14:textId="77777777" w:rsidR="00941340" w:rsidRDefault="00941340" w:rsidP="00941340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Pomiar wpływu zrealizowanego projektu oraz faktyczne wykorzystanie usług/produktów wytworzonych w ramach projektu po realizacji projektu mierzony będzie poprzez kontynuację monitorowania poniższych wskaźników:</w:t>
            </w:r>
          </w:p>
          <w:p w14:paraId="51270F01" w14:textId="77777777" w:rsidR="00205B7C" w:rsidRDefault="00205B7C" w:rsidP="00216AFF">
            <w:pPr>
              <w:jc w:val="both"/>
              <w:rPr>
                <w:i/>
                <w:sz w:val="18"/>
                <w:szCs w:val="20"/>
              </w:rPr>
            </w:pPr>
          </w:p>
          <w:p w14:paraId="1B0169C6" w14:textId="77777777" w:rsidR="00205B7C" w:rsidRDefault="00205B7C" w:rsidP="00216AFF">
            <w:pPr>
              <w:jc w:val="both"/>
              <w:rPr>
                <w:i/>
                <w:sz w:val="18"/>
                <w:szCs w:val="20"/>
              </w:rPr>
            </w:pPr>
          </w:p>
          <w:p w14:paraId="5A1011E2" w14:textId="77777777" w:rsidR="00205B7C" w:rsidRDefault="00205B7C" w:rsidP="00216AFF">
            <w:pPr>
              <w:jc w:val="both"/>
              <w:rPr>
                <w:i/>
                <w:sz w:val="18"/>
                <w:szCs w:val="20"/>
              </w:rPr>
            </w:pPr>
          </w:p>
          <w:p w14:paraId="74F33A30" w14:textId="77777777" w:rsidR="00216AFF" w:rsidRDefault="00216AFF" w:rsidP="00216AFF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Style w:val="Tabela-Siatka"/>
              <w:tblpPr w:leftFromText="141" w:rightFromText="141" w:vertAnchor="page" w:horzAnchor="margin" w:tblpY="791"/>
              <w:tblOverlap w:val="never"/>
              <w:tblW w:w="7933" w:type="dxa"/>
              <w:tblLayout w:type="fixed"/>
              <w:tblLook w:val="04A0" w:firstRow="1" w:lastRow="0" w:firstColumn="1" w:lastColumn="0" w:noHBand="0" w:noVBand="1"/>
            </w:tblPr>
            <w:tblGrid>
              <w:gridCol w:w="2217"/>
              <w:gridCol w:w="816"/>
              <w:gridCol w:w="1225"/>
              <w:gridCol w:w="1360"/>
              <w:gridCol w:w="2315"/>
            </w:tblGrid>
            <w:tr w:rsidR="004B2BFF" w:rsidRPr="005E65C8" w14:paraId="35C68607" w14:textId="77777777" w:rsidTr="00941340">
              <w:trPr>
                <w:trHeight w:val="637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6F1850FC" w14:textId="77777777" w:rsidR="004B2BFF" w:rsidRPr="005E65C8" w:rsidRDefault="004B2BFF" w:rsidP="004B2BFF">
                  <w:pPr>
                    <w:jc w:val="both"/>
                    <w:rPr>
                      <w:b/>
                      <w:bCs/>
                      <w:i/>
                      <w:sz w:val="18"/>
                      <w:szCs w:val="20"/>
                    </w:rPr>
                  </w:pP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lastRenderedPageBreak/>
                    <w:t>Nazwa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2E7BAE0" w14:textId="06F1B298" w:rsidR="004B2BFF" w:rsidRPr="005E65C8" w:rsidRDefault="004B2BFF" w:rsidP="004B2BFF">
                  <w:pPr>
                    <w:jc w:val="both"/>
                    <w:rPr>
                      <w:b/>
                      <w:bCs/>
                      <w:i/>
                      <w:sz w:val="18"/>
                      <w:szCs w:val="20"/>
                    </w:rPr>
                  </w:pP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t xml:space="preserve">Jedn. </w:t>
                  </w:r>
                  <w:r w:rsidR="00B64738" w:rsidRPr="005E65C8">
                    <w:rPr>
                      <w:b/>
                      <w:bCs/>
                      <w:i/>
                      <w:sz w:val="18"/>
                      <w:szCs w:val="20"/>
                    </w:rPr>
                    <w:t>M</w:t>
                  </w: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t>iary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5EF8E96E" w14:textId="77777777" w:rsidR="004B2BFF" w:rsidRPr="005E65C8" w:rsidRDefault="004B2BFF" w:rsidP="004B2BFF">
                  <w:pPr>
                    <w:jc w:val="both"/>
                    <w:rPr>
                      <w:b/>
                      <w:bCs/>
                      <w:i/>
                      <w:sz w:val="18"/>
                      <w:szCs w:val="20"/>
                    </w:rPr>
                  </w:pP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t xml:space="preserve">Wartość </w:t>
                  </w:r>
                </w:p>
                <w:p w14:paraId="0E201ACC" w14:textId="16C86BD1" w:rsidR="004B2BFF" w:rsidRPr="005E65C8" w:rsidRDefault="009711C4" w:rsidP="004B2BFF">
                  <w:pPr>
                    <w:jc w:val="both"/>
                    <w:rPr>
                      <w:b/>
                      <w:bCs/>
                      <w:i/>
                      <w:sz w:val="18"/>
                      <w:szCs w:val="20"/>
                    </w:rPr>
                  </w:pP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t>D</w:t>
                  </w:r>
                  <w:r w:rsidR="004B2BFF" w:rsidRPr="005E65C8">
                    <w:rPr>
                      <w:b/>
                      <w:bCs/>
                      <w:i/>
                      <w:sz w:val="18"/>
                      <w:szCs w:val="20"/>
                    </w:rPr>
                    <w:t>ocelowa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00B0C4ED" w14:textId="77777777" w:rsidR="004B2BFF" w:rsidRPr="005E65C8" w:rsidRDefault="004B2BFF" w:rsidP="004B2BFF">
                  <w:pPr>
                    <w:jc w:val="both"/>
                    <w:rPr>
                      <w:b/>
                      <w:bCs/>
                      <w:i/>
                      <w:sz w:val="18"/>
                      <w:szCs w:val="20"/>
                    </w:rPr>
                  </w:pP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87F7026" w14:textId="77777777" w:rsidR="004B2BFF" w:rsidRDefault="004B2BFF" w:rsidP="004B2BFF">
                  <w:pPr>
                    <w:jc w:val="both"/>
                    <w:rPr>
                      <w:b/>
                      <w:bCs/>
                      <w:i/>
                      <w:sz w:val="18"/>
                      <w:szCs w:val="20"/>
                    </w:rPr>
                  </w:pP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t>Wartość osiągnięta od</w:t>
                  </w:r>
                </w:p>
                <w:p w14:paraId="6BFE102F" w14:textId="77777777" w:rsidR="004B2BFF" w:rsidRDefault="004B2BFF" w:rsidP="004B2BFF">
                  <w:pPr>
                    <w:jc w:val="both"/>
                    <w:rPr>
                      <w:b/>
                      <w:bCs/>
                      <w:i/>
                      <w:sz w:val="18"/>
                      <w:szCs w:val="20"/>
                    </w:rPr>
                  </w:pP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t xml:space="preserve"> początku realizacji projektu </w:t>
                  </w:r>
                </w:p>
                <w:p w14:paraId="0CBFD121" w14:textId="77777777" w:rsidR="004B2BFF" w:rsidRPr="005E65C8" w:rsidRDefault="004B2BFF" w:rsidP="004B2BFF">
                  <w:pPr>
                    <w:jc w:val="both"/>
                    <w:rPr>
                      <w:b/>
                      <w:bCs/>
                      <w:i/>
                      <w:sz w:val="18"/>
                      <w:szCs w:val="20"/>
                    </w:rPr>
                  </w:pPr>
                  <w:r w:rsidRPr="005E65C8">
                    <w:rPr>
                      <w:b/>
                      <w:bCs/>
                      <w:i/>
                      <w:sz w:val="18"/>
                      <w:szCs w:val="20"/>
                    </w:rPr>
                    <w:t>(narastająco)</w:t>
                  </w:r>
                </w:p>
              </w:tc>
            </w:tr>
            <w:tr w:rsidR="004B2BFF" w:rsidRPr="005E65C8" w14:paraId="5F966C3A" w14:textId="77777777" w:rsidTr="00941340">
              <w:trPr>
                <w:trHeight w:val="660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10865F" w14:textId="77777777" w:rsidR="004B2BFF" w:rsidRPr="005E65C8" w:rsidRDefault="004B2BFF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1. Liczba podmiotów, które udostępniły on-line informacje sektora publicznego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FFBD75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140E44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741B99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538EB4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4B2BFF" w:rsidRPr="005E65C8" w14:paraId="21E84530" w14:textId="77777777" w:rsidTr="00941340">
              <w:trPr>
                <w:trHeight w:val="637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C2C8EF" w14:textId="77777777" w:rsidR="004B2BFF" w:rsidRPr="005E65C8" w:rsidRDefault="004B2BFF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2. Rozmiar udostępnionych on-line informacji sektora publicznego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A346D3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TB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0E9DD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6,7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789BA1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F728E3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7,15</w:t>
                  </w:r>
                </w:p>
              </w:tc>
            </w:tr>
            <w:tr w:rsidR="004B2BFF" w:rsidRPr="005E65C8" w14:paraId="6C1AB432" w14:textId="77777777" w:rsidTr="00941340">
              <w:trPr>
                <w:trHeight w:val="625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B3092B" w14:textId="77777777" w:rsidR="004B2BFF" w:rsidRPr="005E65C8" w:rsidRDefault="004B2BFF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 xml:space="preserve">3. Rozmiar </w:t>
                  </w:r>
                  <w:proofErr w:type="spellStart"/>
                  <w:r w:rsidRPr="005E65C8">
                    <w:rPr>
                      <w:i/>
                      <w:sz w:val="18"/>
                      <w:szCs w:val="20"/>
                    </w:rPr>
                    <w:t>zdigitalizowanej</w:t>
                  </w:r>
                  <w:proofErr w:type="spellEnd"/>
                  <w:r w:rsidRPr="005E65C8">
                    <w:rPr>
                      <w:i/>
                      <w:sz w:val="18"/>
                      <w:szCs w:val="20"/>
                    </w:rPr>
                    <w:t xml:space="preserve"> informacji sektora publicznego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3A271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TB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2BB180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10,00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455D6F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E2E4F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10,2</w:t>
                  </w:r>
                </w:p>
                <w:p w14:paraId="77E3755F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</w:tr>
            <w:tr w:rsidR="004B2BFF" w:rsidRPr="005E65C8" w14:paraId="4FFCC2DE" w14:textId="77777777" w:rsidTr="00941340">
              <w:trPr>
                <w:trHeight w:val="845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FD793" w14:textId="77777777" w:rsidR="004B2BFF" w:rsidRPr="005E65C8" w:rsidRDefault="004B2BFF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 xml:space="preserve">4. Liczba </w:t>
                  </w:r>
                  <w:proofErr w:type="spellStart"/>
                  <w:r w:rsidRPr="005E65C8">
                    <w:rPr>
                      <w:i/>
                      <w:sz w:val="18"/>
                      <w:szCs w:val="20"/>
                    </w:rPr>
                    <w:t>zdigitalizowanych</w:t>
                  </w:r>
                  <w:proofErr w:type="spellEnd"/>
                  <w:r w:rsidRPr="005E65C8">
                    <w:rPr>
                      <w:i/>
                      <w:sz w:val="18"/>
                      <w:szCs w:val="20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7E1484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5FE4C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13 300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596422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31A83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13 300</w:t>
                  </w:r>
                </w:p>
              </w:tc>
            </w:tr>
            <w:tr w:rsidR="004B2BFF" w:rsidRPr="005E65C8" w14:paraId="688B4041" w14:textId="77777777" w:rsidTr="00941340">
              <w:trPr>
                <w:trHeight w:val="857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CCB017" w14:textId="77777777" w:rsidR="004B2BFF" w:rsidRPr="005E65C8" w:rsidRDefault="004B2BFF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5. Liczba udostępnionych on-line dokumentów zawierających informacje sektora publicznego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8C3C57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F3DB95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8 850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3B8DEA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018FB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8 850</w:t>
                  </w:r>
                </w:p>
              </w:tc>
            </w:tr>
            <w:tr w:rsidR="004B2BFF" w:rsidRPr="005E65C8" w14:paraId="1EEEF724" w14:textId="77777777" w:rsidTr="00941340">
              <w:trPr>
                <w:trHeight w:val="207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2CED1B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6. Liczba utworzonych API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91096F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23E55B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229B9D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B8C1C8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4B2BFF" w:rsidRPr="005E65C8" w14:paraId="7EFF2B66" w14:textId="77777777" w:rsidTr="00941340">
              <w:trPr>
                <w:trHeight w:val="625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BDF9E" w14:textId="77777777" w:rsidR="004B2BFF" w:rsidRPr="005E65C8" w:rsidRDefault="004B2BFF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7. Liczba baz danych udostępnionych on-line poprzez API [szt.]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0E8B70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0815C3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37BE05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819A09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4B2BFF" w:rsidRPr="005E65C8" w14:paraId="27DE2E1C" w14:textId="77777777" w:rsidTr="00941340">
              <w:trPr>
                <w:trHeight w:val="416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432022" w14:textId="77777777" w:rsidR="004B2BFF" w:rsidRPr="005E65C8" w:rsidRDefault="004B2BFF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9. Liczba wygenerowanych kluczy API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34823B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74EF05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0267A3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4EA35F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0</w:t>
                  </w:r>
                </w:p>
              </w:tc>
            </w:tr>
            <w:tr w:rsidR="004B2BFF" w:rsidRPr="005E65C8" w14:paraId="1A56B5A1" w14:textId="77777777" w:rsidTr="00941340">
              <w:trPr>
                <w:trHeight w:val="637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0519DD" w14:textId="77777777" w:rsidR="00B64738" w:rsidRDefault="004B2BFF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 xml:space="preserve">10. Liczba pracowni wyposażonych w sprzęt do </w:t>
                  </w:r>
                </w:p>
                <w:p w14:paraId="119B9D4D" w14:textId="6CA63A39" w:rsidR="004B2BFF" w:rsidRPr="005E65C8" w:rsidRDefault="00B64738" w:rsidP="004B2BFF">
                  <w:pPr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D</w:t>
                  </w:r>
                  <w:r w:rsidR="004B2BFF" w:rsidRPr="005E65C8">
                    <w:rPr>
                      <w:i/>
                      <w:sz w:val="18"/>
                      <w:szCs w:val="20"/>
                    </w:rPr>
                    <w:t>igitalizacji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EE3E22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D269CD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31DA4E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0AD58" w14:textId="77777777" w:rsidR="004B2BFF" w:rsidRPr="005E65C8" w:rsidRDefault="004B2BFF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5E65C8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734197" w:rsidRPr="005E65C8" w14:paraId="23D996FA" w14:textId="77777777" w:rsidTr="009711C4">
              <w:trPr>
                <w:trHeight w:val="637"/>
              </w:trPr>
              <w:tc>
                <w:tcPr>
                  <w:tcW w:w="2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CA784" w14:textId="29E37D79" w:rsidR="00734197" w:rsidRPr="005E65C8" w:rsidRDefault="00734197" w:rsidP="004B2BFF">
                  <w:pPr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 xml:space="preserve">11. Licznik powstałych portali udostępniających </w:t>
                  </w:r>
                  <w:proofErr w:type="spellStart"/>
                  <w:r>
                    <w:rPr>
                      <w:i/>
                      <w:sz w:val="18"/>
                      <w:szCs w:val="20"/>
                    </w:rPr>
                    <w:t>zdigitalizowane</w:t>
                  </w:r>
                  <w:proofErr w:type="spellEnd"/>
                  <w:r>
                    <w:rPr>
                      <w:i/>
                      <w:sz w:val="18"/>
                      <w:szCs w:val="20"/>
                    </w:rPr>
                    <w:t xml:space="preserve"> zasoby.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371A9" w14:textId="101F4879" w:rsidR="00734197" w:rsidRPr="005E65C8" w:rsidRDefault="00734197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5C19CA" w14:textId="417EB113" w:rsidR="00734197" w:rsidRPr="005E65C8" w:rsidRDefault="00734197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63977" w14:textId="48A33218" w:rsidR="00734197" w:rsidRPr="005E65C8" w:rsidRDefault="00734197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09.2023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77754" w14:textId="7379F2CB" w:rsidR="00734197" w:rsidRPr="005E65C8" w:rsidRDefault="00734197" w:rsidP="004B2BF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</w:tbl>
          <w:p w14:paraId="10402695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2159583C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79483DFC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151FAC97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014F7DE9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035F2626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6CA0AAA4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48BAF1DE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4424E842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2C150536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651FE8CF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0D80ED5D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04208867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5D2F504D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596B8A2F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752B9555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1BDBE6F3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197434E6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10B47ABE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7793A3F8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6EC0E77E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65481CF4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78243DD6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410984E4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05920E65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3E33058F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46ACC8CA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27C42F32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16AD1D81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7852707A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00DFAFB0" w14:textId="77777777" w:rsidR="00941340" w:rsidRDefault="00941340" w:rsidP="00205B7C">
            <w:pPr>
              <w:pStyle w:val="Other0"/>
              <w:rPr>
                <w:b/>
                <w:bCs/>
              </w:rPr>
            </w:pPr>
          </w:p>
          <w:p w14:paraId="03B85296" w14:textId="77777777" w:rsidR="009711C4" w:rsidRDefault="009711C4" w:rsidP="00205B7C">
            <w:pPr>
              <w:pStyle w:val="Other0"/>
              <w:rPr>
                <w:b/>
                <w:bCs/>
              </w:rPr>
            </w:pPr>
          </w:p>
          <w:p w14:paraId="467687F1" w14:textId="75F91DDA" w:rsidR="009711C4" w:rsidRDefault="009711C4" w:rsidP="009711C4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Pomiar wpływu zrealizowanego projektu oraz faktyczne wykorzystanie usług/produktów wytworzonych w ramach projektu po realizacji projektu mierzony będzie poprzez kontynuację monitorowania poniższego wskaźnika rezultatu:</w:t>
            </w:r>
          </w:p>
          <w:p w14:paraId="4C49F3B4" w14:textId="77777777" w:rsidR="009711C4" w:rsidRDefault="009711C4" w:rsidP="009711C4">
            <w:pPr>
              <w:pStyle w:val="Other0"/>
              <w:rPr>
                <w:b/>
                <w:bCs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95"/>
              <w:gridCol w:w="773"/>
              <w:gridCol w:w="1212"/>
              <w:gridCol w:w="1958"/>
              <w:gridCol w:w="1585"/>
            </w:tblGrid>
            <w:tr w:rsidR="009711C4" w14:paraId="730F65E2" w14:textId="77777777" w:rsidTr="00F049C6">
              <w:tc>
                <w:tcPr>
                  <w:tcW w:w="2395" w:type="dxa"/>
                  <w:vAlign w:val="center"/>
                </w:tcPr>
                <w:p w14:paraId="4C172159" w14:textId="77777777" w:rsidR="009711C4" w:rsidRDefault="009711C4" w:rsidP="009711C4">
                  <w:pPr>
                    <w:pStyle w:val="Other0"/>
                  </w:pPr>
                  <w:r>
                    <w:rPr>
                      <w:b/>
                      <w:bCs/>
                    </w:rPr>
                    <w:t>Nazwa</w:t>
                  </w:r>
                </w:p>
              </w:tc>
              <w:tc>
                <w:tcPr>
                  <w:tcW w:w="773" w:type="dxa"/>
                  <w:vAlign w:val="center"/>
                </w:tcPr>
                <w:p w14:paraId="2E672ED2" w14:textId="77777777" w:rsidR="009711C4" w:rsidRDefault="009711C4" w:rsidP="009711C4">
                  <w:pPr>
                    <w:pStyle w:val="Other0"/>
                  </w:pPr>
                  <w:r>
                    <w:rPr>
                      <w:b/>
                      <w:bCs/>
                    </w:rPr>
                    <w:t>jedn. miary</w:t>
                  </w:r>
                </w:p>
              </w:tc>
              <w:tc>
                <w:tcPr>
                  <w:tcW w:w="1212" w:type="dxa"/>
                  <w:vAlign w:val="center"/>
                </w:tcPr>
                <w:p w14:paraId="477BFFD0" w14:textId="77777777" w:rsidR="009711C4" w:rsidRDefault="009711C4" w:rsidP="009711C4">
                  <w:pPr>
                    <w:pStyle w:val="Other0"/>
                  </w:pPr>
                  <w:r>
                    <w:rPr>
                      <w:b/>
                      <w:bCs/>
                    </w:rPr>
                    <w:t>Wartość docelowa</w:t>
                  </w:r>
                </w:p>
              </w:tc>
              <w:tc>
                <w:tcPr>
                  <w:tcW w:w="1958" w:type="dxa"/>
                  <w:vAlign w:val="bottom"/>
                </w:tcPr>
                <w:p w14:paraId="7B119A03" w14:textId="77777777" w:rsidR="009711C4" w:rsidRDefault="009711C4" w:rsidP="009711C4">
                  <w:pPr>
                    <w:pStyle w:val="Other0"/>
                  </w:pPr>
                  <w:r>
                    <w:rPr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585" w:type="dxa"/>
                  <w:vAlign w:val="center"/>
                </w:tcPr>
                <w:p w14:paraId="6D4E61EB" w14:textId="77777777" w:rsidR="009711C4" w:rsidRDefault="009711C4" w:rsidP="009711C4">
                  <w:pPr>
                    <w:pStyle w:val="Other0"/>
                  </w:pPr>
                  <w:r>
                    <w:rPr>
                      <w:b/>
                      <w:bCs/>
                    </w:rPr>
                    <w:t>Wartość osiągnięta</w:t>
                  </w:r>
                </w:p>
              </w:tc>
            </w:tr>
            <w:tr w:rsidR="009711C4" w14:paraId="404912B7" w14:textId="77777777" w:rsidTr="00F049C6">
              <w:tc>
                <w:tcPr>
                  <w:tcW w:w="2395" w:type="dxa"/>
                  <w:vAlign w:val="center"/>
                </w:tcPr>
                <w:p w14:paraId="30C49680" w14:textId="77777777" w:rsidR="009711C4" w:rsidRDefault="009711C4" w:rsidP="009711C4">
                  <w:pPr>
                    <w:pStyle w:val="Other0"/>
                  </w:pPr>
                  <w:r>
                    <w:t>Liczba pobrań/</w:t>
                  </w:r>
                  <w:proofErr w:type="spellStart"/>
                  <w:r>
                    <w:t>odtworzeń</w:t>
                  </w:r>
                  <w:proofErr w:type="spellEnd"/>
                  <w:r>
                    <w:t xml:space="preserve"> dokumentów zawierających informacje sektora publicznego</w:t>
                  </w:r>
                </w:p>
              </w:tc>
              <w:tc>
                <w:tcPr>
                  <w:tcW w:w="773" w:type="dxa"/>
                  <w:vAlign w:val="center"/>
                </w:tcPr>
                <w:p w14:paraId="00CE68AC" w14:textId="77777777" w:rsidR="009711C4" w:rsidRDefault="009711C4" w:rsidP="009711C4">
                  <w:pPr>
                    <w:pStyle w:val="Other0"/>
                  </w:pPr>
                  <w:r>
                    <w:t>szt.</w:t>
                  </w:r>
                </w:p>
              </w:tc>
              <w:tc>
                <w:tcPr>
                  <w:tcW w:w="1212" w:type="dxa"/>
                  <w:vAlign w:val="center"/>
                </w:tcPr>
                <w:p w14:paraId="09923C7E" w14:textId="585FC356" w:rsidR="009711C4" w:rsidRPr="009711C4" w:rsidRDefault="009711C4" w:rsidP="009711C4">
                  <w:pPr>
                    <w:pStyle w:val="Other0"/>
                    <w:rPr>
                      <w:iCs/>
                    </w:rPr>
                  </w:pPr>
                  <w:r w:rsidRPr="00941340">
                    <w:rPr>
                      <w:iCs/>
                      <w:szCs w:val="20"/>
                    </w:rPr>
                    <w:t>106 552,00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4A27757B" w14:textId="281F328F" w:rsidR="009711C4" w:rsidRDefault="009711C4" w:rsidP="009711C4">
                  <w:pPr>
                    <w:pStyle w:val="Other0"/>
                  </w:pPr>
                  <w:r w:rsidRPr="009711C4">
                    <w:t>12.2024</w:t>
                  </w:r>
                </w:p>
              </w:tc>
              <w:tc>
                <w:tcPr>
                  <w:tcW w:w="1585" w:type="dxa"/>
                  <w:vAlign w:val="center"/>
                </w:tcPr>
                <w:p w14:paraId="66D2CE81" w14:textId="77777777" w:rsidR="009711C4" w:rsidRPr="00A36657" w:rsidRDefault="009711C4" w:rsidP="009711C4">
                  <w:pPr>
                    <w:pStyle w:val="Other0"/>
                  </w:pPr>
                  <w:r>
                    <w:t>0</w:t>
                  </w:r>
                </w:p>
              </w:tc>
            </w:tr>
          </w:tbl>
          <w:p w14:paraId="35C957ED" w14:textId="102B2432" w:rsidR="009711C4" w:rsidRPr="00205B7C" w:rsidRDefault="009711C4" w:rsidP="00205B7C">
            <w:pPr>
              <w:pStyle w:val="Other0"/>
              <w:rPr>
                <w:b/>
                <w:bCs/>
              </w:rPr>
            </w:pPr>
          </w:p>
        </w:tc>
      </w:tr>
      <w:tr w:rsidR="007A0A3D" w:rsidRPr="002450C4" w14:paraId="50290A89" w14:textId="77777777" w:rsidTr="00941340">
        <w:tc>
          <w:tcPr>
            <w:tcW w:w="437" w:type="dxa"/>
          </w:tcPr>
          <w:p w14:paraId="72066AA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7B37C19E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9072" w:type="dxa"/>
          </w:tcPr>
          <w:p w14:paraId="12975D2C" w14:textId="6E945BEF" w:rsidR="00B70C81" w:rsidRDefault="00B70C81" w:rsidP="00B70C81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przebiegu realizacji Projektu zostały zidentyfikowane następujące problemy i ryzyka:</w:t>
            </w:r>
            <w:r w:rsidR="00734197">
              <w:rPr>
                <w:b/>
                <w:bCs/>
              </w:rPr>
              <w:softHyphen/>
            </w:r>
          </w:p>
          <w:p w14:paraId="776AA6CE" w14:textId="77777777" w:rsidR="00B64738" w:rsidRDefault="00B64738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121233F4" w14:textId="0B829EDC" w:rsidR="00AF216B" w:rsidRDefault="008B05BD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Podczas trwania projektu wystąpiły problemy związane z wystąpieniem pandemii COVID-19, które utrudniły pracę zespołu projektowego, poprzez konieczność dostosowania warunków pracy do obowiązujących obostrzeń. Z tego względu </w:t>
            </w:r>
            <w:r w:rsidR="004B2BFF">
              <w:rPr>
                <w:i/>
                <w:sz w:val="18"/>
                <w:szCs w:val="20"/>
              </w:rPr>
              <w:br/>
            </w:r>
            <w:r>
              <w:rPr>
                <w:i/>
                <w:sz w:val="18"/>
                <w:szCs w:val="20"/>
              </w:rPr>
              <w:t xml:space="preserve">w pracowni musiały zostać wprowadzone limity osób oraz </w:t>
            </w:r>
            <w:r w:rsidR="00C306FC">
              <w:rPr>
                <w:i/>
                <w:sz w:val="18"/>
                <w:szCs w:val="20"/>
              </w:rPr>
              <w:t>w</w:t>
            </w:r>
            <w:r>
              <w:rPr>
                <w:i/>
                <w:sz w:val="18"/>
                <w:szCs w:val="20"/>
              </w:rPr>
              <w:t xml:space="preserve">prowadzona </w:t>
            </w:r>
            <w:r w:rsidR="00C306FC">
              <w:rPr>
                <w:i/>
                <w:sz w:val="18"/>
                <w:szCs w:val="20"/>
              </w:rPr>
              <w:t>została</w:t>
            </w:r>
            <w:r>
              <w:rPr>
                <w:i/>
                <w:sz w:val="18"/>
                <w:szCs w:val="20"/>
              </w:rPr>
              <w:t xml:space="preserve"> praca zdalna. Pandemia wpłynęła również na rynek sprzętu IT oraz oprogramowania, zmieniły się nie tylko ceny, ale również dostępność podzespołów, co wpłynęło na opóźnienia w realizacji zadań. Problem wystąpił również przy przygotowywaniu modułu Encyklopedii Muzycznej on-line na portal </w:t>
            </w:r>
            <w:proofErr w:type="spellStart"/>
            <w:r>
              <w:rPr>
                <w:i/>
                <w:sz w:val="18"/>
                <w:szCs w:val="20"/>
              </w:rPr>
              <w:t>pbm</w:t>
            </w:r>
            <w:proofErr w:type="spellEnd"/>
            <w:r>
              <w:rPr>
                <w:i/>
                <w:sz w:val="18"/>
                <w:szCs w:val="20"/>
              </w:rPr>
              <w:t xml:space="preserve">, ponieważ w procesie tym brała udział specjalnie powołana Rada Naukowa oraz wielu autorów dzieł, a niepewna sytuacja epidemiologiczna była znacznym utrudnieniem przy podpisywaniu umów szczególnie z osobami starszymi, ale także </w:t>
            </w:r>
            <w:r w:rsidR="00C306FC">
              <w:rPr>
                <w:i/>
                <w:sz w:val="18"/>
                <w:szCs w:val="20"/>
              </w:rPr>
              <w:t xml:space="preserve">była wyzwaniem pod względem używania nowych technologii oraz </w:t>
            </w:r>
            <w:proofErr w:type="spellStart"/>
            <w:r w:rsidR="00C306FC">
              <w:rPr>
                <w:i/>
                <w:sz w:val="18"/>
                <w:szCs w:val="20"/>
              </w:rPr>
              <w:t>przesyłem</w:t>
            </w:r>
            <w:proofErr w:type="spellEnd"/>
            <w:r w:rsidR="00C306FC">
              <w:rPr>
                <w:i/>
                <w:sz w:val="18"/>
                <w:szCs w:val="20"/>
              </w:rPr>
              <w:t xml:space="preserve"> danych (plików) w celu realizacji umowy. </w:t>
            </w:r>
          </w:p>
          <w:p w14:paraId="250BC8F4" w14:textId="49A5BCB8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062935E4" w14:textId="77777777" w:rsidTr="00941340">
        <w:tc>
          <w:tcPr>
            <w:tcW w:w="437" w:type="dxa"/>
          </w:tcPr>
          <w:p w14:paraId="51861810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2056060A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9072" w:type="dxa"/>
          </w:tcPr>
          <w:p w14:paraId="434BA01B" w14:textId="0840ECAC" w:rsidR="00B70C81" w:rsidRPr="00B70C81" w:rsidRDefault="00B70C81" w:rsidP="005E3CDD">
            <w:pPr>
              <w:jc w:val="both"/>
              <w:rPr>
                <w:b/>
                <w:bCs/>
                <w:sz w:val="18"/>
                <w:szCs w:val="18"/>
              </w:rPr>
            </w:pPr>
            <w:r w:rsidRPr="00B70C81">
              <w:rPr>
                <w:b/>
                <w:bCs/>
                <w:sz w:val="18"/>
                <w:szCs w:val="18"/>
              </w:rPr>
              <w:t>W projekcie zdefiniowano następujące korzyści społeczne wdrożenia systemu:</w:t>
            </w:r>
          </w:p>
          <w:p w14:paraId="3DC444A6" w14:textId="77777777" w:rsidR="00B70C81" w:rsidRDefault="00B70C81" w:rsidP="005E3CDD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41D0EB1E" w14:textId="5BC58351" w:rsidR="005E3CDD" w:rsidRDefault="005E3CDD" w:rsidP="005E3CD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Portal polskabibliotekamuzyczna.pl jest miejscem udostępniania nut, partytur, ikon, a także haseł encyklopedycznych, które dotąd nie były dostępne dla szerokiego grona odbiorców w tym dla </w:t>
            </w:r>
            <w:r w:rsidR="00497D64">
              <w:rPr>
                <w:bCs/>
                <w:i/>
                <w:sz w:val="18"/>
                <w:szCs w:val="20"/>
              </w:rPr>
              <w:t>f</w:t>
            </w:r>
            <w:r>
              <w:rPr>
                <w:bCs/>
                <w:i/>
                <w:sz w:val="18"/>
                <w:szCs w:val="20"/>
              </w:rPr>
              <w:t xml:space="preserve">ilharmonii, </w:t>
            </w:r>
            <w:r w:rsidR="00497D64">
              <w:rPr>
                <w:bCs/>
                <w:i/>
                <w:sz w:val="18"/>
                <w:szCs w:val="20"/>
              </w:rPr>
              <w:t>t</w:t>
            </w:r>
            <w:r>
              <w:rPr>
                <w:bCs/>
                <w:i/>
                <w:sz w:val="18"/>
                <w:szCs w:val="20"/>
              </w:rPr>
              <w:t xml:space="preserve">eatrów </w:t>
            </w:r>
            <w:r w:rsidR="00497D64">
              <w:rPr>
                <w:bCs/>
                <w:i/>
                <w:sz w:val="18"/>
                <w:szCs w:val="20"/>
              </w:rPr>
              <w:t>m</w:t>
            </w:r>
            <w:r>
              <w:rPr>
                <w:bCs/>
                <w:i/>
                <w:sz w:val="18"/>
                <w:szCs w:val="20"/>
              </w:rPr>
              <w:t xml:space="preserve">uzycznych, </w:t>
            </w:r>
            <w:r w:rsidR="00497D64">
              <w:rPr>
                <w:bCs/>
                <w:i/>
                <w:sz w:val="18"/>
                <w:szCs w:val="20"/>
              </w:rPr>
              <w:t>o</w:t>
            </w:r>
            <w:r>
              <w:rPr>
                <w:bCs/>
                <w:i/>
                <w:sz w:val="18"/>
                <w:szCs w:val="20"/>
              </w:rPr>
              <w:t xml:space="preserve">per, </w:t>
            </w:r>
            <w:r w:rsidR="00497D64">
              <w:rPr>
                <w:bCs/>
                <w:i/>
                <w:sz w:val="18"/>
                <w:szCs w:val="20"/>
              </w:rPr>
              <w:t>s</w:t>
            </w:r>
            <w:r>
              <w:rPr>
                <w:bCs/>
                <w:i/>
                <w:sz w:val="18"/>
                <w:szCs w:val="20"/>
              </w:rPr>
              <w:t xml:space="preserve">zkół </w:t>
            </w:r>
            <w:r w:rsidR="00497D64">
              <w:rPr>
                <w:bCs/>
                <w:i/>
                <w:sz w:val="18"/>
                <w:szCs w:val="20"/>
              </w:rPr>
              <w:t>m</w:t>
            </w:r>
            <w:r>
              <w:rPr>
                <w:bCs/>
                <w:i/>
                <w:sz w:val="18"/>
                <w:szCs w:val="20"/>
              </w:rPr>
              <w:t xml:space="preserve">uzycznych, </w:t>
            </w:r>
            <w:r w:rsidR="00497D64">
              <w:rPr>
                <w:bCs/>
                <w:i/>
                <w:sz w:val="18"/>
                <w:szCs w:val="20"/>
              </w:rPr>
              <w:t>o</w:t>
            </w:r>
            <w:r>
              <w:rPr>
                <w:bCs/>
                <w:i/>
                <w:sz w:val="18"/>
                <w:szCs w:val="20"/>
              </w:rPr>
              <w:t xml:space="preserve">rkiestr </w:t>
            </w:r>
            <w:r w:rsidR="00497D64">
              <w:rPr>
                <w:bCs/>
                <w:i/>
                <w:sz w:val="18"/>
                <w:szCs w:val="20"/>
              </w:rPr>
              <w:t>s</w:t>
            </w:r>
            <w:r>
              <w:rPr>
                <w:bCs/>
                <w:i/>
                <w:sz w:val="18"/>
                <w:szCs w:val="20"/>
              </w:rPr>
              <w:t xml:space="preserve">ymfonicznych, </w:t>
            </w:r>
            <w:r w:rsidR="00497D64">
              <w:rPr>
                <w:bCs/>
                <w:i/>
                <w:sz w:val="18"/>
                <w:szCs w:val="20"/>
              </w:rPr>
              <w:t>c</w:t>
            </w:r>
            <w:r>
              <w:rPr>
                <w:bCs/>
                <w:i/>
                <w:sz w:val="18"/>
                <w:szCs w:val="20"/>
              </w:rPr>
              <w:t xml:space="preserve">hórów, </w:t>
            </w:r>
            <w:r w:rsidR="00497D64">
              <w:rPr>
                <w:bCs/>
                <w:i/>
                <w:sz w:val="18"/>
                <w:szCs w:val="20"/>
              </w:rPr>
              <w:t>w</w:t>
            </w:r>
            <w:r>
              <w:rPr>
                <w:bCs/>
                <w:i/>
                <w:sz w:val="18"/>
                <w:szCs w:val="20"/>
              </w:rPr>
              <w:t xml:space="preserve">yższych </w:t>
            </w:r>
            <w:r w:rsidR="00497D64">
              <w:rPr>
                <w:bCs/>
                <w:i/>
                <w:sz w:val="18"/>
                <w:szCs w:val="20"/>
              </w:rPr>
              <w:t>u</w:t>
            </w:r>
            <w:r>
              <w:rPr>
                <w:bCs/>
                <w:i/>
                <w:sz w:val="18"/>
                <w:szCs w:val="20"/>
              </w:rPr>
              <w:t xml:space="preserve">czelni </w:t>
            </w:r>
            <w:r w:rsidR="00497D64">
              <w:rPr>
                <w:bCs/>
                <w:i/>
                <w:sz w:val="18"/>
                <w:szCs w:val="20"/>
              </w:rPr>
              <w:t>m</w:t>
            </w:r>
            <w:r>
              <w:rPr>
                <w:bCs/>
                <w:i/>
                <w:sz w:val="18"/>
                <w:szCs w:val="20"/>
              </w:rPr>
              <w:t xml:space="preserve">uzycznych, </w:t>
            </w:r>
            <w:r w:rsidR="00497D64">
              <w:rPr>
                <w:bCs/>
                <w:i/>
                <w:sz w:val="18"/>
                <w:szCs w:val="20"/>
              </w:rPr>
              <w:t>s</w:t>
            </w:r>
            <w:r>
              <w:rPr>
                <w:bCs/>
                <w:i/>
                <w:sz w:val="18"/>
                <w:szCs w:val="20"/>
              </w:rPr>
              <w:t xml:space="preserve">zkół </w:t>
            </w:r>
            <w:r w:rsidR="00497D64">
              <w:rPr>
                <w:bCs/>
                <w:i/>
                <w:sz w:val="18"/>
                <w:szCs w:val="20"/>
              </w:rPr>
              <w:t>b</w:t>
            </w:r>
            <w:r>
              <w:rPr>
                <w:bCs/>
                <w:i/>
                <w:sz w:val="18"/>
                <w:szCs w:val="20"/>
              </w:rPr>
              <w:t xml:space="preserve">aletowych, </w:t>
            </w:r>
            <w:r w:rsidR="00497D64">
              <w:rPr>
                <w:bCs/>
                <w:i/>
                <w:sz w:val="18"/>
                <w:szCs w:val="20"/>
              </w:rPr>
              <w:t>t</w:t>
            </w:r>
            <w:r>
              <w:rPr>
                <w:bCs/>
                <w:i/>
                <w:sz w:val="18"/>
                <w:szCs w:val="20"/>
              </w:rPr>
              <w:t xml:space="preserve">owarzystw </w:t>
            </w:r>
            <w:r w:rsidR="00497D64">
              <w:rPr>
                <w:bCs/>
                <w:i/>
                <w:sz w:val="18"/>
                <w:szCs w:val="20"/>
              </w:rPr>
              <w:t>m</w:t>
            </w:r>
            <w:r>
              <w:rPr>
                <w:bCs/>
                <w:i/>
                <w:sz w:val="18"/>
                <w:szCs w:val="20"/>
              </w:rPr>
              <w:t xml:space="preserve">uzycznych oraz </w:t>
            </w:r>
            <w:r w:rsidR="00497D64">
              <w:rPr>
                <w:bCs/>
                <w:i/>
                <w:sz w:val="18"/>
                <w:szCs w:val="20"/>
              </w:rPr>
              <w:t>m</w:t>
            </w:r>
            <w:r>
              <w:rPr>
                <w:bCs/>
                <w:i/>
                <w:sz w:val="18"/>
                <w:szCs w:val="20"/>
              </w:rPr>
              <w:t>ediów. Również osoby fizyczne w tym dyrygenc</w:t>
            </w:r>
            <w:r w:rsidR="00332B6D">
              <w:rPr>
                <w:bCs/>
                <w:i/>
                <w:sz w:val="18"/>
                <w:szCs w:val="20"/>
              </w:rPr>
              <w:t>i</w:t>
            </w:r>
            <w:r>
              <w:rPr>
                <w:bCs/>
                <w:i/>
                <w:sz w:val="18"/>
                <w:szCs w:val="20"/>
              </w:rPr>
              <w:t xml:space="preserve">, kompozytorzy, artyści, nauczyciele i studenci oraz pasjonaci muzyki mogą korzystać z wyżej wymienionych zasobów. </w:t>
            </w:r>
          </w:p>
          <w:p w14:paraId="06D8AD1A" w14:textId="62181949" w:rsidR="005E3CDD" w:rsidRDefault="005E3CDD" w:rsidP="005E3CD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Rozbudowana strona zyskała nowy moduł Encyklopedia Muzyczna, a także stworzone zostało Małe PWM, w którym najmłodsi mogą znaleźć również rozrywkę dla siebie. Portal zyskał również nową szatę graficzną oraz funkcjonalności, stał się dzięki temu jeszcze bardziej intuicyjny, a także został dostosowany do użytkowania dla osób z niepełnosprawnością (zgodnie z wytycznymi WCAG).</w:t>
            </w:r>
          </w:p>
          <w:p w14:paraId="2A432307" w14:textId="77777777" w:rsidR="005E3CDD" w:rsidRDefault="005E3CDD" w:rsidP="005E3CDD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417571B2" w14:textId="2D7A8B85" w:rsidR="005E3CDD" w:rsidRDefault="005E3CDD" w:rsidP="005E3CD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Wskaźnik dotyczący liczby pobrań/odtworzeni dokumentów zawierających informacje sektora publicznego zostanie osiągnięty rok po zakończeniu realizacji projektu. </w:t>
            </w:r>
            <w:r w:rsidR="00332B6D" w:rsidRPr="00DB4031">
              <w:rPr>
                <w:i/>
                <w:sz w:val="18"/>
                <w:szCs w:val="20"/>
              </w:rPr>
              <w:t>Zgodnie z założeniami w dokumentacji aplikacyjnej co 12 miesięcy</w:t>
            </w:r>
            <w:r w:rsidRPr="00DB4031">
              <w:rPr>
                <w:i/>
                <w:sz w:val="18"/>
                <w:szCs w:val="20"/>
              </w:rPr>
              <w:t xml:space="preserve"> generowany będzie raport wykazujący liczbę pobrań/</w:t>
            </w:r>
            <w:proofErr w:type="spellStart"/>
            <w:r w:rsidRPr="00DB4031">
              <w:rPr>
                <w:i/>
                <w:sz w:val="18"/>
                <w:szCs w:val="20"/>
              </w:rPr>
              <w:t>odtworze</w:t>
            </w:r>
            <w:r w:rsidR="00332B6D" w:rsidRPr="00DB4031">
              <w:rPr>
                <w:i/>
                <w:sz w:val="18"/>
                <w:szCs w:val="20"/>
              </w:rPr>
              <w:t>ń</w:t>
            </w:r>
            <w:proofErr w:type="spellEnd"/>
            <w:r w:rsidRPr="00DB4031">
              <w:rPr>
                <w:i/>
                <w:sz w:val="18"/>
                <w:szCs w:val="20"/>
              </w:rPr>
              <w:t xml:space="preserve">, raport udostępniany będzie na stronie </w:t>
            </w:r>
            <w:hyperlink r:id="rId8" w:history="1">
              <w:r w:rsidRPr="00DB4031">
                <w:rPr>
                  <w:rStyle w:val="Hipercze"/>
                  <w:i/>
                  <w:color w:val="auto"/>
                  <w:sz w:val="18"/>
                  <w:szCs w:val="20"/>
                </w:rPr>
                <w:t>https://www.polskabibliotekamuzyczna.pl/</w:t>
              </w:r>
            </w:hyperlink>
            <w:r w:rsidRPr="00DB4031">
              <w:rPr>
                <w:i/>
                <w:sz w:val="18"/>
                <w:szCs w:val="20"/>
              </w:rPr>
              <w:t xml:space="preserve"> - w zakładce aktualności</w:t>
            </w:r>
            <w:r w:rsidR="00332B6D" w:rsidRPr="00DB4031">
              <w:rPr>
                <w:i/>
                <w:sz w:val="18"/>
                <w:szCs w:val="20"/>
              </w:rPr>
              <w:t>.</w:t>
            </w:r>
          </w:p>
          <w:p w14:paraId="0D36B0CC" w14:textId="005F537C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66B02E63" w14:textId="77777777" w:rsidTr="00941340">
        <w:tc>
          <w:tcPr>
            <w:tcW w:w="437" w:type="dxa"/>
          </w:tcPr>
          <w:p w14:paraId="76050CA5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3AC30536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9072" w:type="dxa"/>
          </w:tcPr>
          <w:p w14:paraId="0FEF5E8B" w14:textId="77777777" w:rsidR="009D4EA3" w:rsidRDefault="009D4EA3" w:rsidP="009D4EA3">
            <w:pPr>
              <w:pStyle w:val="Other0"/>
              <w:ind w:left="318" w:hanging="318"/>
              <w:jc w:val="both"/>
              <w:rPr>
                <w:b/>
              </w:rPr>
            </w:pPr>
            <w:r w:rsidRPr="0060110C">
              <w:rPr>
                <w:b/>
              </w:rPr>
              <w:t xml:space="preserve">System </w:t>
            </w:r>
            <w:r>
              <w:rPr>
                <w:b/>
              </w:rPr>
              <w:t>PWM</w:t>
            </w:r>
            <w:r w:rsidRPr="0060110C">
              <w:rPr>
                <w:b/>
              </w:rPr>
              <w:t xml:space="preserve"> będzie się integrował z następującymi systemami teleinformatycznymi:</w:t>
            </w:r>
          </w:p>
          <w:p w14:paraId="6D0ABA55" w14:textId="77777777" w:rsidR="009D4EA3" w:rsidRPr="0060110C" w:rsidRDefault="009D4EA3" w:rsidP="009D4EA3">
            <w:pPr>
              <w:pStyle w:val="Other0"/>
              <w:ind w:left="318" w:hanging="318"/>
              <w:jc w:val="both"/>
              <w:rPr>
                <w:b/>
              </w:rPr>
            </w:pPr>
          </w:p>
          <w:p w14:paraId="4F9B45CA" w14:textId="2D150855" w:rsidR="009D4EA3" w:rsidRPr="0060110C" w:rsidRDefault="009D4EA3" w:rsidP="009D4EA3">
            <w:pPr>
              <w:pStyle w:val="Other0"/>
              <w:numPr>
                <w:ilvl w:val="0"/>
                <w:numId w:val="13"/>
              </w:numPr>
              <w:jc w:val="both"/>
            </w:pPr>
            <w:r w:rsidRPr="0060110C">
              <w:rPr>
                <w:b/>
              </w:rPr>
              <w:t>nazwa zintegrowanego/powiązanego/zależnego systemu</w:t>
            </w:r>
            <w:r>
              <w:t xml:space="preserve">: </w:t>
            </w:r>
            <w:r w:rsidRPr="005A1D11">
              <w:t xml:space="preserve">KRONIK@ - Krajowe Repozytorium Obiektów Nauki </w:t>
            </w:r>
            <w:r w:rsidR="004B2BFF">
              <w:br/>
            </w:r>
            <w:r w:rsidRPr="005A1D11">
              <w:t>i Kultury</w:t>
            </w:r>
          </w:p>
          <w:p w14:paraId="12D13A6A" w14:textId="77777777" w:rsidR="009D4EA3" w:rsidRPr="0060110C" w:rsidRDefault="009D4EA3" w:rsidP="009D4EA3">
            <w:pPr>
              <w:pStyle w:val="Other0"/>
              <w:numPr>
                <w:ilvl w:val="0"/>
                <w:numId w:val="14"/>
              </w:numPr>
              <w:jc w:val="both"/>
            </w:pPr>
            <w:r w:rsidRPr="0060110C">
              <w:t>nazwa rejestru danych tego systemu lub nazwa e-usługi obsługiwana przez ten system</w:t>
            </w:r>
            <w:r>
              <w:t xml:space="preserve">: </w:t>
            </w:r>
            <w:r w:rsidRPr="00FD0C89">
              <w:t>Krajowe Repozytorium Obiektów Nauki i Kultury, e-usługa w obszarze kultury i rozrywki</w:t>
            </w:r>
            <w:r>
              <w:t>. Rejestr: Obiekty fotograficzne, Nuty, Pocztówki, Druki ulotne.</w:t>
            </w:r>
          </w:p>
          <w:p w14:paraId="7FBABAC9" w14:textId="77777777" w:rsidR="009D4EA3" w:rsidRDefault="009D4EA3" w:rsidP="009D4EA3">
            <w:pPr>
              <w:pStyle w:val="Other0"/>
              <w:numPr>
                <w:ilvl w:val="0"/>
                <w:numId w:val="14"/>
              </w:numPr>
              <w:jc w:val="both"/>
            </w:pPr>
            <w:r w:rsidRPr="0060110C">
              <w:t>charakter powiązania/zależności</w:t>
            </w:r>
            <w:r>
              <w:t>: ustanowiona synchronizacja pomiędzy repozytorium Kronik@ a portalem Polska Biblioteka Muzyczna.</w:t>
            </w:r>
          </w:p>
          <w:p w14:paraId="399CBFC2" w14:textId="77777777" w:rsidR="009D4EA3" w:rsidRPr="0060110C" w:rsidRDefault="009D4EA3" w:rsidP="009D4EA3">
            <w:pPr>
              <w:pStyle w:val="Other0"/>
              <w:ind w:left="720"/>
              <w:jc w:val="both"/>
            </w:pPr>
            <w:r w:rsidRPr="00FD0C89">
              <w:t>KRONIK@, jako repozytorium do przechowywania zasobów kultury i nauki, stanowi platformę integrującą instytucje działające w tym obszarze. Polskie Wydawnictwo Muzyczne, podejmując współpracę z w/w systemem, umożliwiło dostęp do opublikowanych zasobów cyfrowych również za pośrednictwem Krajowego Repozytorium Obiektów Nauki i Kultury.</w:t>
            </w:r>
          </w:p>
          <w:p w14:paraId="4D75505D" w14:textId="5C0F0329" w:rsidR="009D4EA3" w:rsidRDefault="009D4EA3" w:rsidP="009D4EA3">
            <w:pPr>
              <w:pStyle w:val="Other0"/>
              <w:numPr>
                <w:ilvl w:val="0"/>
                <w:numId w:val="14"/>
              </w:numPr>
              <w:jc w:val="both"/>
            </w:pPr>
            <w:r w:rsidRPr="0060110C">
              <w:t>opis powiązania/zależności; status</w:t>
            </w:r>
            <w:r w:rsidR="0067630F">
              <w:t>: wdrożone;</w:t>
            </w:r>
            <w:r w:rsidRPr="0060110C">
              <w:t xml:space="preserve"> powiązania/zależności</w:t>
            </w:r>
            <w:r>
              <w:t xml:space="preserve">: import na żądanie, Kronik@ wyświetla miniatury </w:t>
            </w:r>
            <w:proofErr w:type="spellStart"/>
            <w:r>
              <w:t>zdigitalizowanych</w:t>
            </w:r>
            <w:proofErr w:type="spellEnd"/>
            <w:r>
              <w:t xml:space="preserve"> dzieł wraz z ich wybranymi podstawowymi metadanymi, interakcja użytkownika przekierowuje do szczegółów wybranego dzieła bezpośrednio do strony PBM, która </w:t>
            </w:r>
            <w:r w:rsidRPr="00FD0C89">
              <w:t>udostępnia dokumenty cyfrowe (publikacje nutowe i zbiory ikonograficzne) wraz z zestawem metadanych opisowych.</w:t>
            </w:r>
          </w:p>
          <w:p w14:paraId="3BF8B3EF" w14:textId="77777777" w:rsidR="00F82254" w:rsidRDefault="009D4EA3" w:rsidP="009D4EA3">
            <w:pPr>
              <w:pStyle w:val="Other0"/>
              <w:ind w:left="720"/>
              <w:jc w:val="both"/>
            </w:pPr>
            <w:r w:rsidRPr="00FD0C89">
              <w:t xml:space="preserve">W czasie trwania projektu </w:t>
            </w:r>
            <w:r>
              <w:t>kilkukrotnie zostały wykonane</w:t>
            </w:r>
            <w:r w:rsidRPr="00FD0C89">
              <w:t xml:space="preserve"> import</w:t>
            </w:r>
            <w:r>
              <w:t>y</w:t>
            </w:r>
            <w:r w:rsidRPr="00FD0C89">
              <w:t xml:space="preserve"> danych z portalu PBM do zintegrowanej przestrzeni zapewniającej gromadzenie, udostępnianie, przechowywanie i zabezpieczanie cyfrowych obiektów kultury i nauki KRONIK@.</w:t>
            </w:r>
          </w:p>
          <w:p w14:paraId="64CEA581" w14:textId="41021BFC" w:rsidR="009D4EA3" w:rsidRPr="009D4EA3" w:rsidRDefault="009D4EA3" w:rsidP="009D4EA3">
            <w:pPr>
              <w:pStyle w:val="Other0"/>
              <w:ind w:left="720"/>
              <w:jc w:val="both"/>
            </w:pPr>
          </w:p>
        </w:tc>
      </w:tr>
      <w:tr w:rsidR="007C54F9" w:rsidRPr="002450C4" w14:paraId="168480FA" w14:textId="77777777" w:rsidTr="00941340">
        <w:tc>
          <w:tcPr>
            <w:tcW w:w="437" w:type="dxa"/>
          </w:tcPr>
          <w:p w14:paraId="0FF074B8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16BA67C6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9072" w:type="dxa"/>
          </w:tcPr>
          <w:p w14:paraId="082BE1DD" w14:textId="5147297C" w:rsidR="007C54F9" w:rsidRDefault="00C70954" w:rsidP="007C54F9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Utrzymanie projektu po jego zakończeniu będzie koordynowane i </w:t>
            </w:r>
            <w:r w:rsidR="00CA053C">
              <w:rPr>
                <w:bCs/>
                <w:i/>
                <w:sz w:val="18"/>
                <w:szCs w:val="20"/>
              </w:rPr>
              <w:t>finansowane</w:t>
            </w:r>
            <w:r>
              <w:rPr>
                <w:bCs/>
                <w:i/>
                <w:sz w:val="18"/>
                <w:szCs w:val="20"/>
              </w:rPr>
              <w:t xml:space="preserve"> przez Beneficjenta a po zatwierdzeniu finansowym uzyskanym z Instytucji Pośredniczącej koszty utrzymania projektu będą realizowane z zagwarantowanej przy składaniu wniosku konkursowym promesy.</w:t>
            </w:r>
          </w:p>
        </w:tc>
      </w:tr>
      <w:tr w:rsidR="009D3D41" w:rsidRPr="002450C4" w14:paraId="164564F3" w14:textId="77777777" w:rsidTr="00941340">
        <w:tc>
          <w:tcPr>
            <w:tcW w:w="437" w:type="dxa"/>
          </w:tcPr>
          <w:p w14:paraId="7454B84E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48" w:type="dxa"/>
          </w:tcPr>
          <w:p w14:paraId="712F7F18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9072" w:type="dxa"/>
          </w:tcPr>
          <w:p w14:paraId="3D86DC88" w14:textId="77777777" w:rsidR="00C70954" w:rsidRDefault="00C70954" w:rsidP="00C70954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Doświadczenia:</w:t>
            </w:r>
          </w:p>
          <w:p w14:paraId="79C73568" w14:textId="6DD3B333" w:rsidR="00C70954" w:rsidRDefault="00C70954" w:rsidP="00C70954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 - trudność we wprowadzaniu zmian w projekcie, na etapie planowania projektu, warto budżet planować w sposób elastyczny, tak, by </w:t>
            </w:r>
            <w:r w:rsidR="008D1BF2">
              <w:rPr>
                <w:bCs/>
                <w:i/>
                <w:sz w:val="18"/>
                <w:szCs w:val="20"/>
              </w:rPr>
              <w:t xml:space="preserve">zmniejszać ryzyko występowania trudności, </w:t>
            </w:r>
          </w:p>
          <w:p w14:paraId="6B9B861E" w14:textId="372BC0ED" w:rsidR="00C70954" w:rsidRDefault="00C70954" w:rsidP="00C70954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zmiany przepisów – warto przewidzieć w projekcie środki na realizację zadań wynikających ze zmian przepisów prawnych,</w:t>
            </w:r>
          </w:p>
          <w:p w14:paraId="42796DA8" w14:textId="77777777" w:rsidR="00C70954" w:rsidRDefault="00C70954" w:rsidP="00C70954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duża ilość danych konieczna do raportowania – uniwersalne systemy raportowania byłyby dużym ułatwieniem,</w:t>
            </w:r>
          </w:p>
          <w:p w14:paraId="19FCA12E" w14:textId="2019DD22" w:rsidR="00C70954" w:rsidRDefault="00C70954" w:rsidP="00C70954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duża ilość i wielkość plików – </w:t>
            </w:r>
            <w:r w:rsidR="008D1BF2">
              <w:rPr>
                <w:bCs/>
                <w:i/>
                <w:sz w:val="18"/>
                <w:szCs w:val="20"/>
              </w:rPr>
              <w:t xml:space="preserve">w ramach dobrej praktyki warto przeznaczyć środki w projekcie na zabezpieczanie </w:t>
            </w:r>
            <w:r w:rsidR="009D5501">
              <w:rPr>
                <w:bCs/>
                <w:i/>
                <w:sz w:val="18"/>
                <w:szCs w:val="20"/>
              </w:rPr>
              <w:t>zasobów cyfrowych</w:t>
            </w:r>
            <w:r w:rsidR="008D1BF2">
              <w:rPr>
                <w:bCs/>
                <w:i/>
                <w:sz w:val="18"/>
                <w:szCs w:val="20"/>
              </w:rPr>
              <w:t xml:space="preserve"> oraz stworzenie miejsca na ich przechowywanie</w:t>
            </w:r>
            <w:r w:rsidR="009D5501">
              <w:rPr>
                <w:bCs/>
                <w:i/>
                <w:sz w:val="18"/>
                <w:szCs w:val="20"/>
              </w:rPr>
              <w:t>,</w:t>
            </w:r>
          </w:p>
          <w:p w14:paraId="48752A54" w14:textId="726511F0" w:rsidR="00C70954" w:rsidRPr="008D1BF2" w:rsidRDefault="008D1BF2" w:rsidP="00C70954">
            <w:pPr>
              <w:jc w:val="both"/>
              <w:rPr>
                <w:bCs/>
                <w:i/>
                <w:sz w:val="18"/>
                <w:szCs w:val="20"/>
              </w:rPr>
            </w:pPr>
            <w:r w:rsidRPr="008D1BF2">
              <w:rPr>
                <w:bCs/>
                <w:i/>
                <w:sz w:val="18"/>
                <w:szCs w:val="20"/>
              </w:rPr>
              <w:t xml:space="preserve">- zatrudnienie wykwalifikowanego zespołu projektowego oraz zaplanowanie dodatkowych szkoleń podnoszących ich kwalifikacje, </w:t>
            </w:r>
          </w:p>
          <w:p w14:paraId="5C129DB2" w14:textId="1B452803" w:rsidR="008D1BF2" w:rsidRPr="008D1BF2" w:rsidRDefault="008D1BF2" w:rsidP="00C70954">
            <w:pPr>
              <w:jc w:val="both"/>
              <w:rPr>
                <w:bCs/>
                <w:i/>
                <w:sz w:val="18"/>
                <w:szCs w:val="20"/>
              </w:rPr>
            </w:pPr>
            <w:r w:rsidRPr="008D1BF2">
              <w:rPr>
                <w:bCs/>
                <w:i/>
                <w:sz w:val="18"/>
                <w:szCs w:val="20"/>
              </w:rPr>
              <w:t>- organizowanie cyklicznych spotkań z członkami zespołu projektowego, praca nad komunikacją w zespole</w:t>
            </w:r>
            <w:r w:rsidR="009D5501">
              <w:rPr>
                <w:bCs/>
                <w:i/>
                <w:sz w:val="18"/>
                <w:szCs w:val="20"/>
              </w:rPr>
              <w:t>.</w:t>
            </w:r>
          </w:p>
          <w:p w14:paraId="51E5B50D" w14:textId="77777777" w:rsidR="00C70954" w:rsidRDefault="00C70954" w:rsidP="00C70954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745F9A12" w14:textId="43AC2DD0" w:rsidR="00C70954" w:rsidRDefault="004A7D54" w:rsidP="00C70954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Sam proces digitalizacji, mimo problemów zewnętrznych, które wystąpiły, nie został zagrożony opóźnieniem lub nie groziło jego niezrealizowanie na czas</w:t>
            </w:r>
            <w:r w:rsidR="00C70954">
              <w:rPr>
                <w:bCs/>
                <w:i/>
                <w:sz w:val="18"/>
                <w:szCs w:val="20"/>
              </w:rPr>
              <w:t xml:space="preserve">. Zaistniała sytuacja epidemiologiczna wskazała, iż zdarzają się sytuacje nieprzewidziane na które w przypadku tak zdefiniowanych wydatków trudno reagować (jak wskazano powyżej zmiany w projekcie były trudne, jednak zastosowano rozwiązania związane z COVID, które ułatwiły realizację). </w:t>
            </w:r>
          </w:p>
          <w:p w14:paraId="462BB82D" w14:textId="027AD696" w:rsidR="009D3D41" w:rsidRDefault="009D3D41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7F3E8681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C08F4" w14:textId="77777777" w:rsidR="001C1FEF" w:rsidRDefault="001C1FEF" w:rsidP="00EC4C99">
      <w:pPr>
        <w:spacing w:after="0" w:line="240" w:lineRule="auto"/>
      </w:pPr>
      <w:r>
        <w:separator/>
      </w:r>
    </w:p>
  </w:endnote>
  <w:endnote w:type="continuationSeparator" w:id="0">
    <w:p w14:paraId="71479537" w14:textId="77777777" w:rsidR="001C1FEF" w:rsidRDefault="001C1FEF" w:rsidP="00EC4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F5EF5" w14:textId="77777777" w:rsidR="001C1FEF" w:rsidRDefault="001C1FEF" w:rsidP="00EC4C99">
      <w:pPr>
        <w:spacing w:after="0" w:line="240" w:lineRule="auto"/>
      </w:pPr>
      <w:r>
        <w:separator/>
      </w:r>
    </w:p>
  </w:footnote>
  <w:footnote w:type="continuationSeparator" w:id="0">
    <w:p w14:paraId="4450513F" w14:textId="77777777" w:rsidR="001C1FEF" w:rsidRDefault="001C1FEF" w:rsidP="00EC4C99">
      <w:pPr>
        <w:spacing w:after="0" w:line="240" w:lineRule="auto"/>
      </w:pPr>
      <w:r>
        <w:continuationSeparator/>
      </w:r>
    </w:p>
  </w:footnote>
  <w:footnote w:id="1">
    <w:p w14:paraId="39BAC0B1" w14:textId="4717AF43" w:rsidR="00257FDC" w:rsidRDefault="00257FDC" w:rsidP="00F56D5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726A6"/>
    <w:multiLevelType w:val="multilevel"/>
    <w:tmpl w:val="CBD08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226D7"/>
    <w:multiLevelType w:val="hybridMultilevel"/>
    <w:tmpl w:val="6BD2E468"/>
    <w:lvl w:ilvl="0" w:tplc="F142FF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43671C"/>
    <w:multiLevelType w:val="hybridMultilevel"/>
    <w:tmpl w:val="B7C49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2A0429"/>
    <w:multiLevelType w:val="hybridMultilevel"/>
    <w:tmpl w:val="46F20246"/>
    <w:lvl w:ilvl="0" w:tplc="7A56CE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1491914">
    <w:abstractNumId w:val="3"/>
  </w:num>
  <w:num w:numId="2" w16cid:durableId="360710800">
    <w:abstractNumId w:val="8"/>
  </w:num>
  <w:num w:numId="3" w16cid:durableId="997074740">
    <w:abstractNumId w:val="0"/>
  </w:num>
  <w:num w:numId="4" w16cid:durableId="1568495686">
    <w:abstractNumId w:val="13"/>
  </w:num>
  <w:num w:numId="5" w16cid:durableId="1373966486">
    <w:abstractNumId w:val="11"/>
  </w:num>
  <w:num w:numId="6" w16cid:durableId="586377707">
    <w:abstractNumId w:val="15"/>
  </w:num>
  <w:num w:numId="7" w16cid:durableId="477694060">
    <w:abstractNumId w:val="14"/>
  </w:num>
  <w:num w:numId="8" w16cid:durableId="1573270782">
    <w:abstractNumId w:val="4"/>
  </w:num>
  <w:num w:numId="9" w16cid:durableId="1974828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6395371">
    <w:abstractNumId w:val="7"/>
  </w:num>
  <w:num w:numId="11" w16cid:durableId="734625318">
    <w:abstractNumId w:val="9"/>
  </w:num>
  <w:num w:numId="12" w16cid:durableId="486559593">
    <w:abstractNumId w:val="10"/>
  </w:num>
  <w:num w:numId="13" w16cid:durableId="701396871">
    <w:abstractNumId w:val="6"/>
  </w:num>
  <w:num w:numId="14" w16cid:durableId="979379482">
    <w:abstractNumId w:val="5"/>
  </w:num>
  <w:num w:numId="15" w16cid:durableId="298459679">
    <w:abstractNumId w:val="2"/>
  </w:num>
  <w:num w:numId="16" w16cid:durableId="2567938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1387A"/>
    <w:rsid w:val="000177E1"/>
    <w:rsid w:val="00017A22"/>
    <w:rsid w:val="000331F7"/>
    <w:rsid w:val="00054163"/>
    <w:rsid w:val="00064386"/>
    <w:rsid w:val="00077AC5"/>
    <w:rsid w:val="00080505"/>
    <w:rsid w:val="000807CD"/>
    <w:rsid w:val="00087718"/>
    <w:rsid w:val="000C3C99"/>
    <w:rsid w:val="000D3CA9"/>
    <w:rsid w:val="000E0C6F"/>
    <w:rsid w:val="000E2C6F"/>
    <w:rsid w:val="000E3AB1"/>
    <w:rsid w:val="001455E8"/>
    <w:rsid w:val="00154A1C"/>
    <w:rsid w:val="001600BB"/>
    <w:rsid w:val="0017793F"/>
    <w:rsid w:val="001806EC"/>
    <w:rsid w:val="00195B52"/>
    <w:rsid w:val="001C1FEF"/>
    <w:rsid w:val="001C611C"/>
    <w:rsid w:val="001C6D7D"/>
    <w:rsid w:val="001D2322"/>
    <w:rsid w:val="001F7959"/>
    <w:rsid w:val="00205B7C"/>
    <w:rsid w:val="00215595"/>
    <w:rsid w:val="0021582D"/>
    <w:rsid w:val="00216AFF"/>
    <w:rsid w:val="00225813"/>
    <w:rsid w:val="00225BC2"/>
    <w:rsid w:val="002450C4"/>
    <w:rsid w:val="00257FDC"/>
    <w:rsid w:val="00261660"/>
    <w:rsid w:val="00262695"/>
    <w:rsid w:val="0026631D"/>
    <w:rsid w:val="0029613F"/>
    <w:rsid w:val="002A153C"/>
    <w:rsid w:val="002A728C"/>
    <w:rsid w:val="002A7BCD"/>
    <w:rsid w:val="002C77B7"/>
    <w:rsid w:val="002D14CD"/>
    <w:rsid w:val="003134C3"/>
    <w:rsid w:val="00331BF7"/>
    <w:rsid w:val="00332B6D"/>
    <w:rsid w:val="00350693"/>
    <w:rsid w:val="003B107D"/>
    <w:rsid w:val="003B5D86"/>
    <w:rsid w:val="003B7BD6"/>
    <w:rsid w:val="003D7919"/>
    <w:rsid w:val="004046DC"/>
    <w:rsid w:val="00433B9B"/>
    <w:rsid w:val="00497D64"/>
    <w:rsid w:val="004A7D54"/>
    <w:rsid w:val="004B19FE"/>
    <w:rsid w:val="004B2BFF"/>
    <w:rsid w:val="004C0E12"/>
    <w:rsid w:val="004D135D"/>
    <w:rsid w:val="00501BEE"/>
    <w:rsid w:val="0058262E"/>
    <w:rsid w:val="005A126F"/>
    <w:rsid w:val="005A4344"/>
    <w:rsid w:val="005A79A1"/>
    <w:rsid w:val="005C6255"/>
    <w:rsid w:val="005D4188"/>
    <w:rsid w:val="005E3CDD"/>
    <w:rsid w:val="005E65C8"/>
    <w:rsid w:val="00632AA0"/>
    <w:rsid w:val="00633970"/>
    <w:rsid w:val="0063515F"/>
    <w:rsid w:val="00643672"/>
    <w:rsid w:val="0067630F"/>
    <w:rsid w:val="00687AFE"/>
    <w:rsid w:val="006B7454"/>
    <w:rsid w:val="006C5DED"/>
    <w:rsid w:val="00716201"/>
    <w:rsid w:val="00731C9D"/>
    <w:rsid w:val="007329B7"/>
    <w:rsid w:val="00734197"/>
    <w:rsid w:val="00734F1D"/>
    <w:rsid w:val="007408A3"/>
    <w:rsid w:val="00743031"/>
    <w:rsid w:val="007437D9"/>
    <w:rsid w:val="00773523"/>
    <w:rsid w:val="007A0A3D"/>
    <w:rsid w:val="007C54F9"/>
    <w:rsid w:val="007C6FC7"/>
    <w:rsid w:val="007E2F1F"/>
    <w:rsid w:val="007E46E5"/>
    <w:rsid w:val="007E6098"/>
    <w:rsid w:val="007E72F4"/>
    <w:rsid w:val="007F14EA"/>
    <w:rsid w:val="007F63EF"/>
    <w:rsid w:val="00813FEF"/>
    <w:rsid w:val="00814C23"/>
    <w:rsid w:val="008213A6"/>
    <w:rsid w:val="008632E4"/>
    <w:rsid w:val="0087020A"/>
    <w:rsid w:val="008927DE"/>
    <w:rsid w:val="008B05BD"/>
    <w:rsid w:val="008C5C72"/>
    <w:rsid w:val="008D1BF2"/>
    <w:rsid w:val="008E0416"/>
    <w:rsid w:val="00905779"/>
    <w:rsid w:val="009067D7"/>
    <w:rsid w:val="0092099A"/>
    <w:rsid w:val="00920CE8"/>
    <w:rsid w:val="009325C5"/>
    <w:rsid w:val="00941340"/>
    <w:rsid w:val="00941838"/>
    <w:rsid w:val="00946BC4"/>
    <w:rsid w:val="009711C4"/>
    <w:rsid w:val="00982DC4"/>
    <w:rsid w:val="00996F06"/>
    <w:rsid w:val="009A6516"/>
    <w:rsid w:val="009D3D41"/>
    <w:rsid w:val="009D4EA3"/>
    <w:rsid w:val="009D5501"/>
    <w:rsid w:val="009E1398"/>
    <w:rsid w:val="00A12836"/>
    <w:rsid w:val="00A1534B"/>
    <w:rsid w:val="00A256DA"/>
    <w:rsid w:val="00A522AB"/>
    <w:rsid w:val="00A6601B"/>
    <w:rsid w:val="00A66965"/>
    <w:rsid w:val="00A710B2"/>
    <w:rsid w:val="00A80436"/>
    <w:rsid w:val="00A84F17"/>
    <w:rsid w:val="00A901B7"/>
    <w:rsid w:val="00A93800"/>
    <w:rsid w:val="00AA1C73"/>
    <w:rsid w:val="00AB24F2"/>
    <w:rsid w:val="00AD4FAB"/>
    <w:rsid w:val="00AF216B"/>
    <w:rsid w:val="00B0071E"/>
    <w:rsid w:val="00B04DC1"/>
    <w:rsid w:val="00B33C04"/>
    <w:rsid w:val="00B57299"/>
    <w:rsid w:val="00B64738"/>
    <w:rsid w:val="00B671FF"/>
    <w:rsid w:val="00B70C81"/>
    <w:rsid w:val="00B71464"/>
    <w:rsid w:val="00B77856"/>
    <w:rsid w:val="00B93735"/>
    <w:rsid w:val="00BA3D09"/>
    <w:rsid w:val="00BB5842"/>
    <w:rsid w:val="00BC120E"/>
    <w:rsid w:val="00BC79C4"/>
    <w:rsid w:val="00BE5F6D"/>
    <w:rsid w:val="00BF06C2"/>
    <w:rsid w:val="00C00A8D"/>
    <w:rsid w:val="00C230B9"/>
    <w:rsid w:val="00C306FC"/>
    <w:rsid w:val="00C37A3A"/>
    <w:rsid w:val="00C42446"/>
    <w:rsid w:val="00C546B0"/>
    <w:rsid w:val="00C56B53"/>
    <w:rsid w:val="00C67B9B"/>
    <w:rsid w:val="00C70954"/>
    <w:rsid w:val="00C87CDB"/>
    <w:rsid w:val="00C948E6"/>
    <w:rsid w:val="00CA053C"/>
    <w:rsid w:val="00CA79E4"/>
    <w:rsid w:val="00CB45DD"/>
    <w:rsid w:val="00CC1284"/>
    <w:rsid w:val="00CF4111"/>
    <w:rsid w:val="00D0784F"/>
    <w:rsid w:val="00D1287B"/>
    <w:rsid w:val="00D22A05"/>
    <w:rsid w:val="00D2582C"/>
    <w:rsid w:val="00D32DC9"/>
    <w:rsid w:val="00D35F9B"/>
    <w:rsid w:val="00D47EEA"/>
    <w:rsid w:val="00D6462B"/>
    <w:rsid w:val="00D65F79"/>
    <w:rsid w:val="00D94976"/>
    <w:rsid w:val="00DB4031"/>
    <w:rsid w:val="00DB70A5"/>
    <w:rsid w:val="00DC2F25"/>
    <w:rsid w:val="00DC7621"/>
    <w:rsid w:val="00E2025E"/>
    <w:rsid w:val="00E30008"/>
    <w:rsid w:val="00E35FEA"/>
    <w:rsid w:val="00E40288"/>
    <w:rsid w:val="00E52249"/>
    <w:rsid w:val="00E5622F"/>
    <w:rsid w:val="00E5797B"/>
    <w:rsid w:val="00E81EE3"/>
    <w:rsid w:val="00E828E5"/>
    <w:rsid w:val="00EA350E"/>
    <w:rsid w:val="00EC4C99"/>
    <w:rsid w:val="00ED1AEA"/>
    <w:rsid w:val="00EF094D"/>
    <w:rsid w:val="00F32CAA"/>
    <w:rsid w:val="00F55E78"/>
    <w:rsid w:val="00F579F0"/>
    <w:rsid w:val="00F60A81"/>
    <w:rsid w:val="00F741B3"/>
    <w:rsid w:val="00F82254"/>
    <w:rsid w:val="00F91B8A"/>
    <w:rsid w:val="00FA2C7F"/>
    <w:rsid w:val="00FD074F"/>
    <w:rsid w:val="00FD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467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Numerowanie,List Paragraph,Akapit z listą BS,L1,Normalny PDST,lp1,Preambuła,HŁ_Bullet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5DD"/>
    <w:rPr>
      <w:b/>
      <w:bCs/>
      <w:sz w:val="20"/>
      <w:szCs w:val="20"/>
    </w:rPr>
  </w:style>
  <w:style w:type="paragraph" w:customStyle="1" w:styleId="Default">
    <w:name w:val="Default"/>
    <w:rsid w:val="00216A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3CDD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Numerowanie Znak,List Paragraph Znak,Akapit z listą BS Znak,L1 Znak,Normalny PDST Znak,lp1 Znak,Preambuła Znak,HŁ_Bullet1 Znak"/>
    <w:basedOn w:val="Domylnaczcionkaakapitu"/>
    <w:link w:val="Akapitzlist"/>
    <w:uiPriority w:val="34"/>
    <w:locked/>
    <w:rsid w:val="005A79A1"/>
  </w:style>
  <w:style w:type="paragraph" w:styleId="Poprawka">
    <w:name w:val="Revision"/>
    <w:hidden/>
    <w:uiPriority w:val="99"/>
    <w:semiHidden/>
    <w:rsid w:val="00497D64"/>
    <w:pPr>
      <w:spacing w:after="0" w:line="240" w:lineRule="auto"/>
    </w:pPr>
  </w:style>
  <w:style w:type="character" w:customStyle="1" w:styleId="Other">
    <w:name w:val="Other_"/>
    <w:basedOn w:val="Domylnaczcionkaakapitu"/>
    <w:link w:val="Other0"/>
    <w:rsid w:val="00F579F0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F579F0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F579F0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F579F0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F579F0"/>
  </w:style>
  <w:style w:type="character" w:customStyle="1" w:styleId="Tablecaption">
    <w:name w:val="Table caption_"/>
    <w:basedOn w:val="Domylnaczcionkaakapitu"/>
    <w:link w:val="Tablecaption0"/>
    <w:rsid w:val="00F579F0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F579F0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4C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skabibliotekamuzyczn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7B8C2-DAEB-4E36-B3FC-6EBA2EDE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3075</Words>
  <Characters>18456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Justyna Frankowska</cp:lastModifiedBy>
  <cp:revision>16</cp:revision>
  <dcterms:created xsi:type="dcterms:W3CDTF">2024-02-26T11:16:00Z</dcterms:created>
  <dcterms:modified xsi:type="dcterms:W3CDTF">2024-02-28T08:06:00Z</dcterms:modified>
</cp:coreProperties>
</file>