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8.0 -->
  <w:body>
    <w:p w:rsidR="00A77B3E">
      <w:pPr>
        <w:keepNext w:val="0"/>
        <w:keepLines w:val="0"/>
        <w:numPr>
          <w:ilvl w:val="0"/>
          <w:numId w:val="0"/>
        </w:numPr>
        <w:spacing w:before="0" w:after="30" w:line="306" w:lineRule="atLeast"/>
        <w:ind w:left="0" w:right="0" w:firstLine="1020"/>
        <w:jc w:val="left"/>
        <w:rPr>
          <w:rFonts w:ascii="Times New Roman" w:eastAsia="Times New Roman" w:hAnsi="Times New Roman" w:cs="Times New Roman"/>
          <w:strike w:val="0"/>
          <w:color w:val="000000"/>
          <w:vertAlign w:val="baseline"/>
        </w:rPr>
      </w:pPr>
      <w:r>
        <w:rPr>
          <w:rFonts w:ascii="Times New Roman" w:eastAsia="Times New Roman" w:hAnsi="Times New Roman" w:cs="Times New Roman"/>
          <w:strike w:val="0"/>
          <w:color w:val="000000"/>
          <w:vertAlign w:val="baseline"/>
        </w:rPr>
        <w:drawing>
          <wp:inline>
            <wp:extent cx="723900" cy="666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keepNext w:val="0"/>
        <w:keepLines w:val="0"/>
        <w:numPr>
          <w:ilvl w:val="0"/>
          <w:numId w:val="0"/>
        </w:numPr>
        <w:spacing w:before="30" w:after="0" w:line="400" w:lineRule="exact"/>
        <w:ind w:left="0" w:right="0" w:firstLine="0"/>
        <w:jc w:val="left"/>
        <w:rPr>
          <w:rFonts w:ascii="Arial" w:eastAsia="Arial" w:hAnsi="Arial" w:cs="Arial"/>
          <w:b/>
          <w:i w:val="0"/>
          <w:strike w:val="0"/>
          <w:color w:val="000000"/>
          <w:sz w:val="28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000000"/>
          <w:sz w:val="28"/>
          <w:u w:val="none"/>
          <w:vertAlign w:val="baseline"/>
        </w:rPr>
        <w:t>WOJEWODA OPOLSKI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396" w:lineRule="exact"/>
        <w:ind w:left="5655" w:right="0" w:firstLine="0"/>
        <w:jc w:val="left"/>
        <w:rPr>
          <w:rFonts w:ascii="Arial" w:eastAsia="Arial" w:hAnsi="Arial" w:cs="Arial"/>
          <w:b/>
          <w:i w:val="0"/>
          <w:strike w:val="0"/>
          <w:color w:val="000000"/>
          <w:sz w:val="22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2"/>
          <w:u w:val="none"/>
          <w:vertAlign w:val="baseline"/>
        </w:rPr>
        <w:t>Opole</w:t>
      </w:r>
      <w:r>
        <w:rPr>
          <w:rFonts w:ascii="Arial" w:eastAsia="Arial" w:hAnsi="Arial" w:cs="Arial"/>
          <w:b/>
          <w:i w:val="0"/>
          <w:strike w:val="0"/>
          <w:color w:val="000000"/>
          <w:sz w:val="22"/>
          <w:u w:val="none"/>
          <w:vertAlign w:val="baseline"/>
        </w:rPr>
        <w:t xml:space="preserve">, </w:t>
      </w:r>
      <w:r>
        <w:rPr>
          <w:rFonts w:ascii="Arial" w:eastAsia="Arial" w:hAnsi="Arial" w:cs="Arial"/>
          <w:b w:val="0"/>
          <w:i w:val="0"/>
          <w:strike w:val="0"/>
          <w:color w:val="000000"/>
          <w:sz w:val="22"/>
          <w:u w:val="none"/>
          <w:vertAlign w:val="baseline"/>
        </w:rPr>
        <w:t xml:space="preserve">dnia </w:t>
      </w:r>
      <w:r>
        <w:rPr>
          <w:rFonts w:ascii="Arial" w:eastAsia="Arial" w:hAnsi="Arial" w:cs="Arial"/>
          <w:b w:val="0"/>
          <w:i w:val="0"/>
          <w:strike w:val="0"/>
          <w:color w:val="000000"/>
          <w:sz w:val="22"/>
          <w:u w:val="none"/>
          <w:vertAlign w:val="baseline"/>
        </w:rPr>
        <w:t>22 lutego 2022</w:t>
      </w:r>
      <w:r>
        <w:rPr>
          <w:rFonts w:ascii="Arial" w:eastAsia="Arial" w:hAnsi="Arial" w:cs="Arial"/>
          <w:b w:val="0"/>
          <w:i w:val="0"/>
          <w:strike w:val="0"/>
          <w:color w:val="000000"/>
          <w:sz w:val="22"/>
          <w:u w:val="none"/>
          <w:vertAlign w:val="baseline"/>
        </w:rPr>
        <w:t> r</w:t>
      </w:r>
      <w:r>
        <w:rPr>
          <w:rFonts w:ascii="Arial" w:eastAsia="Arial" w:hAnsi="Arial" w:cs="Arial"/>
          <w:b/>
          <w:i w:val="0"/>
          <w:strike w:val="0"/>
          <w:color w:val="000000"/>
          <w:sz w:val="22"/>
          <w:u w:val="none"/>
          <w:vertAlign w:val="baseline"/>
        </w:rPr>
        <w:t>.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396" w:lineRule="exact"/>
        <w:ind w:left="5655" w:right="0" w:firstLine="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2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2"/>
          <w:u w:val="none"/>
          <w:vertAlign w:val="baseline"/>
        </w:rPr>
        <w:t>PN.III.4131.1.23.2022</w:t>
      </w:r>
    </w:p>
    <w:p w:rsidR="00A77B3E">
      <w:pPr>
        <w:keepNext w:val="0"/>
        <w:keepLines w:val="0"/>
        <w:numPr>
          <w:ilvl w:val="0"/>
          <w:numId w:val="0"/>
        </w:numPr>
        <w:spacing w:before="840" w:after="0" w:line="300" w:lineRule="exact"/>
        <w:ind w:left="6075" w:right="15" w:firstLine="0"/>
        <w:jc w:val="left"/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  <w:t>Pan 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300" w:lineRule="exact"/>
        <w:ind w:left="6075" w:right="15" w:firstLine="0"/>
        <w:jc w:val="left"/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  <w:t>Dariusz Zajdel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300" w:lineRule="exact"/>
        <w:ind w:left="6075" w:right="15" w:firstLine="0"/>
        <w:jc w:val="left"/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  <w:t>Przewodniczący Rady Miejskiej w Zawadzkiem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300" w:lineRule="exact"/>
        <w:ind w:left="6075" w:right="15" w:firstLine="0"/>
        <w:jc w:val="left"/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  <w:t xml:space="preserve">ul. Dębowa 13 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300" w:lineRule="exact"/>
        <w:ind w:left="6075" w:right="15" w:firstLine="0"/>
        <w:jc w:val="left"/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  <w:t xml:space="preserve">47-120 Zawadzkie </w:t>
      </w:r>
    </w:p>
    <w:p w:rsidR="00A77B3E">
      <w:pPr>
        <w:keepNext w:val="0"/>
        <w:keepLines w:val="0"/>
        <w:numPr>
          <w:ilvl w:val="0"/>
          <w:numId w:val="0"/>
        </w:numPr>
        <w:spacing w:before="720" w:after="0" w:line="432" w:lineRule="exact"/>
        <w:ind w:left="0" w:right="15" w:firstLine="0"/>
        <w:jc w:val="center"/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  <w:t>Rozstrzygnięcie nadzorcze</w:t>
      </w:r>
    </w:p>
    <w:p w:rsidR="00A77B3E">
      <w:pPr>
        <w:keepNext w:val="0"/>
        <w:keepLines w:val="0"/>
        <w:numPr>
          <w:ilvl w:val="0"/>
          <w:numId w:val="0"/>
        </w:numPr>
        <w:spacing w:before="120" w:after="120" w:line="432" w:lineRule="exact"/>
        <w:ind w:left="15" w:right="15" w:firstLine="57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Na podstawie art. 91 ust. 1 i 3 ustawy z dnia 8 marca 1990 r. o samorządzie gminnym (Dz. U. z 2021 r. poz.1372)</w:t>
      </w:r>
    </w:p>
    <w:p w:rsidR="00A77B3E">
      <w:pPr>
        <w:keepNext w:val="0"/>
        <w:keepLines w:val="0"/>
        <w:numPr>
          <w:ilvl w:val="0"/>
          <w:numId w:val="0"/>
        </w:numPr>
        <w:spacing w:before="240" w:after="120" w:line="432" w:lineRule="exact"/>
        <w:ind w:left="15" w:right="15" w:firstLine="0"/>
        <w:jc w:val="center"/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  <w:t>stwierdzam</w:t>
      </w:r>
    </w:p>
    <w:p w:rsidR="00A77B3E">
      <w:pPr>
        <w:keepNext w:val="0"/>
        <w:keepLines w:val="0"/>
        <w:numPr>
          <w:ilvl w:val="0"/>
          <w:numId w:val="0"/>
        </w:numPr>
        <w:spacing w:before="240" w:after="120" w:line="432" w:lineRule="exact"/>
        <w:ind w:left="15" w:right="15" w:firstLine="57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nieważność uchwały Nr </w:t>
      </w: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XXXVI/259/22</w:t>
      </w: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 xml:space="preserve"> Rady Miejskiej w Zawadzkiem z dnia 24 stycznia 2022 r. w sprawie wyznaczenia miejsc do prowadzenia handlu w piątki i soboty przez rolników i ich domowników oraz określenia zasad prowadzenia handlu w piątki i soboty przez rolników na wyznaczonych miejscach, w części obejmującej § 6 załącznika do przedmiotowej uchwały – z powodu istotnego naruszenia prawa.</w:t>
      </w:r>
    </w:p>
    <w:p w:rsidR="00A77B3E">
      <w:pPr>
        <w:keepNext w:val="0"/>
        <w:keepLines w:val="0"/>
        <w:numPr>
          <w:ilvl w:val="0"/>
          <w:numId w:val="0"/>
        </w:numPr>
        <w:spacing w:before="300" w:after="90" w:line="432" w:lineRule="exact"/>
        <w:ind w:left="15" w:right="15" w:firstLine="0"/>
        <w:jc w:val="center"/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  <w:t>Uzasadnienie</w:t>
      </w:r>
    </w:p>
    <w:p w:rsidR="00A77B3E">
      <w:pPr>
        <w:keepNext w:val="0"/>
        <w:keepLines w:val="0"/>
        <w:numPr>
          <w:ilvl w:val="0"/>
          <w:numId w:val="0"/>
        </w:numPr>
        <w:spacing w:before="210" w:after="120" w:line="432" w:lineRule="exact"/>
        <w:ind w:left="15" w:right="15" w:firstLine="57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W dniu 24 stycznia 2022 r. Rada Miejska w Zawadzkiem, powołując się art. 3, art. 5 i art. 6 ustawy z dnia 29 października 2021 r. o ułatwieniach w prowadzeniu handlu w piątki i soboty przez rolników i ich domowników (t.j. Dz. U. z 2021 r. poz. 2290)  podjęła uchwałę nr </w:t>
      </w: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XXXVI/259/22</w:t>
      </w: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 xml:space="preserve"> w sprawie wyznaczenia miejsc do prowadzenia handlu w piątki i soboty przez rolników i ich domowników oraz określenia zasad prowadzenia handlu w piątki i soboty przez rolników na wyznaczonych miejscach. Przedmiotowa uchwała wpłynęła do organu nadzoru w dniu 26 stycznia 2022 r.</w:t>
      </w:r>
    </w:p>
    <w:p w:rsidR="00A77B3E">
      <w:pPr>
        <w:keepNext w:val="0"/>
        <w:keepLines w:val="0"/>
        <w:numPr>
          <w:ilvl w:val="0"/>
          <w:numId w:val="0"/>
        </w:numPr>
        <w:spacing w:before="240" w:after="0" w:line="432" w:lineRule="exact"/>
        <w:ind w:left="15" w:right="15" w:firstLine="57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 xml:space="preserve">W kwestionowanym akcie Rada Miejska w Zawadzkiem ustaliła szereg zachowań, które uznała za zabronione w miejscu </w:t>
      </w: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wyznaczonym</w:t>
      </w: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 xml:space="preserve"> do prowadzenia handlu w piątki i soboty przez rolników i ich domowników. W ocenie organu nadzoru przedmiotowa uchwała, w tym zakresie w sposób istotny narusza prawo. Przekroczono bowiem delegację ustawową, wynikającą z</w:t>
      </w: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 art. 5 ustawy o ułatwieniach w prowadzeniu handlu w piątki i soboty przez rolników i ich domowników. Za nierespektujące zakresu upoważnienia ustawowego należy uznać postanowienia zawarte w § 6 regulaminu stanowiącego załącznik do ww. uchwały, a mianowicie: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432" w:lineRule="exact"/>
        <w:ind w:left="270" w:right="0" w:firstLine="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1) zakaz prowadzenia wszelkiego rodzaju gier hazardowych – stanowi powtórzenie art. 128 ustawy z dnia 20 maja 1971 r. Kodeks wykroczeń (Dz. U. z 2021 r. poz. 2008),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432" w:lineRule="exact"/>
        <w:ind w:left="270" w:right="0" w:firstLine="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 xml:space="preserve">2) zakaz przebywania w stanie nietrzeźwym i zakaz spożywania napojów alkoholowych – sprawy związane ze sprzedażą, podawaniem oraz spożywaniem napojów alkoholowych uregulowane zostały w sposób kompleksowy w art. 14 </w:t>
      </w: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ustawy z dnia 26 października 1982 r. o wychowaniu w trzeźwości i przeciwdziałaniu alkoholizmowi (Dz. U. z 2021 r. poz. 1119). W szczególności art. 14 ust. 6 ww. ustawy upoważnia radę gminy do ustanowienia czasowego lub stałego zakazu sprzedaży, podawania, spożywania oraz wnoszenia napojów alkoholowych w innych niewymienionych w ustawie miejscach, obiektach lub na określonych obszarach gminy, ze względu na ich charakter. Mając na uwadze powyższe należy podkreślić, że wprowadzenie tego rodzaju zakazów nie może następować w przedmiotowym regulaminie, podejmowanym na podstawie art. 5 ustawy o ułatwieniach w prowadzeniu handlu w piątki i soboty przez rolników i ich domowników,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432" w:lineRule="exact"/>
        <w:ind w:left="270" w:right="0" w:firstLine="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3) zakaz używania substancji zmieniających świadomość – wynika z art. 62 ustawy z dnia 29 lipca 2005 r. o przeciwdziałaniu narkomanii (Dz. U. z 2020 r. poz. 2050),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432" w:lineRule="exact"/>
        <w:ind w:left="270" w:right="0" w:firstLine="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4) zakaz zaśmiecania terenów - został uregulowany w art. 145 Kodeksu wykroczeń, 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432" w:lineRule="exact"/>
        <w:ind w:left="270" w:right="0" w:firstLine="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5) zakaz niszczenia obiektów i urządzeń – normuje art. 124 § 1 Kodeksu wykroczeń.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432" w:lineRule="exact"/>
        <w:ind w:left="0" w:right="0" w:firstLine="57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 xml:space="preserve">Rada gminy, formułując postanowienia uchwały stanowiącej akt prawa miejscowego, nie tylko nie może wykraczać poza zakres ustawowego upoważnienia, ale i naruszać innych powszechnie obowiązujących przepisów prawa. Stąd też, akty prawa miejscowego nie powinny w żaden sposób regulować materii należącej do przepisów wyższego rzędu i tymi przepisami normowanej (nawet, jeśli taka regulacja stanowiłaby jedynie powtórzenie obowiązującego przepisu). Ponowne uregulowanie przez radę gminy materii ustawowej prowadzić może do sprzeczności z obowiązującym w tym zakresie przepisem ustawy, i to nie tylko w przypadkach, w których postanowienia uchwały w sposób oczywisty normują określone zagadnienia wbrew obowiązującym przepisom prawa. Również i modyfikacja, czy powtórzenie przepisów ustawy może wypaczyć ich sens. Trzeba bowiem liczyć się z tym, że powtórzony, czy zmodyfikowany przepis będzie interpretowany w kontekście uchwały, co może spowodować całkowitą lub częściową zmianę intencji prawodawcy. </w:t>
      </w:r>
    </w:p>
    <w:p w:rsidR="00A77B3E">
      <w:pPr>
        <w:keepNext w:val="0"/>
        <w:keepLines w:val="0"/>
        <w:numPr>
          <w:ilvl w:val="0"/>
          <w:numId w:val="0"/>
        </w:numPr>
        <w:spacing w:before="240" w:after="240" w:line="432" w:lineRule="exact"/>
        <w:ind w:left="0" w:right="0" w:firstLine="57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Ustawodawca, kształtując upoważnienie rady do wydania uchwały w tym przedmiocie, precyzyjnie wskazał, które kwestie pozostawił regulacji jednostki samorządu terytorialnego. W przypadku aktów prawa miejscowego przekroczenie delegacji ustawowej stanowi istotne naruszenie prawa. Rada gminy obowiązana jest przestrzegać zakresu udzielonego przez ustawę upoważnienia w zakresie tworzenia przepisów wykonawczych, a w tych działaniach nie może tego upoważniania zawężać i przekraczać. Wydając akty będące źródłem powszechnie obowiązującego prawa Rzeczpospolitej Polskiej na obszarze danej gminy (art. 87 ust. 2 Konstytucji RP) musi respektować zakres delegacji zawartej w aktach prawnych wyższego rzędu, powstrzymując się od wypełniania ich treści postanowieniami ustawy (por. wyrok NSA z dnia 28 lutego 2003 r., sygn. akt I SA/Lu 882/02).</w:t>
      </w:r>
    </w:p>
    <w:p w:rsidR="00A77B3E">
      <w:pPr>
        <w:keepNext w:val="0"/>
        <w:keepLines w:val="0"/>
        <w:numPr>
          <w:ilvl w:val="0"/>
          <w:numId w:val="0"/>
        </w:numPr>
        <w:spacing w:before="360" w:after="120" w:line="432" w:lineRule="exact"/>
        <w:ind w:left="15" w:right="15" w:firstLine="57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Mając na uwadze powyższe, stwierdzam jak na wstępie.</w:t>
      </w:r>
    </w:p>
    <w:p w:rsidR="00A77B3E">
      <w:pPr>
        <w:keepNext w:val="0"/>
        <w:keepLines w:val="0"/>
        <w:numPr>
          <w:ilvl w:val="0"/>
          <w:numId w:val="0"/>
        </w:numPr>
        <w:spacing w:before="240" w:after="120" w:line="432" w:lineRule="exact"/>
        <w:ind w:left="15" w:right="15" w:firstLine="57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Na podstawie art. 98 ust. 1 ustawy z dnia 8 marca 1990 r. o samorządzie gminnym, w związku z art. 54 § 1 ustawy z dnia 30 sierpnia 2002 r. o postępowaniu przed sądami administracyjnymi (Dz. U. z 2019 r. poz. 2325) niniejsze rozstrzygnięcie nadzorcze może być zaskarżone do Wojewódzkiego Sądu Administracyjnego w Opolu za pośrednictwem Wojewody Opolskiego w terminie 30 dni od dnia jego doręczenia.</w:t>
      </w:r>
    </w:p>
    <w:p w:rsidR="00A77B3E">
      <w:pPr>
        <w:keepNext w:val="0"/>
        <w:keepLines w:val="0"/>
        <w:numPr>
          <w:ilvl w:val="0"/>
          <w:numId w:val="0"/>
        </w:numPr>
        <w:spacing w:before="570" w:after="0" w:line="396" w:lineRule="exact"/>
        <w:ind w:left="4500" w:right="0" w:firstLine="0"/>
        <w:jc w:val="center"/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  <w:t xml:space="preserve">Z up. Wojewody Opolskiego 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432" w:lineRule="exact"/>
        <w:ind w:left="4500" w:right="0" w:firstLine="0"/>
        <w:jc w:val="center"/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</w:pPr>
    </w:p>
    <w:p w:rsidR="00A77B3E">
      <w:pPr>
        <w:keepNext w:val="0"/>
        <w:keepLines w:val="0"/>
        <w:numPr>
          <w:ilvl w:val="0"/>
          <w:numId w:val="0"/>
        </w:numPr>
        <w:spacing w:before="225" w:after="0" w:line="396" w:lineRule="exact"/>
        <w:ind w:left="4500" w:right="0" w:firstLine="0"/>
        <w:jc w:val="center"/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  <w:t>Ewelina Kurzydło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396" w:lineRule="exact"/>
        <w:ind w:left="4500" w:right="0" w:firstLine="0"/>
        <w:jc w:val="center"/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  <w:t xml:space="preserve">Zastępca Dyrektora 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396" w:lineRule="exact"/>
        <w:ind w:left="4500" w:right="0" w:firstLine="0"/>
        <w:jc w:val="center"/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  <w:t>Wydziału Prawnego i Nadzoru</w:t>
      </w:r>
    </w:p>
    <w:p w:rsidR="00A77B3E">
      <w:pPr>
        <w:keepNext w:val="0"/>
        <w:keepLines w:val="0"/>
        <w:numPr>
          <w:ilvl w:val="0"/>
          <w:numId w:val="0"/>
        </w:numPr>
        <w:spacing w:before="540" w:after="270" w:line="432" w:lineRule="exact"/>
        <w:ind w:left="0" w:right="15" w:firstLine="4950"/>
        <w:jc w:val="center"/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</w:pPr>
    </w:p>
    <w:p w:rsidR="00A77B3E">
      <w:pPr>
        <w:keepNext w:val="0"/>
        <w:keepLines w:val="0"/>
        <w:numPr>
          <w:ilvl w:val="0"/>
          <w:numId w:val="0"/>
        </w:numPr>
        <w:spacing w:before="1095" w:after="0" w:line="275" w:lineRule="exact"/>
        <w:ind w:left="0" w:right="15" w:firstLine="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2"/>
          <w:u w:val="none"/>
          <w:vertAlign w:val="baseline"/>
        </w:rPr>
        <w:sectPr>
          <w:headerReference w:type="default" r:id="rId5"/>
          <w:footerReference w:type="default" r:id="rId6"/>
          <w:headerReference w:type="first" r:id="rId7"/>
          <w:footerReference w:type="first" r:id="rId8"/>
          <w:endnotePr>
            <w:numFmt w:val="decimal"/>
          </w:endnotePr>
          <w:pgSz w:w="11906" w:h="16838"/>
          <w:pgMar w:top="1115" w:right="1060" w:bottom="1115" w:left="1060" w:header="0" w:footer="0" w:gutter="0"/>
          <w:cols w:space="708"/>
          <w:titlePg/>
          <w:docGrid w:linePitch="360"/>
        </w:sectPr>
      </w:pPr>
      <w:r>
        <w:rPr>
          <w:rFonts w:ascii="Arial" w:eastAsia="Arial" w:hAnsi="Arial" w:cs="Arial"/>
          <w:b w:val="0"/>
          <w:i w:val="0"/>
          <w:strike w:val="0"/>
          <w:color w:val="000000"/>
          <w:sz w:val="22"/>
          <w:u w:val="none"/>
          <w:vertAlign w:val="baseline"/>
        </w:rPr>
        <w:t>Prowadzący sprawę: Wojciech Cybulski  Referent prawny, Wydział Prawny i Nadzoru, tel. 77 45 24 549.</w:t>
      </w:r>
    </w:p>
    <w:p w:rsidR="00A77B3E">
      <w:pPr>
        <w:keepNext w:val="0"/>
        <w:keepLines w:val="0"/>
        <w:numPr>
          <w:ilvl w:val="0"/>
          <w:numId w:val="0"/>
        </w:numPr>
        <w:spacing w:before="105" w:after="105" w:line="306" w:lineRule="atLeast"/>
        <w:ind w:left="0" w:right="0" w:firstLine="0"/>
        <w:jc w:val="left"/>
        <w:rPr>
          <w:rFonts w:ascii="Times New Roman" w:eastAsia="Times New Roman" w:hAnsi="Times New Roman" w:cs="Times New Roman"/>
          <w:b/>
          <w:i w:val="0"/>
          <w:strike w:val="0"/>
          <w:color w:val="000000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trike w:val="0"/>
          <w:color w:val="000000"/>
          <w:vertAlign w:val="baseline"/>
        </w:rPr>
        <w:drawing>
          <wp:inline>
            <wp:extent cx="304800" cy="304800"/>
            <wp:docPr id="207989695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896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 w:val="0"/>
          <w:strike w:val="0"/>
          <w:color w:val="000000"/>
          <w:sz w:val="22"/>
          <w:u w:val="none"/>
          <w:vertAlign w:val="baseline"/>
        </w:rPr>
        <w:t>POTWIERDZENIE ZGODNOŚCI KOPII Z DOKUMENTEM ELEKTRONICZNYM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310"/>
        <w:gridCol w:w="7155"/>
        <w:gridCol w:w="170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cantSplit w:val="0"/>
          <w:trHeight w:hRule="auto" w:val="0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Typ dokumentu</w:t>
            </w:r>
          </w:p>
        </w:tc>
        <w:tc>
          <w:tcPr>
            <w:tcW w:w="7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Rozstrzygnięcie nadzorcze w części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0" w:after="0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cantSplit w:val="0"/>
          <w:trHeight w:hRule="auto" w:val="0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Tytuł dokumentu</w:t>
            </w:r>
          </w:p>
        </w:tc>
        <w:tc>
          <w:tcPr>
            <w:tcW w:w="7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43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0" w:after="0" w:line="343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cantSplit w:val="0"/>
          <w:trHeight w:hRule="auto" w:val="0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Sygnatura</w:t>
            </w:r>
          </w:p>
        </w:tc>
        <w:tc>
          <w:tcPr>
            <w:tcW w:w="7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PN.III.4131.1.23.2022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0" w:after="0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cantSplit w:val="0"/>
          <w:trHeight w:hRule="auto" w:val="0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Data dokumentu</w:t>
            </w:r>
          </w:p>
        </w:tc>
        <w:tc>
          <w:tcPr>
            <w:tcW w:w="7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2022-02-22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0" w:after="0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cantSplit w:val="0"/>
          <w:trHeight w:hRule="auto" w:val="0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Data złożenia podpisu</w:t>
            </w:r>
          </w:p>
        </w:tc>
        <w:tc>
          <w:tcPr>
            <w:tcW w:w="7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2022-02-22 10:52:29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0" w:after="0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cantSplit w:val="0"/>
          <w:trHeight w:hRule="auto" w:val="0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Osoba podpisująca</w:t>
            </w:r>
          </w:p>
        </w:tc>
        <w:tc>
          <w:tcPr>
            <w:tcW w:w="7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Ewelina Kurzydło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0" w:after="0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cantSplit w:val="0"/>
          <w:trHeight w:hRule="auto" w:val="0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Wystawca certyfikatu</w:t>
            </w:r>
          </w:p>
        </w:tc>
        <w:tc>
          <w:tcPr>
            <w:tcW w:w="7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2.5.4.97=VATPL-5260300517, CN=COPE SZAFIR - Kwalifikowany, O=Krajowa Izba Rozliczeniowa S.A., C=PL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0" w:after="0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cantSplit w:val="0"/>
          <w:trHeight w:hRule="auto" w:val="0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Identyfikator dokumentu</w:t>
            </w:r>
          </w:p>
        </w:tc>
        <w:tc>
          <w:tcPr>
            <w:tcW w:w="7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F4199878-4967-4B42-9E08-B96AD2149B98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</w:tbl>
    <w:p w:rsidR="00A77B3E">
      <w:pPr>
        <w:keepNext w:val="0"/>
        <w:keepLines w:val="0"/>
        <w:numPr>
          <w:ilvl w:val="0"/>
          <w:numId w:val="0"/>
        </w:numPr>
        <w:spacing w:before="105" w:after="0" w:line="314" w:lineRule="exact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trike w:val="0"/>
          <w:color w:val="000000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trike w:val="0"/>
          <w:color w:val="000000"/>
          <w:sz w:val="22"/>
          <w:u w:val="none"/>
          <w:vertAlign w:val="baseline"/>
        </w:rPr>
        <w:t>Data wydruku: 8 marca 2022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314" w:lineRule="exact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trike w:val="0"/>
          <w:color w:val="000000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trike w:val="0"/>
          <w:color w:val="000000"/>
          <w:sz w:val="22"/>
          <w:u w:val="none"/>
          <w:vertAlign w:val="baseline"/>
        </w:rPr>
        <w:t>Autor wydruku: Wojciech Cybulski</w:t>
      </w:r>
    </w:p>
    <w:sectPr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15" w:right="1060" w:bottom="1115" w:left="1060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keepNext w:val="0"/>
      <w:keepLines w:val="0"/>
      <w:numPr>
        <w:ilvl w:val="0"/>
        <w:numId w:val="0"/>
      </w:numPr>
      <w:spacing w:before="105" w:after="105" w:line="314" w:lineRule="exact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pP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>Strona 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begin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instrText>PAGE</w:instrTex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separate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>4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end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 xml:space="preserve"> z 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begin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instrText>NUMPAGES</w:instrTex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separate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>4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end"/>
    </w:r>
  </w:p>
  <w:p>
    <w:pPr>
      <w:keepNext w:val="0"/>
      <w:keepLines w:val="0"/>
      <w:numPr>
        <w:ilvl w:val="0"/>
        <w:numId w:val="0"/>
      </w:numPr>
      <w:spacing w:before="105" w:after="300" w:line="314" w:lineRule="exact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u w:val="none"/>
        <w:vertAlign w:val="baseline"/>
      </w:rPr>
    </w:pPr>
    <w: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u w:val="none"/>
        <w:vertAlign w:val="baseline"/>
      </w:rPr>
      <w:t>Id: F4199878-4967-4B42-9E08-B96AD2149B98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keepNext w:val="0"/>
      <w:keepLines w:val="0"/>
      <w:numPr>
        <w:ilvl w:val="0"/>
        <w:numId w:val="0"/>
      </w:numPr>
      <w:spacing w:before="105" w:after="105" w:line="314" w:lineRule="exact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pP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>Strona 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begin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instrText>PAGE</w:instrTex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separate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>1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end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 xml:space="preserve"> z 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begin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instrText>NUMPAGES</w:instrTex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separate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>4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end"/>
    </w:r>
  </w:p>
  <w:p>
    <w:pPr>
      <w:keepNext w:val="0"/>
      <w:keepLines w:val="0"/>
      <w:numPr>
        <w:ilvl w:val="0"/>
        <w:numId w:val="0"/>
      </w:numPr>
      <w:spacing w:before="105" w:after="300" w:line="314" w:lineRule="exact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u w:val="none"/>
        <w:vertAlign w:val="baseline"/>
      </w:rPr>
    </w:pPr>
    <w: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u w:val="none"/>
        <w:vertAlign w:val="baseline"/>
      </w:rPr>
      <w:t>Id: F4199878-4967-4B42-9E08-B96AD2149B98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keepNext w:val="0"/>
      <w:keepLines w:val="0"/>
      <w:numPr>
        <w:ilvl w:val="0"/>
        <w:numId w:val="0"/>
      </w:numPr>
      <w:spacing w:before="105" w:after="105" w:line="314" w:lineRule="exact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pP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>Strona 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begin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instrText>PAGE</w:instrTex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separate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end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 xml:space="preserve"> z 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begin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instrText>NUMPAGES</w:instrTex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separate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end"/>
    </w:r>
  </w:p>
  <w:p>
    <w:pPr>
      <w:keepNext w:val="0"/>
      <w:keepLines w:val="0"/>
      <w:numPr>
        <w:ilvl w:val="0"/>
        <w:numId w:val="0"/>
      </w:numPr>
      <w:spacing w:before="105" w:after="300" w:line="314" w:lineRule="exact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u w:val="none"/>
        <w:vertAlign w:val="baseline"/>
      </w:rPr>
    </w:pPr>
    <w: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u w:val="none"/>
        <w:vertAlign w:val="baseline"/>
      </w:rPr>
      <w:t>Id: F4199878-4967-4B42-9E08-B96AD2149B98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keepNext w:val="0"/>
      <w:keepLines w:val="0"/>
      <w:numPr>
        <w:ilvl w:val="0"/>
        <w:numId w:val="0"/>
      </w:numPr>
      <w:spacing w:before="105" w:after="105" w:line="314" w:lineRule="exact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pP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>Strona 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begin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instrText>PAGE</w:instrTex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separate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end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 xml:space="preserve"> z 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begin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instrText>NUMPAGES</w:instrTex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separate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end"/>
    </w:r>
  </w:p>
  <w:p>
    <w:pPr>
      <w:keepNext w:val="0"/>
      <w:keepLines w:val="0"/>
      <w:numPr>
        <w:ilvl w:val="0"/>
        <w:numId w:val="0"/>
      </w:numPr>
      <w:spacing w:before="105" w:after="300" w:line="314" w:lineRule="exact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u w:val="none"/>
        <w:vertAlign w:val="baseline"/>
      </w:rPr>
    </w:pPr>
    <w: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u w:val="none"/>
        <w:vertAlign w:val="baseline"/>
      </w:rPr>
      <w:t>Id: F4199878-4967-4B42-9E08-B96AD2149B98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keepNext w:val="0"/>
      <w:keepLines w:val="0"/>
      <w:numPr>
        <w:ilvl w:val="0"/>
        <w:numId w:val="0"/>
      </w:numPr>
      <w:spacing w:before="105" w:after="105" w:line="343" w:lineRule="exact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keepNext w:val="0"/>
      <w:keepLines w:val="0"/>
      <w:numPr>
        <w:ilvl w:val="0"/>
        <w:numId w:val="0"/>
      </w:numPr>
      <w:spacing w:before="105" w:after="105" w:line="343" w:lineRule="exact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keepNext w:val="0"/>
      <w:keepLines w:val="0"/>
      <w:numPr>
        <w:ilvl w:val="0"/>
        <w:numId w:val="0"/>
      </w:numPr>
      <w:spacing w:before="105" w:after="105" w:line="343" w:lineRule="exact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keepNext w:val="0"/>
      <w:keepLines w:val="0"/>
      <w:numPr>
        <w:ilvl w:val="0"/>
        <w:numId w:val="0"/>
      </w:numPr>
      <w:spacing w:before="105" w:after="105" w:line="343" w:lineRule="exact"/>
      <w:ind w:left="0" w:right="0" w:firstLine="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header" Target="header4.xml" /><Relationship Id="rId13" Type="http://schemas.openxmlformats.org/officeDocument/2006/relationships/footer" Target="footer4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4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