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7FB" w14:textId="068AD7DA" w:rsidR="004E16C6" w:rsidRPr="004E16C6" w:rsidRDefault="004E16C6" w:rsidP="004E16C6">
      <w:pPr>
        <w:tabs>
          <w:tab w:val="left" w:pos="6135"/>
        </w:tabs>
        <w:spacing w:line="240" w:lineRule="auto"/>
        <w:ind w:left="1134" w:right="567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Załącznik nr 5 postępowania dyscyplinarne wobec funkcjonariuszy Policji</w:t>
      </w:r>
    </w:p>
    <w:p w14:paraId="595D537C" w14:textId="636B4FFA" w:rsidR="004E16C6" w:rsidRPr="004E16C6" w:rsidRDefault="004E16C6" w:rsidP="004E16C6">
      <w:pPr>
        <w:tabs>
          <w:tab w:val="left" w:pos="6135"/>
        </w:tabs>
        <w:spacing w:line="240" w:lineRule="auto"/>
        <w:ind w:right="567"/>
        <w:jc w:val="both"/>
        <w:rPr>
          <w:sz w:val="24"/>
          <w:szCs w:val="24"/>
          <w:lang w:eastAsia="pl-PL"/>
        </w:rPr>
      </w:pPr>
      <w:r w:rsidRPr="004E16C6">
        <w:rPr>
          <w:sz w:val="24"/>
          <w:szCs w:val="24"/>
          <w:lang w:eastAsia="pl-PL"/>
        </w:rPr>
        <w:t>Informacje na temat sankcji dyscyplinarnych w sprawach dotyczących stosowania tortur, złego traktowania i nadużywania siły przez funkcjonariuszy Policji zawierają się w</w:t>
      </w:r>
      <w:r w:rsidR="00D708E8">
        <w:rPr>
          <w:sz w:val="24"/>
          <w:szCs w:val="24"/>
          <w:lang w:eastAsia="pl-PL"/>
        </w:rPr>
        <w:t> </w:t>
      </w:r>
      <w:r w:rsidRPr="004E16C6">
        <w:rPr>
          <w:sz w:val="24"/>
          <w:szCs w:val="24"/>
          <w:lang w:eastAsia="pl-PL"/>
        </w:rPr>
        <w:t>danych wyróżnianych w statystyce policyjnej pod określeniem „przewinienia dyscyplinarne w związku z naruszeniem praw człowieka” oraz pod określeniem „przewinienia dyscyplinarne w związku z użyciem lub wykorzystaniem broni palnej lub środków przymusu bezpośredniego”. Uwzględniając, że przewinienie dyscyplinarne polegające na naruszeniu praw człowieka może wynikać z użycia wskazanych środków w niewłaściwy sposób, w związku z czym ten sam czyn może zostać wliczony do obu wskazanych kategorii przewinień dyscyplinarnych, należy zauważyć, iż przedmiotowe dane statystyczne nie sumują się. Dane te za lata 2019-2022 (za rok 2023 pierwsze dane pojawią się po I półroczu) przedstawiają się w następujący sposób:</w:t>
      </w:r>
    </w:p>
    <w:p w14:paraId="6C58AAF0" w14:textId="77777777" w:rsidR="004E16C6" w:rsidRPr="004E16C6" w:rsidRDefault="004E16C6" w:rsidP="004E16C6">
      <w:pPr>
        <w:tabs>
          <w:tab w:val="left" w:pos="6135"/>
        </w:tabs>
        <w:spacing w:line="240" w:lineRule="auto"/>
        <w:jc w:val="both"/>
        <w:rPr>
          <w:sz w:val="24"/>
          <w:szCs w:val="24"/>
          <w:lang w:eastAsia="pl-PL"/>
        </w:rPr>
      </w:pPr>
    </w:p>
    <w:tbl>
      <w:tblPr>
        <w:tblpPr w:leftFromText="141" w:rightFromText="141" w:vertAnchor="text" w:tblpX="-856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1128"/>
        <w:gridCol w:w="1030"/>
        <w:gridCol w:w="779"/>
        <w:gridCol w:w="1168"/>
        <w:gridCol w:w="1134"/>
        <w:gridCol w:w="850"/>
        <w:gridCol w:w="1134"/>
        <w:gridCol w:w="1140"/>
      </w:tblGrid>
      <w:tr w:rsidR="004E16C6" w:rsidRPr="004E16C6" w14:paraId="63A7D299" w14:textId="77777777" w:rsidTr="00254FE0">
        <w:tc>
          <w:tcPr>
            <w:tcW w:w="1271" w:type="dxa"/>
            <w:vMerge w:val="restart"/>
            <w:shd w:val="clear" w:color="auto" w:fill="auto"/>
            <w:vAlign w:val="center"/>
          </w:tcPr>
          <w:p w14:paraId="20A2B2CC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 xml:space="preserve">Rok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B20E7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Liczba prawomocnie zakończonych postępowań dyscyplinarnych za przewinienia dyscyplinarne związane z:</w:t>
            </w:r>
          </w:p>
        </w:tc>
        <w:tc>
          <w:tcPr>
            <w:tcW w:w="7235" w:type="dxa"/>
            <w:gridSpan w:val="7"/>
            <w:shd w:val="clear" w:color="auto" w:fill="auto"/>
            <w:vAlign w:val="center"/>
          </w:tcPr>
          <w:p w14:paraId="75E169E1" w14:textId="7991234F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Kary dyscyplinarne orzeczone za przewinienia dyscyplinarne związane z naruszeniem praw człowieka oraz użyciem broni palnej lub środków przymusu bezpośredniego</w:t>
            </w:r>
          </w:p>
        </w:tc>
      </w:tr>
      <w:tr w:rsidR="00254FE0" w:rsidRPr="004E16C6" w14:paraId="7934603E" w14:textId="77777777" w:rsidTr="00987425">
        <w:trPr>
          <w:cantSplit/>
        </w:trPr>
        <w:tc>
          <w:tcPr>
            <w:tcW w:w="1271" w:type="dxa"/>
            <w:vMerge/>
            <w:shd w:val="clear" w:color="auto" w:fill="auto"/>
            <w:vAlign w:val="center"/>
          </w:tcPr>
          <w:p w14:paraId="38472D2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D9BBE0F" w14:textId="74617C1B" w:rsidR="004E16C6" w:rsidRPr="00AC0210" w:rsidRDefault="00254FE0" w:rsidP="00254FE0">
            <w:pPr>
              <w:tabs>
                <w:tab w:val="left" w:pos="6135"/>
              </w:tabs>
              <w:spacing w:line="240" w:lineRule="auto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Naruszeniem praw człowieka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D70236" w14:textId="16C9E18F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użyciem broni palnej lub środków przymusu </w:t>
            </w:r>
          </w:p>
          <w:p w14:paraId="257CDDBC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bezpośredniego</w:t>
            </w:r>
            <w:r w:rsidRPr="004E16C6">
              <w:rPr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253428C" w14:textId="1E20D756" w:rsidR="004E16C6" w:rsidRPr="00AC0210" w:rsidRDefault="00254FE0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upomnienie</w:t>
            </w:r>
            <w:r w:rsidR="004E16C6" w:rsidRPr="00AC0210"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F2CD91E" w14:textId="343A7C77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naga</w:t>
            </w:r>
            <w:r w:rsidR="00AC0210" w:rsidRPr="00AC0210">
              <w:rPr>
                <w:sz w:val="16"/>
                <w:szCs w:val="16"/>
                <w:lang w:eastAsia="pl-PL"/>
              </w:rPr>
              <w:t>n</w:t>
            </w:r>
            <w:r w:rsidRPr="00AC0210">
              <w:rPr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69208B9" w14:textId="18A8E942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ostrzeżenie </w:t>
            </w:r>
          </w:p>
          <w:p w14:paraId="6B657D37" w14:textId="16576995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o </w:t>
            </w:r>
            <w:r w:rsidR="009778F7" w:rsidRPr="00AC0210">
              <w:rPr>
                <w:sz w:val="16"/>
                <w:szCs w:val="16"/>
                <w:lang w:eastAsia="pl-PL"/>
              </w:rPr>
              <w:t>niepełnej</w:t>
            </w:r>
            <w:r w:rsidRPr="00AC0210">
              <w:rPr>
                <w:sz w:val="16"/>
                <w:szCs w:val="16"/>
                <w:lang w:eastAsia="pl-PL"/>
              </w:rPr>
              <w:t xml:space="preserve"> przydatności </w:t>
            </w:r>
          </w:p>
          <w:p w14:paraId="2F81A948" w14:textId="327A2C88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do służby na </w:t>
            </w:r>
            <w:r w:rsidR="009778F7" w:rsidRPr="00AC0210">
              <w:rPr>
                <w:sz w:val="16"/>
                <w:szCs w:val="16"/>
                <w:lang w:eastAsia="pl-PL"/>
              </w:rPr>
              <w:t>zajmowanym</w:t>
            </w:r>
            <w:r w:rsidRPr="00AC0210">
              <w:rPr>
                <w:sz w:val="16"/>
                <w:szCs w:val="16"/>
                <w:lang w:eastAsia="pl-PL"/>
              </w:rPr>
              <w:t xml:space="preserve"> stanowisku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80434" w14:textId="462357FE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wyznaczenie </w:t>
            </w:r>
          </w:p>
          <w:p w14:paraId="11D5F897" w14:textId="54F38EA1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na niższe stanowisko służbowe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E6716" w14:textId="77777777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obniżenie stopnia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5939B" w14:textId="0D2E02C1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ostrzeżenie </w:t>
            </w:r>
          </w:p>
          <w:p w14:paraId="11EC6845" w14:textId="392C56D1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 xml:space="preserve">o </w:t>
            </w:r>
            <w:r w:rsidR="009778F7" w:rsidRPr="00AC0210">
              <w:rPr>
                <w:sz w:val="16"/>
                <w:szCs w:val="16"/>
                <w:lang w:eastAsia="pl-PL"/>
              </w:rPr>
              <w:t>niepełnej</w:t>
            </w:r>
            <w:r w:rsidRPr="00AC0210">
              <w:rPr>
                <w:sz w:val="16"/>
                <w:szCs w:val="16"/>
                <w:lang w:eastAsia="pl-PL"/>
              </w:rPr>
              <w:t xml:space="preserve"> przydatności </w:t>
            </w:r>
          </w:p>
          <w:p w14:paraId="3568D311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do służby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1760F44" w14:textId="1552A1B1" w:rsidR="004E16C6" w:rsidRPr="00AC0210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AC0210">
              <w:rPr>
                <w:sz w:val="16"/>
                <w:szCs w:val="16"/>
                <w:lang w:eastAsia="pl-PL"/>
              </w:rPr>
              <w:t>wydalenie ze służby</w:t>
            </w:r>
          </w:p>
        </w:tc>
      </w:tr>
      <w:tr w:rsidR="00254FE0" w:rsidRPr="004E16C6" w14:paraId="1443F9B7" w14:textId="77777777" w:rsidTr="00987425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695D21BB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E402D6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4DA7E8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02F32CC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DBC6279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F1A95CD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1932B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7AD3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CF398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09D52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</w:tr>
      <w:tr w:rsidR="00254FE0" w:rsidRPr="004E16C6" w14:paraId="51CE5397" w14:textId="77777777" w:rsidTr="00987425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0ECF973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E8967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E0AB6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31BD505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DC81BC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DE579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41652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9446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1B33B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8F59E80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</w:t>
            </w:r>
          </w:p>
        </w:tc>
      </w:tr>
      <w:tr w:rsidR="00254FE0" w:rsidRPr="004E16C6" w14:paraId="1F210488" w14:textId="77777777" w:rsidTr="00987425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73699F72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16BF3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B282E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8550DF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06B1F3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5E58799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FEDFF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A1B50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6B770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180267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</w:t>
            </w:r>
          </w:p>
        </w:tc>
      </w:tr>
      <w:tr w:rsidR="00254FE0" w:rsidRPr="004E16C6" w14:paraId="6BE39B98" w14:textId="77777777" w:rsidTr="00987425">
        <w:trPr>
          <w:trHeight w:val="533"/>
        </w:trPr>
        <w:tc>
          <w:tcPr>
            <w:tcW w:w="1271" w:type="dxa"/>
            <w:shd w:val="clear" w:color="auto" w:fill="auto"/>
            <w:vAlign w:val="center"/>
          </w:tcPr>
          <w:p w14:paraId="50B7AA73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112DDD6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BD52F56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C85D2D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4F6E284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E5CBC63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42B62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12D8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CBFEE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20BDB2A" w14:textId="77777777" w:rsidR="004E16C6" w:rsidRPr="004E16C6" w:rsidRDefault="004E16C6" w:rsidP="00254FE0">
            <w:pPr>
              <w:tabs>
                <w:tab w:val="left" w:pos="6135"/>
              </w:tabs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4E16C6">
              <w:rPr>
                <w:sz w:val="24"/>
                <w:szCs w:val="24"/>
                <w:lang w:eastAsia="pl-PL"/>
              </w:rPr>
              <w:t>2</w:t>
            </w:r>
          </w:p>
        </w:tc>
      </w:tr>
    </w:tbl>
    <w:p w14:paraId="15D4FF0C" w14:textId="77777777" w:rsidR="004E16C6" w:rsidRPr="004E16C6" w:rsidRDefault="004E16C6" w:rsidP="004E16C6">
      <w:pPr>
        <w:tabs>
          <w:tab w:val="left" w:pos="6135"/>
        </w:tabs>
        <w:spacing w:line="240" w:lineRule="auto"/>
        <w:jc w:val="both"/>
        <w:rPr>
          <w:sz w:val="24"/>
          <w:szCs w:val="24"/>
          <w:lang w:eastAsia="pl-PL"/>
        </w:rPr>
      </w:pPr>
    </w:p>
    <w:p w14:paraId="44891A54" w14:textId="72BA1268" w:rsidR="00E93BBC" w:rsidRPr="004E16C6" w:rsidRDefault="004E16C6" w:rsidP="00D708E8">
      <w:pPr>
        <w:jc w:val="both"/>
        <w:rPr>
          <w:sz w:val="24"/>
          <w:szCs w:val="24"/>
        </w:rPr>
      </w:pPr>
      <w:r w:rsidRPr="004E16C6">
        <w:rPr>
          <w:sz w:val="24"/>
          <w:szCs w:val="24"/>
          <w:lang w:eastAsia="pl-PL"/>
        </w:rPr>
        <w:t xml:space="preserve">Należy w tym miejscu </w:t>
      </w:r>
      <w:r w:rsidR="006F7992">
        <w:rPr>
          <w:sz w:val="24"/>
          <w:szCs w:val="24"/>
          <w:lang w:eastAsia="pl-PL"/>
        </w:rPr>
        <w:t>zaznaczyć</w:t>
      </w:r>
      <w:r w:rsidRPr="004E16C6">
        <w:rPr>
          <w:sz w:val="24"/>
          <w:szCs w:val="24"/>
          <w:lang w:eastAsia="pl-PL"/>
        </w:rPr>
        <w:t>, że w części przypadków wskazanych w tabeli postępowania dyscyplinarne zakończyły się prawomocnym umorzeniem z powodu zwolnienia policjantów ze</w:t>
      </w:r>
      <w:r w:rsidR="00D708E8">
        <w:rPr>
          <w:sz w:val="24"/>
          <w:szCs w:val="24"/>
          <w:lang w:eastAsia="pl-PL"/>
        </w:rPr>
        <w:t> </w:t>
      </w:r>
      <w:r w:rsidRPr="004E16C6">
        <w:rPr>
          <w:sz w:val="24"/>
          <w:szCs w:val="24"/>
          <w:lang w:eastAsia="pl-PL"/>
        </w:rPr>
        <w:t xml:space="preserve">służby, bowiem w takiej sytuacji dalsze prowadzenie postępowania jest bezprzedmiotowe. </w:t>
      </w:r>
      <w:r w:rsidR="006F7992">
        <w:rPr>
          <w:sz w:val="24"/>
          <w:szCs w:val="24"/>
          <w:lang w:eastAsia="pl-PL"/>
        </w:rPr>
        <w:br/>
      </w:r>
      <w:r w:rsidRPr="004E16C6">
        <w:rPr>
          <w:sz w:val="24"/>
          <w:szCs w:val="24"/>
          <w:lang w:eastAsia="pl-PL"/>
        </w:rPr>
        <w:t>I tak w 2019 r. umorzeń z tego powodu było 8 (dot. postępowań dyscyplinarnych związanych z</w:t>
      </w:r>
      <w:r w:rsidR="00D708E8">
        <w:rPr>
          <w:sz w:val="24"/>
          <w:szCs w:val="24"/>
          <w:lang w:eastAsia="pl-PL"/>
        </w:rPr>
        <w:t> </w:t>
      </w:r>
      <w:r w:rsidRPr="004E16C6">
        <w:rPr>
          <w:sz w:val="24"/>
          <w:szCs w:val="24"/>
          <w:lang w:eastAsia="pl-PL"/>
        </w:rPr>
        <w:t xml:space="preserve">naruszeniem praw człowieka) oraz 3 (dot. postępowań dyscyplinarnych związanych </w:t>
      </w:r>
      <w:r w:rsidRPr="004E16C6">
        <w:rPr>
          <w:sz w:val="24"/>
          <w:szCs w:val="24"/>
          <w:lang w:eastAsia="pl-PL"/>
        </w:rPr>
        <w:br/>
        <w:t>z użyciem broni palnej lub środków przymusu bezpośredniego), natomiast w latach 2020-2022 odpowiednio – 9 i 11, 5 i 5, 2 i 0</w:t>
      </w:r>
    </w:p>
    <w:sectPr w:rsidR="00E93BBC" w:rsidRPr="004E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C6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354B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4FE0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16C6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0A34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6F7992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3532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778F7"/>
    <w:rsid w:val="00987425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0210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08E8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9E4F"/>
  <w15:chartTrackingRefBased/>
  <w15:docId w15:val="{1541F385-4EDE-48BF-8414-9EF8E72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6C6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2023-07-04T06:05:00Z</dcterms:created>
  <dcterms:modified xsi:type="dcterms:W3CDTF">2023-07-04T06:05:00Z</dcterms:modified>
</cp:coreProperties>
</file>