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65" w:rsidRDefault="002F5264" w:rsidP="002F5264"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Zalecenie </w:t>
      </w:r>
      <w:r w:rsidR="00906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CM/Rec(2013)1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Komitetu Ministrów dla państw członkowskich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sprawie równości płci i mediów</w:t>
      </w:r>
      <w:hyperlink r:id="rId5" w:anchor="P5_104" w:tgtFrame="_self" w:history="1">
        <w:r w:rsidR="00B57065" w:rsidRPr="00B57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l-PL"/>
          </w:rPr>
          <w:t>1</w:t>
        </w:r>
      </w:hyperlink>
    </w:p>
    <w:p w:rsidR="00B57065" w:rsidRDefault="00B57065" w:rsidP="002F5264"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2F52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przyjęte przez Komitet Ministrów 10 lipca 201</w:t>
      </w:r>
      <w:r w:rsidR="003875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  <w:r w:rsidR="002F52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</w:t>
      </w:r>
      <w:r w:rsidR="002F52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podczas 1176 posiedzenia zastępców ministrów</w:t>
      </w:r>
      <w:r w:rsidR="004E55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2F5264" w:rsidRDefault="002F5264" w:rsidP="004E5544">
      <w:pPr>
        <w:pStyle w:val="NormalnyWeb"/>
      </w:pPr>
      <w:r>
        <w:t xml:space="preserve">Równość płci jest nieodłącznym warunkiem pełnego korzystania z praw człowieka. </w:t>
      </w:r>
      <w:r w:rsidR="004E5544">
        <w:t xml:space="preserve">Możliwość </w:t>
      </w:r>
      <w:r w:rsidR="00387549">
        <w:t>wykonywania</w:t>
      </w:r>
      <w:r w:rsidR="004E5544">
        <w:t xml:space="preserve"> praw przyznanych na mocy </w:t>
      </w:r>
      <w:r>
        <w:t xml:space="preserve">Konwencji o </w:t>
      </w:r>
      <w:r w:rsidR="004E5544">
        <w:t>o</w:t>
      </w:r>
      <w:r>
        <w:t xml:space="preserve">chronie </w:t>
      </w:r>
      <w:r w:rsidR="004E5544">
        <w:t>p</w:t>
      </w:r>
      <w:r>
        <w:t xml:space="preserve">raw </w:t>
      </w:r>
      <w:r w:rsidR="004E5544">
        <w:t>c</w:t>
      </w:r>
      <w:r>
        <w:t>złowi</w:t>
      </w:r>
      <w:r w:rsidR="004E5544">
        <w:t>eka (ETS nr 5) i jej protokołów musi być chroniona</w:t>
      </w:r>
      <w:r>
        <w:t xml:space="preserve"> bez dyskryminacji, m.in. w związku z płcią. Wymóg ten jest </w:t>
      </w:r>
      <w:r w:rsidR="004E5544">
        <w:t xml:space="preserve">dodatkowo podkreślany </w:t>
      </w:r>
      <w:r>
        <w:t xml:space="preserve">w protokole 12 Konwencji (ETS nr 177), który gwarantuje korzystanie z wszelkich </w:t>
      </w:r>
      <w:r w:rsidR="00387549">
        <w:t xml:space="preserve">praw </w:t>
      </w:r>
      <w:r w:rsidR="00F96BF6">
        <w:t xml:space="preserve">przysługujących na mocy prawa </w:t>
      </w:r>
      <w:r>
        <w:t>bez dyskryminacji.</w:t>
      </w:r>
    </w:p>
    <w:p w:rsidR="002F5264" w:rsidRDefault="006F67B4" w:rsidP="00B57065">
      <w:pPr>
        <w:pStyle w:val="NormalnyWeb"/>
      </w:pPr>
      <w:r>
        <w:t>Autentyczna demokracja wymaga równego uczestnictwa w społeczeństwie</w:t>
      </w:r>
      <w:r w:rsidR="004E5544" w:rsidRPr="004E5544">
        <w:t xml:space="preserve"> </w:t>
      </w:r>
      <w:r w:rsidR="004E5544">
        <w:t>ze strony kobiet i mężczyzn</w:t>
      </w:r>
      <w:r>
        <w:t xml:space="preserve">. Demokracja i równość płci są ze sobą powiązane i wzajemnie się wzmacniają. Włączanie kobiet i mężczyzn w </w:t>
      </w:r>
      <w:r w:rsidR="0059129D">
        <w:t xml:space="preserve">odniesieniu do </w:t>
      </w:r>
      <w:r>
        <w:t xml:space="preserve">równych praw i możliwości stanowi kluczowy warunek ładu demokratycznego i prawidłowych procesów decyzyjnych. Równość płci oznacza </w:t>
      </w:r>
      <w:r w:rsidR="00387549">
        <w:t xml:space="preserve">jednakową </w:t>
      </w:r>
      <w:r>
        <w:t xml:space="preserve">widoczność, upodmiotowienie, odpowiedzialność i uczestnictwo tak kobiet jak i mężczyzn we wszystkich sferach życia publicznego, m.in. mediach. Osiągnięcie równości płci stanowi warunek wstępny dla </w:t>
      </w:r>
      <w:r w:rsidR="00F96BF6">
        <w:t>uzyskania</w:t>
      </w:r>
      <w:r>
        <w:t xml:space="preserve"> sprawiedliwości społecznej. Równość taka nie jest wyłącznie w interesie kobiet, ale dotyczy społeczeństwa jako całości. </w:t>
      </w:r>
      <w:r w:rsidR="0059129D">
        <w:t xml:space="preserve">W ostatnich kilku dekadach </w:t>
      </w:r>
      <w:r>
        <w:t>Ra</w:t>
      </w:r>
      <w:r w:rsidR="0059129D">
        <w:t>da Europy przypisała tym kwestiom</w:t>
      </w:r>
      <w:r>
        <w:t xml:space="preserve"> dużą wagę, </w:t>
      </w:r>
      <w:r w:rsidR="00112C66">
        <w:t xml:space="preserve">na </w:t>
      </w:r>
      <w:r>
        <w:t xml:space="preserve">co </w:t>
      </w:r>
      <w:r w:rsidR="00F96BF6">
        <w:t>wskazują</w:t>
      </w:r>
      <w:r w:rsidR="00112C66">
        <w:t xml:space="preserve"> </w:t>
      </w:r>
      <w:r w:rsidR="00F96BF6">
        <w:t>m.in. deklaracje</w:t>
      </w:r>
      <w:r>
        <w:t xml:space="preserve"> Komitetu Ministrów w sprawie równości kobiet i mężczyzn z 1988 r. oraz w sprawie urzeczywistnienia równości płci z 2009 r.</w:t>
      </w:r>
    </w:p>
    <w:p w:rsidR="006F67B4" w:rsidRDefault="006F67B4" w:rsidP="00B57065">
      <w:pPr>
        <w:pStyle w:val="NormalnyWeb"/>
      </w:pPr>
      <w:r>
        <w:t xml:space="preserve">Wolność mediów (obejmująca wolność redakcyjną) i równość płci są nieodłącznie </w:t>
      </w:r>
      <w:r w:rsidR="00112C66">
        <w:t xml:space="preserve">ze sobą </w:t>
      </w:r>
      <w:r>
        <w:t>powiązane. Równość płci to integralna część praw człowieka. Wolność wyrażania poglądów, jako prawo podstawowe, idzie w parze z równością kobiet i mężczyzn. Ponadto egzekwowanie wolności wyrażania poglądów może wzmacniać równość płci.</w:t>
      </w:r>
    </w:p>
    <w:p w:rsidR="006F67B4" w:rsidRDefault="006F67B4" w:rsidP="006F67B4">
      <w:pPr>
        <w:pStyle w:val="NormalnyWeb"/>
      </w:pPr>
      <w:r>
        <w:t xml:space="preserve">Pluralizm mediów i różnorodność treści medialnych mają swój wymiar genderowy. Zalecenie </w:t>
      </w:r>
      <w:hyperlink r:id="rId6" w:history="1">
        <w:r w:rsidR="00B57065">
          <w:rPr>
            <w:rStyle w:val="Hipercze"/>
          </w:rPr>
          <w:t>CM/Rec(2007)2</w:t>
        </w:r>
      </w:hyperlink>
      <w:r w:rsidR="00B57065">
        <w:t xml:space="preserve"> </w:t>
      </w:r>
      <w:r>
        <w:t>w sprawie pluralizm</w:t>
      </w:r>
      <w:r w:rsidR="004B6227">
        <w:t>u</w:t>
      </w:r>
      <w:r>
        <w:t xml:space="preserve"> mediów i różnorodności treści medialnych potwierdza, że pluralizm i różnorodność stanowią fundament </w:t>
      </w:r>
      <w:r w:rsidR="004B6227">
        <w:t>funkcjonowania</w:t>
      </w:r>
      <w:r>
        <w:t xml:space="preserve"> demokratycznego społeczeństwa, rozwijania debaty publicznej, pluralizmu politycznego i świadomości różnorodnych opinii wśród różnych grup społecznych. Media zajmują kluczową rolę w kształtowaniu percepcji społecznych, postaw i zachowań. Dlatego </w:t>
      </w:r>
      <w:r w:rsidR="00F96BF6">
        <w:t xml:space="preserve">media </w:t>
      </w:r>
      <w:r>
        <w:t>powinny odzwierciedlać rzeczywistość kobiet i mężczyzn w całej jej różnorodności.</w:t>
      </w:r>
    </w:p>
    <w:p w:rsidR="006F67B4" w:rsidRDefault="006F67B4" w:rsidP="00B57065">
      <w:pPr>
        <w:pStyle w:val="NormalnyWeb"/>
      </w:pPr>
      <w:r>
        <w:t xml:space="preserve">Media mogą utrudniać lub przyspieszać strukturalne zmiany zmierzające do równości płci. Nierówności występujące w społeczeństwie </w:t>
      </w:r>
      <w:r w:rsidR="0059129D">
        <w:t>znajdują swoje odbicie w</w:t>
      </w:r>
      <w:r>
        <w:t xml:space="preserve"> media</w:t>
      </w:r>
      <w:r w:rsidR="0059129D">
        <w:t>ch</w:t>
      </w:r>
      <w:r>
        <w:t xml:space="preserve">. </w:t>
      </w:r>
      <w:r w:rsidR="000E77E5">
        <w:t xml:space="preserve">Przejawem tego jest </w:t>
      </w:r>
      <w:r w:rsidR="0059129D">
        <w:t xml:space="preserve">niski </w:t>
      </w:r>
      <w:r w:rsidR="000E77E5">
        <w:t>udział kobiet we własności mediów, tworzeniu informacji i dziennikarstwie, na stanowiskach w redakcjach i zarządach spółek medialnych. Zjawisko to jest jeszcze bardziej rażące</w:t>
      </w:r>
      <w:r w:rsidR="0059129D">
        <w:t>,</w:t>
      </w:r>
      <w:r w:rsidR="000E77E5">
        <w:t xml:space="preserve"> jeśli chodzi o </w:t>
      </w:r>
      <w:r w:rsidR="0059129D">
        <w:t xml:space="preserve">niedostateczną </w:t>
      </w:r>
      <w:r w:rsidR="000E77E5">
        <w:t xml:space="preserve">widoczność kobiet, zarówno jakościową jak i ilościową, w treściach medialnych, w rzadkim korzystaniu z kobiet jako ekspertów i relatywnej nieobecności kobiecych punktów widzenia i opinii w mediach. </w:t>
      </w:r>
      <w:r w:rsidR="00112C66">
        <w:t>Relacjonowanie</w:t>
      </w:r>
      <w:r w:rsidR="000E77E5">
        <w:t xml:space="preserve"> wydarzeń politycznych i kampanii wyborczych w mediach </w:t>
      </w:r>
      <w:r w:rsidR="00112C66">
        <w:t xml:space="preserve">jest </w:t>
      </w:r>
      <w:r w:rsidR="00752CE8">
        <w:t>pod tym względem</w:t>
      </w:r>
      <w:r w:rsidR="0059129D">
        <w:t xml:space="preserve"> </w:t>
      </w:r>
      <w:r w:rsidR="000E77E5">
        <w:t>szczególnie wymowne, podobnie jak utrzymywanie się seksistowskich stereotypów i rzadkość</w:t>
      </w:r>
      <w:r w:rsidR="0059129D">
        <w:t xml:space="preserve"> opinii zwalczających takie stereotypy</w:t>
      </w:r>
      <w:r w:rsidR="000E77E5">
        <w:t>. Dodatkowo kobiety pracujące w mediach często dośw</w:t>
      </w:r>
      <w:r w:rsidR="00112C66">
        <w:t xml:space="preserve">iadczają nierówności płacowych i </w:t>
      </w:r>
      <w:r w:rsidR="000E77E5">
        <w:t xml:space="preserve">zmagają się ze zjawiskiem „szklanego sufitu”, a ich warunki pracy są </w:t>
      </w:r>
      <w:r w:rsidR="00752CE8">
        <w:t>często</w:t>
      </w:r>
      <w:r w:rsidR="000E77E5">
        <w:t xml:space="preserve"> niepewne.</w:t>
      </w:r>
    </w:p>
    <w:p w:rsidR="00B57065" w:rsidRDefault="000E77E5" w:rsidP="000E77E5">
      <w:pPr>
        <w:pStyle w:val="NormalnyWeb"/>
      </w:pPr>
      <w:r>
        <w:lastRenderedPageBreak/>
        <w:t xml:space="preserve">We współczesnym społeczeństwie media posiadają ogromny potencjał </w:t>
      </w:r>
      <w:r w:rsidR="00112C66">
        <w:t xml:space="preserve">stymulowania </w:t>
      </w:r>
      <w:r>
        <w:t>zmian społecznych. Ich zdolność promowania i ochrony podstawowych praw i wolności kobiet oraz przyczyniania się do ich rozwoju został</w:t>
      </w:r>
      <w:r w:rsidR="0059129D">
        <w:t>a doceniona</w:t>
      </w:r>
      <w:r>
        <w:t xml:space="preserve"> na Czwartej Światowej Konferencji ONZ w sprawie Kobiet </w:t>
      </w:r>
      <w:r w:rsidR="00B57065">
        <w:t xml:space="preserve">(Beijing, 1995). </w:t>
      </w:r>
      <w:r>
        <w:t>Dz</w:t>
      </w:r>
      <w:r w:rsidR="00112C66">
        <w:t>iesięć lat później Komisja ONZ ds.</w:t>
      </w:r>
      <w:r>
        <w:t xml:space="preserve"> Statusu Kobiet przyznała, że uzgodnionych wówczas celów nie udało się w pełni osiągnąć. Aby przyspieszyć spełnianie takich celów</w:t>
      </w:r>
      <w:r w:rsidR="0059129D">
        <w:t>,</w:t>
      </w:r>
      <w:r>
        <w:t xml:space="preserve"> w grudniu 2012 r. UNESCO opublikowało </w:t>
      </w:r>
      <w:r w:rsidR="00752CE8">
        <w:t>praktyczny</w:t>
      </w:r>
      <w:r>
        <w:t xml:space="preserve"> podręcznik „Wskaźniki wrażliwości </w:t>
      </w:r>
      <w:r w:rsidR="0059129D">
        <w:t xml:space="preserve">równości płci </w:t>
      </w:r>
      <w:r>
        <w:t>dla mediów”</w:t>
      </w:r>
      <w:r w:rsidR="00B57065">
        <w:t xml:space="preserve"> (GSIM).</w:t>
      </w:r>
    </w:p>
    <w:p w:rsidR="00E26F61" w:rsidRDefault="000E77E5" w:rsidP="00E26F61">
      <w:pPr>
        <w:pStyle w:val="NormalnyWeb"/>
      </w:pPr>
      <w:r>
        <w:t xml:space="preserve">Rolą mediów publicznych jest bycie w awangardzie nowoczesnego systemu medialnego, a ich obowiązkiem jest służenie wszystkim grupom społecznym. Wymaga to zwracania szczególnej uwagi na </w:t>
      </w:r>
      <w:r w:rsidR="0059129D">
        <w:t>kwestię równości</w:t>
      </w:r>
      <w:r>
        <w:t xml:space="preserve"> płci, zarówno w kategoriach uczestnictwa jak i dostępu do mediów publicznych </w:t>
      </w:r>
      <w:r w:rsidR="00F96BF6">
        <w:t xml:space="preserve">oraz </w:t>
      </w:r>
      <w:r>
        <w:t>treści i sposobu, w jaki są one traktowane i prze</w:t>
      </w:r>
      <w:r w:rsidR="0059129D">
        <w:t>d</w:t>
      </w:r>
      <w:r>
        <w:t>stawiane. Media publiczne są, lub raczej powinny być, barometrem społecznej spójnośc</w:t>
      </w:r>
      <w:r w:rsidR="00F96BF6">
        <w:t>i i integracji wszystkich osób. M</w:t>
      </w:r>
      <w:r>
        <w:t xml:space="preserve">ają </w:t>
      </w:r>
      <w:r w:rsidR="00F96BF6">
        <w:t xml:space="preserve">także </w:t>
      </w:r>
      <w:r w:rsidR="0059129D">
        <w:t xml:space="preserve">do odegrania </w:t>
      </w:r>
      <w:r>
        <w:t xml:space="preserve">ważną rolę w promowaniu równości płci w mediach i za ich pośrednictwem. </w:t>
      </w:r>
      <w:r w:rsidR="00E26F61">
        <w:t xml:space="preserve">Media publiczne mają także znaczący potencjał w promowaniu otwartego i bezpośredniego dialogu między wszystkimi grupami społecznymi, m.in. za pomocą platform cyfrowych (patrz Zalecenie </w:t>
      </w:r>
      <w:hyperlink r:id="rId7" w:history="1">
        <w:r w:rsidR="00B57065">
          <w:rPr>
            <w:rStyle w:val="Hipercze"/>
          </w:rPr>
          <w:t>CM/Rec(2007)3</w:t>
        </w:r>
      </w:hyperlink>
      <w:r w:rsidR="00B57065">
        <w:t xml:space="preserve"> </w:t>
      </w:r>
      <w:r w:rsidR="00E26F61">
        <w:t xml:space="preserve">w sprawie nadawania mediów publicznych w społeczeństwie informacyjnym, Deklaracja Komitetu Ministrów w sprawie roli mediów publicznych w promowaniu spójności społecznej i dialogu międzykulturowego przyjęta 11 lutego 2009 r. oraz Zalecenie </w:t>
      </w:r>
      <w:hyperlink r:id="rId8" w:history="1">
        <w:r w:rsidR="00B57065">
          <w:rPr>
            <w:rStyle w:val="Hipercze"/>
          </w:rPr>
          <w:t>CM/Rec(2012)1</w:t>
        </w:r>
      </w:hyperlink>
      <w:r w:rsidR="00B57065">
        <w:t xml:space="preserve"> </w:t>
      </w:r>
      <w:r w:rsidR="00E26F61">
        <w:t>w sprawie ładu mediów publicznych przyjęte 15 lutego 2012 r.).</w:t>
      </w:r>
    </w:p>
    <w:p w:rsidR="007D2762" w:rsidRDefault="007D2762" w:rsidP="007D2762">
      <w:pPr>
        <w:pStyle w:val="NormalnyWeb"/>
      </w:pPr>
      <w:r>
        <w:t xml:space="preserve">Działania służące skutecznemu wdrażaniu przyjętych standardów mogą przyczyniać się do równości płci i zwalczania nierówności. W swoim Zaleceniu </w:t>
      </w:r>
      <w:hyperlink r:id="rId9" w:history="1">
        <w:r w:rsidR="00B57065">
          <w:rPr>
            <w:rStyle w:val="Hipercze"/>
          </w:rPr>
          <w:t>CM/Rec(2007)17</w:t>
        </w:r>
      </w:hyperlink>
      <w:r w:rsidR="00B57065">
        <w:t xml:space="preserve"> </w:t>
      </w:r>
      <w:r w:rsidR="0059129D">
        <w:t>w sprawie</w:t>
      </w:r>
      <w:r>
        <w:t xml:space="preserve"> standardów i mechanizmów równości płci Komitet Ministrów podkreślił, że państwa powinny zachęcać do podejmowania skutecznych kroków w celu zapewnienia, że równość płci, jako zasada praw człowieka, jest respektowana w mediach, odpowiednio do odpowiedzialności społecznej związanej z wpływem, jaki media posiadają w nowoczesnych społeczeństwach. W swojej Deklaracji z 2009 r. w sprawie urzeczywistnienia równości płci Komitet Ministrów wezwał do podejmowania działań mających zachęcać pracowników mediów i sektor komunikacji w ogólności do zerwania ze stereotypowym wyobrażeniem kobiet i mężczyzn. </w:t>
      </w:r>
      <w:r w:rsidR="0059129D">
        <w:t xml:space="preserve">Szereg </w:t>
      </w:r>
      <w:r>
        <w:t xml:space="preserve">instrumentów Rady Europy podkreśla perspektywę genderową, która jest szczególnie akcentowana w związku z nowym ekosystemem mediów w Zaleceniu </w:t>
      </w:r>
      <w:hyperlink r:id="rId10" w:history="1">
        <w:r w:rsidR="00B57065">
          <w:rPr>
            <w:rStyle w:val="Hipercze"/>
          </w:rPr>
          <w:t>CM/Rec(2011)7</w:t>
        </w:r>
      </w:hyperlink>
      <w:r w:rsidR="00B57065">
        <w:t xml:space="preserve"> </w:t>
      </w:r>
      <w:r>
        <w:t>w sprawie nowego pojęcia mediów.</w:t>
      </w:r>
    </w:p>
    <w:p w:rsidR="007D2762" w:rsidRDefault="007D2762" w:rsidP="00B57065">
      <w:pPr>
        <w:pStyle w:val="NormalnyWeb"/>
      </w:pPr>
      <w:r>
        <w:t xml:space="preserve">W powyższym świetle oraz </w:t>
      </w:r>
      <w:r w:rsidR="00112C66">
        <w:t>zauważając</w:t>
      </w:r>
      <w:r>
        <w:t xml:space="preserve"> potrzebę zapewnienia perspektywy równości płci przy wdrażaniu standardów wprowadzonych w obszarze mediów Komitet Ministrów, działając na podstawie art. 15 lit. b Statutu Rady Europy, zaleca, aby rządy Państw Członkowskich:</w:t>
      </w:r>
    </w:p>
    <w:p w:rsidR="007D2762" w:rsidRDefault="00B57065" w:rsidP="00B57065">
      <w:pPr>
        <w:pStyle w:val="NormalnyWeb"/>
      </w:pPr>
      <w:r>
        <w:t xml:space="preserve">1. </w:t>
      </w:r>
      <w:r w:rsidR="007D2762">
        <w:t xml:space="preserve">przyjęły odpowiednie polityki zgodne z załączonymi wskazówkami, które mogą stworzyć odpowiednie warunki dla promowania przez media równości płci jako fundamentalnej zasady ich działalności i </w:t>
      </w:r>
      <w:r w:rsidR="0059129D">
        <w:t>porządku instytucjonalnego</w:t>
      </w:r>
      <w:r w:rsidR="007D2762">
        <w:t xml:space="preserve"> w nowym wielowymiarowym środowisku mediów;</w:t>
      </w:r>
    </w:p>
    <w:p w:rsidR="007D2762" w:rsidRDefault="00B57065" w:rsidP="00B57065">
      <w:pPr>
        <w:pStyle w:val="NormalnyWeb"/>
      </w:pPr>
      <w:r>
        <w:t xml:space="preserve">2. </w:t>
      </w:r>
      <w:r w:rsidR="007D2762">
        <w:t xml:space="preserve">upowszechniły szeroko niniejsze zalecenie razem z poniższymi wskazówkami i podnosiły świadomość interesariuszy i mediów, w szczególności w odniesieniu do kluczowej roli, jaką równość płci odgrywa dla demokracji i </w:t>
      </w:r>
      <w:r w:rsidR="0059129D">
        <w:t xml:space="preserve">możliwości </w:t>
      </w:r>
      <w:r w:rsidR="007D2762">
        <w:t>pełnego korzystania z praw człowieka;</w:t>
      </w:r>
    </w:p>
    <w:p w:rsidR="007D2762" w:rsidRDefault="00B57065" w:rsidP="00B57065">
      <w:pPr>
        <w:pStyle w:val="NormalnyWeb"/>
      </w:pPr>
      <w:r>
        <w:t xml:space="preserve">3. </w:t>
      </w:r>
      <w:r w:rsidR="007D2762">
        <w:t xml:space="preserve">zwróciły uwagę </w:t>
      </w:r>
      <w:r w:rsidR="00112C66">
        <w:t>na niniejsze z</w:t>
      </w:r>
      <w:r w:rsidR="004F1C65">
        <w:t xml:space="preserve">alecenie </w:t>
      </w:r>
      <w:r w:rsidR="007D2762">
        <w:t xml:space="preserve">sektora mediów, dziennikarzy i innych podmiotów aktywnych w mediach i ich odpowiednich organizacji </w:t>
      </w:r>
      <w:r w:rsidR="00F96BF6">
        <w:t>i</w:t>
      </w:r>
      <w:r w:rsidR="004F1C65">
        <w:t xml:space="preserve"> organów regulacyjnych działających w obszarze medió</w:t>
      </w:r>
      <w:r w:rsidR="00112C66">
        <w:t>w oraz</w:t>
      </w:r>
      <w:r w:rsidR="004F1C65">
        <w:t xml:space="preserve"> nowych środków komunikacji i usług informacyjnych,</w:t>
      </w:r>
      <w:r w:rsidR="0059129D">
        <w:t xml:space="preserve"> co powinno prowadzić do</w:t>
      </w:r>
      <w:r w:rsidR="004F1C65">
        <w:t xml:space="preserve"> </w:t>
      </w:r>
      <w:r w:rsidR="0059129D">
        <w:t>stworzenia</w:t>
      </w:r>
      <w:r w:rsidR="004F1C65">
        <w:t xml:space="preserve"> lub zmiany strategii regulacyjnych i samoregulacyjnych oraz kodeksów postępowania takich podmiotów w zgodzie z poniższymi zaleceniami.</w:t>
      </w:r>
    </w:p>
    <w:p w:rsidR="00B57065" w:rsidRDefault="004F1C65" w:rsidP="00B57065">
      <w:pPr>
        <w:pStyle w:val="NormalnyWeb"/>
      </w:pPr>
      <w:r>
        <w:rPr>
          <w:i/>
          <w:iCs/>
        </w:rPr>
        <w:t xml:space="preserve">Załącznik do Zalecenia </w:t>
      </w:r>
      <w:r w:rsidR="00B57065">
        <w:rPr>
          <w:i/>
          <w:iCs/>
        </w:rPr>
        <w:t>CM/Rec(2013)1</w:t>
      </w:r>
    </w:p>
    <w:p w:rsidR="00B57065" w:rsidRDefault="004F1C65" w:rsidP="00B57065">
      <w:pPr>
        <w:pStyle w:val="NormalnyWeb"/>
      </w:pPr>
      <w:r>
        <w:rPr>
          <w:b/>
          <w:bCs/>
        </w:rPr>
        <w:t>Wskazówki</w:t>
      </w:r>
      <w:r w:rsidR="00B57065">
        <w:rPr>
          <w:b/>
          <w:bCs/>
        </w:rPr>
        <w:t xml:space="preserve"> </w:t>
      </w:r>
    </w:p>
    <w:p w:rsidR="00B57065" w:rsidRDefault="00B57065" w:rsidP="00B57065">
      <w:pPr>
        <w:pStyle w:val="NormalnyWeb"/>
      </w:pPr>
      <w:r>
        <w:rPr>
          <w:b/>
          <w:bCs/>
        </w:rPr>
        <w:t xml:space="preserve">A. </w:t>
      </w:r>
      <w:r w:rsidR="004F1C65">
        <w:rPr>
          <w:b/>
          <w:bCs/>
        </w:rPr>
        <w:t>Państwa członkowskie</w:t>
      </w:r>
    </w:p>
    <w:p w:rsidR="004F1C65" w:rsidRDefault="00B57065" w:rsidP="00B57065">
      <w:pPr>
        <w:pStyle w:val="NormalnyWeb"/>
      </w:pPr>
      <w:r>
        <w:t xml:space="preserve">1. </w:t>
      </w:r>
      <w:r w:rsidR="004F1C65">
        <w:t>Państwa członkowskie</w:t>
      </w:r>
      <w:r w:rsidR="00307716">
        <w:t xml:space="preserve">, które nie wprowadziły jeszcze takich rozwiązań, </w:t>
      </w:r>
      <w:r w:rsidR="004F1C65">
        <w:t>powinny przyjąć odpowiednie ram</w:t>
      </w:r>
      <w:r w:rsidR="0059129D">
        <w:t>y prawne mające na celu zapewnienie poszanowania</w:t>
      </w:r>
      <w:r w:rsidR="004F1C65">
        <w:t xml:space="preserve"> zasady godności człowieka i wprowadzenie zakazu wszelkich</w:t>
      </w:r>
      <w:r w:rsidR="00112C66">
        <w:t xml:space="preserve"> rodzajów</w:t>
      </w:r>
      <w:r w:rsidR="004F1C65">
        <w:t xml:space="preserve"> dyskryminacji na podstawie płci oraz wzbudzania nienawiści jak również </w:t>
      </w:r>
      <w:r w:rsidR="00112C66">
        <w:t>różnorodnych</w:t>
      </w:r>
      <w:r w:rsidR="004F1C65">
        <w:t xml:space="preserve"> form przemocy motywowanej płcią w mediach.</w:t>
      </w:r>
    </w:p>
    <w:p w:rsidR="004F1C65" w:rsidRDefault="00B57065" w:rsidP="00B57065">
      <w:pPr>
        <w:pStyle w:val="NormalnyWeb"/>
      </w:pPr>
      <w:r>
        <w:t xml:space="preserve">2. </w:t>
      </w:r>
      <w:r w:rsidR="004F1C65">
        <w:t xml:space="preserve">Państwa członkowskie powinny </w:t>
      </w:r>
      <w:r w:rsidR="00307716">
        <w:t xml:space="preserve">w szczególności </w:t>
      </w:r>
      <w:r w:rsidR="004F1C65">
        <w:t>zapewnić</w:t>
      </w:r>
      <w:r w:rsidR="00307716">
        <w:t xml:space="preserve"> </w:t>
      </w:r>
      <w:r w:rsidR="00112C66">
        <w:t>przez podejmowanie odpowiednich działań</w:t>
      </w:r>
      <w:r w:rsidR="00307716">
        <w:t>,</w:t>
      </w:r>
      <w:r w:rsidR="004F1C65">
        <w:t xml:space="preserve"> że regulatorzy mediów respektują zasady równości płci w swoich procesach decyzyjnych i praktykach.</w:t>
      </w:r>
    </w:p>
    <w:p w:rsidR="004F1C65" w:rsidRDefault="00B57065" w:rsidP="00B57065">
      <w:pPr>
        <w:pStyle w:val="NormalnyWeb"/>
      </w:pPr>
      <w:r>
        <w:t xml:space="preserve">3. </w:t>
      </w:r>
      <w:r w:rsidR="004F1C65">
        <w:t xml:space="preserve">Państwa członkowskie </w:t>
      </w:r>
      <w:r w:rsidR="00112C66">
        <w:t>po</w:t>
      </w:r>
      <w:r w:rsidR="004F1C65">
        <w:t>winny wspierać inicjatywy i kampanie podnoszące świadomość w zwalczaniu stereotypów płciowych w mediach.</w:t>
      </w:r>
    </w:p>
    <w:p w:rsidR="00B57065" w:rsidRDefault="00B57065" w:rsidP="00B57065">
      <w:pPr>
        <w:pStyle w:val="NormalnyWeb"/>
      </w:pPr>
      <w:r>
        <w:rPr>
          <w:b/>
          <w:bCs/>
        </w:rPr>
        <w:t xml:space="preserve">B. </w:t>
      </w:r>
      <w:r w:rsidR="004F1C65">
        <w:rPr>
          <w:b/>
          <w:bCs/>
        </w:rPr>
        <w:t>Organizacje mediów</w:t>
      </w:r>
    </w:p>
    <w:p w:rsidR="004F1C65" w:rsidRDefault="00B57065" w:rsidP="00B57065">
      <w:pPr>
        <w:pStyle w:val="NormalnyWeb"/>
      </w:pPr>
      <w:r>
        <w:t xml:space="preserve">4. </w:t>
      </w:r>
      <w:r w:rsidR="00FE004B">
        <w:t xml:space="preserve">Organizacje mediów należy zachęcać do podejmowania działań samoregulacyjnych, </w:t>
      </w:r>
      <w:r w:rsidR="00307716">
        <w:t xml:space="preserve">tworzenia </w:t>
      </w:r>
      <w:r w:rsidR="00FE004B">
        <w:t xml:space="preserve">wewnętrznych kodeksów </w:t>
      </w:r>
      <w:r w:rsidR="00307716">
        <w:t xml:space="preserve">dobrych praktyk </w:t>
      </w:r>
      <w:r w:rsidR="00FE004B">
        <w:t xml:space="preserve">oraz sprawowania nadzoru wewnętrznego jak również rozwijania standardów w relacjach, które promują równość płci, aby promować konsekwentną politykę wewnętrzną i warunki pracy mające </w:t>
      </w:r>
      <w:r w:rsidR="00503813">
        <w:t>zapewnić</w:t>
      </w:r>
      <w:r w:rsidR="00FE004B">
        <w:t>:</w:t>
      </w:r>
    </w:p>
    <w:p w:rsidR="00FE004B" w:rsidRDefault="00B57065" w:rsidP="00B57065">
      <w:pPr>
        <w:pStyle w:val="NormalnyWeb"/>
      </w:pPr>
      <w:r>
        <w:t xml:space="preserve">- </w:t>
      </w:r>
      <w:r w:rsidR="00503813">
        <w:t>równy dostęp do pracy w mediach dla kobiet i mężczyzn oraz równą reprezentację w mediach, m.in. w obszarach, w których obecność kobiet jest niedostateczna;</w:t>
      </w:r>
    </w:p>
    <w:p w:rsidR="00503813" w:rsidRDefault="00503813" w:rsidP="00B57065">
      <w:pPr>
        <w:pStyle w:val="NormalnyWeb"/>
      </w:pPr>
      <w:r>
        <w:t>- zrównoważony udział kobiet i mężczyzn na stanowiskach kierowniczych, w organach mających rolę nadzorczą, regulacyjną i nadzorczą jak również ogólnie w procesie decyzyjnym;</w:t>
      </w:r>
    </w:p>
    <w:p w:rsidR="00503813" w:rsidRDefault="00B57065" w:rsidP="00B57065">
      <w:pPr>
        <w:pStyle w:val="NormalnyWeb"/>
      </w:pPr>
      <w:r>
        <w:t xml:space="preserve">- </w:t>
      </w:r>
      <w:r w:rsidR="00503813">
        <w:t>nie</w:t>
      </w:r>
      <w:r w:rsidR="00112C66">
        <w:t>stereotypowe wyobrażenie, rolę oraz</w:t>
      </w:r>
      <w:r w:rsidR="00503813">
        <w:t xml:space="preserve"> widoczność kobiet i mężczyzn, unikanie seksistowskich reklam, języka i treści, które mogłyby prowadzić do d</w:t>
      </w:r>
      <w:r w:rsidR="00752CE8">
        <w:t>yskryminacji w oparciu o płeć oraz</w:t>
      </w:r>
      <w:r w:rsidR="00503813">
        <w:t xml:space="preserve"> wzbudzania nienawiści i przemocy </w:t>
      </w:r>
      <w:r w:rsidR="00752CE8">
        <w:t>motywowanych</w:t>
      </w:r>
      <w:r w:rsidR="00F96BF6">
        <w:t xml:space="preserve"> płcią</w:t>
      </w:r>
      <w:r w:rsidR="00503813">
        <w:t>.</w:t>
      </w:r>
    </w:p>
    <w:p w:rsidR="00B57065" w:rsidRDefault="00B57065" w:rsidP="00B57065">
      <w:pPr>
        <w:pStyle w:val="NormalnyWeb"/>
      </w:pPr>
      <w:r>
        <w:rPr>
          <w:b/>
          <w:bCs/>
        </w:rPr>
        <w:t xml:space="preserve">C. </w:t>
      </w:r>
      <w:r w:rsidR="00503813">
        <w:rPr>
          <w:b/>
          <w:bCs/>
        </w:rPr>
        <w:t>Zalecane działania</w:t>
      </w:r>
    </w:p>
    <w:p w:rsidR="00503813" w:rsidRDefault="00B57065" w:rsidP="00B57065">
      <w:pPr>
        <w:pStyle w:val="NormalnyWeb"/>
      </w:pPr>
      <w:r>
        <w:t xml:space="preserve">5. </w:t>
      </w:r>
      <w:r w:rsidR="00503813">
        <w:t>Powinno się rozważyć poniższe mechanizmy wdrożenia strategii i polityk w celu spełnienia celów równości płci w mediach:</w:t>
      </w:r>
    </w:p>
    <w:p w:rsidR="00503813" w:rsidRDefault="00503813" w:rsidP="00B57065">
      <w:pPr>
        <w:pStyle w:val="NormalnyWeb"/>
        <w:rPr>
          <w:b/>
          <w:bCs/>
          <w:i/>
          <w:iCs/>
        </w:rPr>
      </w:pPr>
      <w:r>
        <w:rPr>
          <w:b/>
          <w:bCs/>
          <w:i/>
          <w:iCs/>
        </w:rPr>
        <w:t>Przegląd i ocena polityki i przepisów w zakresie równości płci</w:t>
      </w:r>
    </w:p>
    <w:p w:rsidR="00503813" w:rsidRDefault="00B57065" w:rsidP="00B57065">
      <w:pPr>
        <w:pStyle w:val="NormalnyWeb"/>
      </w:pPr>
      <w:r>
        <w:t xml:space="preserve">i. </w:t>
      </w:r>
      <w:r w:rsidR="00503813">
        <w:t xml:space="preserve">Regularne przeglądy i uaktualnienia ram prawnych </w:t>
      </w:r>
      <w:r w:rsidR="00307716">
        <w:t xml:space="preserve">działalności </w:t>
      </w:r>
      <w:r w:rsidR="00503813">
        <w:t>mediów z perspektywy równości płci.</w:t>
      </w:r>
    </w:p>
    <w:p w:rsidR="00503813" w:rsidRDefault="00B57065" w:rsidP="00B57065">
      <w:pPr>
        <w:pStyle w:val="NormalnyWeb"/>
      </w:pPr>
      <w:r>
        <w:t xml:space="preserve">ii. </w:t>
      </w:r>
      <w:r w:rsidR="00503813">
        <w:t xml:space="preserve">Upoważnienie regulatorów </w:t>
      </w:r>
      <w:r w:rsidR="00F96BF6">
        <w:t xml:space="preserve">do </w:t>
      </w:r>
      <w:r w:rsidR="00503813">
        <w:t>uwzględniania oceny wdrażania polityki równości płci w mediach w swoich raportach rocznych</w:t>
      </w:r>
      <w:r w:rsidR="00F96BF6" w:rsidRPr="00F96BF6">
        <w:t xml:space="preserve"> </w:t>
      </w:r>
      <w:r w:rsidR="00F96BF6">
        <w:t xml:space="preserve">oraz wymaganie </w:t>
      </w:r>
      <w:r w:rsidR="00752CE8">
        <w:t>podejmowania takich działań ze strony</w:t>
      </w:r>
      <w:r w:rsidR="00F96BF6">
        <w:t xml:space="preserve"> mediów publicznych</w:t>
      </w:r>
      <w:r w:rsidR="00503813">
        <w:t>.</w:t>
      </w:r>
    </w:p>
    <w:p w:rsidR="00B57065" w:rsidRDefault="00503813" w:rsidP="00503813">
      <w:pPr>
        <w:pStyle w:val="NormalnyWeb"/>
      </w:pPr>
      <w:r>
        <w:rPr>
          <w:b/>
          <w:bCs/>
          <w:i/>
          <w:iCs/>
        </w:rPr>
        <w:t>Przyjęcie i wdrożenie krajowych wskaźników równości płci w mediach</w:t>
      </w:r>
    </w:p>
    <w:p w:rsidR="00503813" w:rsidRDefault="00B57065" w:rsidP="00B57065">
      <w:pPr>
        <w:pStyle w:val="NormalnyWeb"/>
      </w:pPr>
      <w:r>
        <w:t xml:space="preserve">iii. </w:t>
      </w:r>
      <w:r w:rsidR="00503813">
        <w:t xml:space="preserve">Omówienie z właściwymi interesariuszami możliwości wprowadzenia krajowych wskaźników w oparciu o standardy międzynarodowe i dobre praktyki; </w:t>
      </w:r>
      <w:r w:rsidR="009E4255">
        <w:t xml:space="preserve">odbycie wysłuchań </w:t>
      </w:r>
      <w:r w:rsidR="00503813">
        <w:t xml:space="preserve">publicznych </w:t>
      </w:r>
      <w:r w:rsidR="009E4255">
        <w:t>i dyskusji w związku z wprowadzeniem takich standardów i praktyk.</w:t>
      </w:r>
    </w:p>
    <w:p w:rsidR="009E4255" w:rsidRDefault="00B57065" w:rsidP="00B57065">
      <w:pPr>
        <w:pStyle w:val="NormalnyWeb"/>
      </w:pPr>
      <w:r>
        <w:t xml:space="preserve">iv. </w:t>
      </w:r>
      <w:r w:rsidR="009E4255">
        <w:t>Przeprowadzanie regularnego monitoringu i ocen sytuacji w zakresie równości płci w mediach na poziomie krajowym w oparciu o przyjęte wskaźniki.</w:t>
      </w:r>
    </w:p>
    <w:p w:rsidR="009E4255" w:rsidRDefault="00B57065" w:rsidP="00B57065">
      <w:pPr>
        <w:pStyle w:val="NormalnyWeb"/>
      </w:pPr>
      <w:r>
        <w:t xml:space="preserve">v. </w:t>
      </w:r>
      <w:r w:rsidR="009E4255">
        <w:t>Regularne uaktualnianie wskaźników równości płci.</w:t>
      </w:r>
    </w:p>
    <w:p w:rsidR="009E4255" w:rsidRDefault="009E4255" w:rsidP="00B57065">
      <w:pPr>
        <w:pStyle w:val="NormalnyWeb"/>
        <w:rPr>
          <w:b/>
          <w:bCs/>
          <w:i/>
          <w:iCs/>
        </w:rPr>
      </w:pPr>
      <w:r>
        <w:rPr>
          <w:b/>
          <w:bCs/>
          <w:i/>
          <w:iCs/>
        </w:rPr>
        <w:t>Przekazywanie informacji i promowanie dobrych praktyk</w:t>
      </w:r>
    </w:p>
    <w:p w:rsidR="009E4255" w:rsidRDefault="00B57065" w:rsidP="00B57065">
      <w:pPr>
        <w:pStyle w:val="NormalnyWeb"/>
      </w:pPr>
      <w:r>
        <w:t xml:space="preserve">vi. </w:t>
      </w:r>
      <w:r w:rsidR="009E4255">
        <w:t>Zachęcanie mediów do przekazywania opinii publicznej informacji w łatwo dostępny sposób (np. online) na temat procedur składania skarg w związku z treściami mediów, które zdaniem opinii publicznej są sprzeczne z zasadami równości płci.</w:t>
      </w:r>
    </w:p>
    <w:p w:rsidR="009E4255" w:rsidRDefault="00B57065" w:rsidP="00B57065">
      <w:pPr>
        <w:pStyle w:val="NormalnyWeb"/>
      </w:pPr>
      <w:r>
        <w:t xml:space="preserve">vii. </w:t>
      </w:r>
      <w:r w:rsidR="009E4255">
        <w:t>Wspieranie i promowanie dobrych praktyk przez rozwój sieci i partnerstwa między różnymi podmiotami mediów w celu dbania o równość płci w różnych obszarach działalności nowego ekosystemu mediów.</w:t>
      </w:r>
    </w:p>
    <w:p w:rsidR="00B57065" w:rsidRDefault="009E4255" w:rsidP="00B57065">
      <w:pPr>
        <w:pStyle w:val="NormalnyWeb"/>
      </w:pPr>
      <w:r>
        <w:rPr>
          <w:b/>
          <w:bCs/>
          <w:i/>
          <w:iCs/>
        </w:rPr>
        <w:t>Kanały odpowiedzialności</w:t>
      </w:r>
    </w:p>
    <w:p w:rsidR="009E4255" w:rsidRDefault="00B57065" w:rsidP="00B57065">
      <w:pPr>
        <w:pStyle w:val="NormalnyWeb"/>
      </w:pPr>
      <w:r>
        <w:t xml:space="preserve">viii. </w:t>
      </w:r>
      <w:r w:rsidR="009E4255">
        <w:t xml:space="preserve">Zachęcanie organizacji pozarządowych, organizacji mediów, osób indywidualnych i innych interesariuszy do konsekwentnej obrony równości płci przez zgłaszanie swoich wątpliwości do organów samoregulacyjnych i innych </w:t>
      </w:r>
      <w:r w:rsidR="00307716">
        <w:t>powołanych podmiotów (np. rad prasowych</w:t>
      </w:r>
      <w:r w:rsidR="009E4255">
        <w:t xml:space="preserve">, komisji </w:t>
      </w:r>
      <w:r w:rsidR="008211AE">
        <w:t>etyki</w:t>
      </w:r>
      <w:r w:rsidR="009E4255">
        <w:t>, rad ds. reklamy i komisji przeciwdziałania dyskryminacji).</w:t>
      </w:r>
    </w:p>
    <w:p w:rsidR="009E4255" w:rsidRDefault="00B57065" w:rsidP="00B57065">
      <w:pPr>
        <w:pStyle w:val="NormalnyWeb"/>
      </w:pPr>
      <w:r>
        <w:t xml:space="preserve">ix. </w:t>
      </w:r>
      <w:r w:rsidR="009E4255">
        <w:t xml:space="preserve">Zachęcanie do uaktualniania istniejących mechanizmów odpowiedzialności mediów i ich skutecznego stosowania w przypadkach </w:t>
      </w:r>
      <w:r w:rsidR="008211AE">
        <w:t>naruszeń</w:t>
      </w:r>
      <w:r w:rsidR="009E4255">
        <w:t xml:space="preserve"> </w:t>
      </w:r>
      <w:r w:rsidR="00307716">
        <w:t xml:space="preserve">zasad </w:t>
      </w:r>
      <w:r w:rsidR="009E4255">
        <w:t>równości płci w mediach.</w:t>
      </w:r>
    </w:p>
    <w:p w:rsidR="009E4255" w:rsidRDefault="00B57065" w:rsidP="00B57065">
      <w:pPr>
        <w:pStyle w:val="NormalnyWeb"/>
      </w:pPr>
      <w:r>
        <w:t xml:space="preserve">x. </w:t>
      </w:r>
      <w:r w:rsidR="009E4255">
        <w:t>Zachęcanie do wprowadzania nowych mechanizmów odpowiedzialności mediów i odpowiedzialności cywilnej, na przykład w ramach forów debaty publicznej i platform dostępnych w Internecie i poza nim, umożliwiających bezpośrednie wymiany opinii między obywatelami.</w:t>
      </w:r>
    </w:p>
    <w:p w:rsidR="00B57065" w:rsidRDefault="009E4255" w:rsidP="00B57065">
      <w:pPr>
        <w:pStyle w:val="NormalnyWeb"/>
      </w:pPr>
      <w:r>
        <w:rPr>
          <w:b/>
          <w:bCs/>
          <w:i/>
          <w:iCs/>
        </w:rPr>
        <w:t>Badania i publikacje</w:t>
      </w:r>
    </w:p>
    <w:p w:rsidR="009E4255" w:rsidRDefault="00B57065" w:rsidP="00B57065">
      <w:pPr>
        <w:pStyle w:val="NormalnyWeb"/>
      </w:pPr>
      <w:r>
        <w:t xml:space="preserve">xi. </w:t>
      </w:r>
      <w:r w:rsidR="009E4255">
        <w:t>Promowanie aktywnych badań kwestii równości płci i mediów, szczególnie związanych z dostępem do mediów, reprezentacją, uczestnictwem (profil</w:t>
      </w:r>
      <w:r w:rsidR="00307716">
        <w:t>e ilościowe i jakościowe</w:t>
      </w:r>
      <w:r w:rsidR="009E4255">
        <w:t>) i warunkami pracy w mediach; badania skupiające się nie tylko na kobietach</w:t>
      </w:r>
      <w:r w:rsidR="00307716">
        <w:t>,</w:t>
      </w:r>
      <w:r w:rsidR="009E4255">
        <w:t xml:space="preserve"> ale także na relacjach między płciami; regularne publikowanie wyników takich projektów.</w:t>
      </w:r>
    </w:p>
    <w:p w:rsidR="009E4255" w:rsidRDefault="00B57065" w:rsidP="00B57065">
      <w:pPr>
        <w:pStyle w:val="NormalnyWeb"/>
      </w:pPr>
      <w:r>
        <w:t xml:space="preserve">xii. </w:t>
      </w:r>
      <w:r w:rsidR="009E4255">
        <w:t>Promowanie aktywnych badań nad relacjami w mediach z perspektywy równości płci dla pewnych obszarów szczególnie ważnych w pluralistycznej demokracji, takich jak raporty w s</w:t>
      </w:r>
      <w:r w:rsidR="00DE39EB">
        <w:t>prawie polityki i relacjonowanie</w:t>
      </w:r>
      <w:r w:rsidR="009E4255">
        <w:t xml:space="preserve"> w mediach kampanii wy</w:t>
      </w:r>
      <w:r w:rsidR="00752CE8">
        <w:t>borczych i publikowanie wyników oraz</w:t>
      </w:r>
      <w:r w:rsidR="009E4255">
        <w:t xml:space="preserve"> organizowanie dyskusji </w:t>
      </w:r>
      <w:r w:rsidR="00DE39EB">
        <w:t>mających na celu</w:t>
      </w:r>
      <w:r w:rsidR="009E4255">
        <w:t xml:space="preserve"> poprawę polityki i przepisów prawnych.</w:t>
      </w:r>
    </w:p>
    <w:p w:rsidR="009E4255" w:rsidRDefault="00B57065" w:rsidP="00B57065">
      <w:pPr>
        <w:pStyle w:val="NormalnyWeb"/>
      </w:pPr>
      <w:r>
        <w:t xml:space="preserve">xiii. </w:t>
      </w:r>
      <w:r w:rsidR="009E4255">
        <w:t>Promowanie badań nad wpływem mediów na kształtowanie wartości, postaw, potrzeb i zainteresowań kobiet i mężczyzn.</w:t>
      </w:r>
    </w:p>
    <w:p w:rsidR="009E4255" w:rsidRDefault="009E4255" w:rsidP="00B57065">
      <w:pPr>
        <w:pStyle w:val="NormalnyWeb"/>
        <w:rPr>
          <w:b/>
          <w:bCs/>
          <w:i/>
          <w:iCs/>
        </w:rPr>
      </w:pPr>
      <w:r>
        <w:rPr>
          <w:b/>
          <w:bCs/>
          <w:i/>
          <w:iCs/>
        </w:rPr>
        <w:t>Edukacja medialna i aktywne postawy obywatelskie</w:t>
      </w:r>
    </w:p>
    <w:p w:rsidR="009E4255" w:rsidRDefault="00B57065" w:rsidP="00B57065">
      <w:pPr>
        <w:pStyle w:val="NormalnyWeb"/>
      </w:pPr>
      <w:r>
        <w:t xml:space="preserve">xiv. </w:t>
      </w:r>
      <w:r w:rsidR="00D13394">
        <w:t xml:space="preserve">Promowanie edukacji medialnej </w:t>
      </w:r>
      <w:r w:rsidR="00307716">
        <w:t xml:space="preserve">kładącej nacisk na wrażliwość </w:t>
      </w:r>
      <w:r w:rsidR="00D13394">
        <w:t xml:space="preserve">na sprawy płci </w:t>
      </w:r>
      <w:r w:rsidR="00307716">
        <w:t xml:space="preserve">wśród </w:t>
      </w:r>
      <w:r w:rsidR="00D13394">
        <w:t>młodego pokolenia, przygotowywanie młodych ludzi do odpowiedzialnego podejścia do różnych form mediów i umożliwi</w:t>
      </w:r>
      <w:r w:rsidR="00DE39EB">
        <w:t>a</w:t>
      </w:r>
      <w:r w:rsidR="008211AE">
        <w:t>nie im przyjmowania krytycznych</w:t>
      </w:r>
      <w:r w:rsidR="00D13394">
        <w:t xml:space="preserve"> po</w:t>
      </w:r>
      <w:r w:rsidR="008211AE">
        <w:t>staw</w:t>
      </w:r>
      <w:r w:rsidR="00D13394">
        <w:t xml:space="preserve"> </w:t>
      </w:r>
      <w:r w:rsidR="00307716">
        <w:t>w stosunku do prezentowania kwestii</w:t>
      </w:r>
      <w:r w:rsidR="00D13394">
        <w:t xml:space="preserve"> płci w mediach i odkodowywania stereotypów seksistowskich. Wzmacnianie perspektywy równości płci w programach edukacji media</w:t>
      </w:r>
      <w:r w:rsidR="00307716">
        <w:t xml:space="preserve">lnej dla </w:t>
      </w:r>
      <w:r w:rsidR="00DE39EB">
        <w:t>różnych grup wiekowych młodzieży</w:t>
      </w:r>
      <w:r w:rsidR="00307716">
        <w:t xml:space="preserve">, </w:t>
      </w:r>
      <w:r w:rsidR="00D13394">
        <w:t>jako czynnika szerokiej edukacji w zakresie praw człowieka i aktywnego zaangażowania w procesy demokratyczne.</w:t>
      </w:r>
    </w:p>
    <w:p w:rsidR="00D13394" w:rsidRDefault="00B57065" w:rsidP="00B57065">
      <w:pPr>
        <w:pStyle w:val="NormalnyWeb"/>
      </w:pPr>
      <w:r>
        <w:t xml:space="preserve">xv. </w:t>
      </w:r>
      <w:r w:rsidR="00D13394">
        <w:t xml:space="preserve">Rozwijanie specjalnych narzędzi podnoszenia świadomości dzięki mediom i na temat mediów </w:t>
      </w:r>
      <w:r w:rsidR="006F3A30">
        <w:t>wśród osób dorosłych, m.in.</w:t>
      </w:r>
      <w:r w:rsidR="00D13394">
        <w:t xml:space="preserve"> rodziców i nauczycieli, jako ważnych czynników rozwijania edukacji gender</w:t>
      </w:r>
      <w:r w:rsidR="00DE39EB">
        <w:t>owej</w:t>
      </w:r>
      <w:r w:rsidR="00D13394">
        <w:t xml:space="preserve"> i aktywnych postaw obywatelskich w społeczeństwie informacyjnym.</w:t>
      </w:r>
    </w:p>
    <w:p w:rsidR="00D13394" w:rsidRDefault="00B57065" w:rsidP="00B57065">
      <w:pPr>
        <w:pStyle w:val="NormalnyWeb"/>
      </w:pPr>
      <w:r>
        <w:t xml:space="preserve">xvi. </w:t>
      </w:r>
      <w:r w:rsidR="00D13394">
        <w:t xml:space="preserve">Podnoszenie świadomości i </w:t>
      </w:r>
      <w:r w:rsidR="00DE39EB">
        <w:t>rozwijanie</w:t>
      </w:r>
      <w:r w:rsidR="00D13394">
        <w:t xml:space="preserve"> umiejętności pracowników mediów i studentów kierunków medialnych przez oferowanie regularnych programów edukacyjnych i kształcenia zawodowego mających na celu zdobycie dogłębnej wiedzy o równości płci i jej kluczowej roli w demokratycznym społeczeństwie.</w:t>
      </w:r>
    </w:p>
    <w:p w:rsidR="00B57065" w:rsidRDefault="00D13394" w:rsidP="00B57065">
      <w:pPr>
        <w:pStyle w:val="NormalnyWeb"/>
      </w:pPr>
      <w:r>
        <w:rPr>
          <w:b/>
          <w:bCs/>
        </w:rPr>
        <w:t>Instrumenty referencyjne</w:t>
      </w:r>
    </w:p>
    <w:p w:rsidR="00B57065" w:rsidRDefault="00D13394" w:rsidP="00D13394">
      <w:pPr>
        <w:pStyle w:val="NormalnyWeb"/>
      </w:pPr>
      <w:r>
        <w:rPr>
          <w:b/>
          <w:bCs/>
          <w:i/>
          <w:iCs/>
        </w:rPr>
        <w:t>Komitet Ministrów Rady Europy</w:t>
      </w:r>
    </w:p>
    <w:p w:rsidR="00D13394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1" w:history="1">
        <w:r w:rsidR="00B57065">
          <w:rPr>
            <w:rStyle w:val="Hipercze"/>
          </w:rPr>
          <w:t>Rec(84)17</w:t>
        </w:r>
      </w:hyperlink>
      <w:r w:rsidR="00B57065">
        <w:t xml:space="preserve"> </w:t>
      </w:r>
      <w:r>
        <w:t>w sprawie równości kobiet i mężczyzn w mediach</w:t>
      </w:r>
    </w:p>
    <w:p w:rsidR="00D13394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2" w:history="1">
        <w:r w:rsidR="00B57065">
          <w:rPr>
            <w:rStyle w:val="Hipercze"/>
          </w:rPr>
          <w:t>Rec(90)4</w:t>
        </w:r>
      </w:hyperlink>
      <w:r w:rsidR="00B57065">
        <w:t xml:space="preserve"> </w:t>
      </w:r>
      <w:r>
        <w:t>w sprawie eliminowania seksizmu z języka</w:t>
      </w:r>
    </w:p>
    <w:p w:rsidR="00D13394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3" w:history="1">
        <w:r w:rsidR="00B57065">
          <w:rPr>
            <w:rStyle w:val="Hipercze"/>
          </w:rPr>
          <w:t>Rec(98)14</w:t>
        </w:r>
      </w:hyperlink>
      <w:r w:rsidR="00B57065">
        <w:t xml:space="preserve"> </w:t>
      </w:r>
      <w:r>
        <w:t xml:space="preserve">w sprawie </w:t>
      </w:r>
      <w:r w:rsidR="001B27D9">
        <w:t>uwzględniania problematyki równości płci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CM/Rec(2003)3 </w:t>
      </w:r>
      <w:r w:rsidR="001B27D9">
        <w:t>w sprawie zrównoważonego udziału kobiet i mężczyzn w politycznych i publicznych procesach decyzyjnych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4" w:history="1">
        <w:r w:rsidR="00B57065">
          <w:rPr>
            <w:rStyle w:val="Hipercze"/>
          </w:rPr>
          <w:t>CM/Rec(2007)2</w:t>
        </w:r>
      </w:hyperlink>
      <w:r w:rsidR="00B57065">
        <w:t xml:space="preserve"> </w:t>
      </w:r>
      <w:r w:rsidR="001B27D9">
        <w:t>w sprawie pluralizmu w mediach i różnorodności treści medialnych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5" w:history="1">
        <w:r w:rsidR="00B57065">
          <w:rPr>
            <w:rStyle w:val="Hipercze"/>
          </w:rPr>
          <w:t>CM/Rec(2007)3</w:t>
        </w:r>
      </w:hyperlink>
      <w:r w:rsidR="00B57065">
        <w:t xml:space="preserve"> </w:t>
      </w:r>
      <w:r w:rsidR="001B27D9">
        <w:t>w sprawie nadawania mediów publicznych w społeczeństwie informacyjnym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6" w:history="1">
        <w:r w:rsidR="00B57065">
          <w:rPr>
            <w:rStyle w:val="Hipercze"/>
          </w:rPr>
          <w:t>CM/Rec(2007)11</w:t>
        </w:r>
      </w:hyperlink>
      <w:r w:rsidR="00B57065">
        <w:t xml:space="preserve"> </w:t>
      </w:r>
      <w:r w:rsidR="001B27D9">
        <w:t>w sprawie promowania wolności wyrażania poglądów i informacji w nowym środowisku informacyjnym i komunikacyjnym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7" w:history="1">
        <w:r w:rsidR="00B57065">
          <w:rPr>
            <w:rStyle w:val="Hipercze"/>
          </w:rPr>
          <w:t>CM/Rec(2007)13</w:t>
        </w:r>
      </w:hyperlink>
      <w:r w:rsidR="00B57065">
        <w:t xml:space="preserve"> </w:t>
      </w:r>
      <w:r w:rsidR="001B27D9">
        <w:t xml:space="preserve">w sprawie uwzględniania problematyki równości płci w </w:t>
      </w:r>
      <w:r w:rsidR="00DE39EB">
        <w:t>edukacji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8" w:history="1">
        <w:r w:rsidR="00B57065">
          <w:rPr>
            <w:rStyle w:val="Hipercze"/>
          </w:rPr>
          <w:t>CM/Rec(2007)16</w:t>
        </w:r>
      </w:hyperlink>
      <w:r w:rsidR="00B57065">
        <w:t xml:space="preserve"> </w:t>
      </w:r>
      <w:r w:rsidR="001B27D9">
        <w:t>w sprawie działań mających promować wartość publiczną Internetu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9" w:history="1">
        <w:r w:rsidR="00B57065">
          <w:rPr>
            <w:rStyle w:val="Hipercze"/>
          </w:rPr>
          <w:t>CM/Rec(2007)17</w:t>
        </w:r>
      </w:hyperlink>
      <w:r w:rsidR="00B57065">
        <w:t xml:space="preserve"> </w:t>
      </w:r>
      <w:r w:rsidR="001B27D9">
        <w:t>w sprawie standardów i mechanizmów równości płci</w:t>
      </w:r>
    </w:p>
    <w:p w:rsidR="00B57065" w:rsidRDefault="001B27D9" w:rsidP="001B27D9">
      <w:pPr>
        <w:pStyle w:val="NormalnyWeb"/>
      </w:pPr>
      <w:r>
        <w:t xml:space="preserve">Deklaracja Komitetu Ministrów w sprawie roli mediów społecznych w promowaniu spójności społecznej i dialogu międzykulturowego przyjęta 11 lutego </w:t>
      </w:r>
      <w:r w:rsidR="00B57065">
        <w:t xml:space="preserve">2009 </w:t>
      </w:r>
      <w:r>
        <w:t>r.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20" w:history="1">
        <w:r w:rsidR="00B57065">
          <w:rPr>
            <w:rStyle w:val="Hipercze"/>
          </w:rPr>
          <w:t>CM/Rec(2011)7</w:t>
        </w:r>
      </w:hyperlink>
      <w:r w:rsidR="00B57065">
        <w:t xml:space="preserve"> </w:t>
      </w:r>
      <w:r w:rsidR="001B27D9">
        <w:t>w sprawie nowego pojęcia mediów</w:t>
      </w:r>
    </w:p>
    <w:p w:rsidR="00B57065" w:rsidRDefault="001B27D9" w:rsidP="001B27D9">
      <w:pPr>
        <w:pStyle w:val="NormalnyWeb"/>
      </w:pPr>
      <w:r>
        <w:t xml:space="preserve">Deklaracja i Zalecenie Komitetu Ministrów </w:t>
      </w:r>
      <w:hyperlink r:id="rId21" w:history="1">
        <w:r w:rsidR="00B57065">
          <w:rPr>
            <w:rStyle w:val="Hipercze"/>
          </w:rPr>
          <w:t>CM/Rec(2012)1</w:t>
        </w:r>
      </w:hyperlink>
      <w:r w:rsidR="00B57065">
        <w:t xml:space="preserve"> </w:t>
      </w:r>
      <w:r>
        <w:t xml:space="preserve">w sprawie ładu mediów publicznych przyjęte 15 lutego </w:t>
      </w:r>
      <w:r w:rsidR="00B57065">
        <w:t xml:space="preserve">2012 </w:t>
      </w:r>
      <w:r>
        <w:t>r.</w:t>
      </w:r>
    </w:p>
    <w:p w:rsidR="001B27D9" w:rsidRDefault="001B27D9" w:rsidP="00B57065">
      <w:pPr>
        <w:pStyle w:val="NormalnyWeb"/>
        <w:rPr>
          <w:b/>
          <w:bCs/>
          <w:i/>
          <w:iCs/>
        </w:rPr>
      </w:pPr>
      <w:r>
        <w:rPr>
          <w:b/>
          <w:bCs/>
          <w:i/>
          <w:iCs/>
        </w:rPr>
        <w:t>Zgromadzenie Parlamentarne Rady Europy</w:t>
      </w:r>
    </w:p>
    <w:p w:rsidR="001B27D9" w:rsidRDefault="001B27D9" w:rsidP="00B57065">
      <w:pPr>
        <w:pStyle w:val="NormalnyWeb"/>
      </w:pPr>
      <w:r>
        <w:t xml:space="preserve">Uchwała </w:t>
      </w:r>
      <w:r w:rsidR="00B57065">
        <w:t xml:space="preserve">1557 (2007) </w:t>
      </w:r>
      <w:r>
        <w:t xml:space="preserve">i </w:t>
      </w:r>
      <w:r w:rsidR="00D13394">
        <w:t>Zalecenie</w:t>
      </w:r>
      <w:r w:rsidR="00B57065">
        <w:t xml:space="preserve"> 1799 (2007) </w:t>
      </w:r>
      <w:r>
        <w:t>w sp</w:t>
      </w:r>
      <w:r w:rsidR="00DE39EB">
        <w:t>r</w:t>
      </w:r>
      <w:r>
        <w:t>awie „</w:t>
      </w:r>
      <w:r w:rsidR="00307716">
        <w:t>Wizerunku</w:t>
      </w:r>
      <w:r>
        <w:t xml:space="preserve"> kobiet w reklamach”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1555 (2002) </w:t>
      </w:r>
      <w:r w:rsidR="001B27D9">
        <w:t>w sprawie „</w:t>
      </w:r>
      <w:r w:rsidR="00307716">
        <w:t xml:space="preserve">Wizerunku </w:t>
      </w:r>
      <w:r w:rsidR="001B27D9">
        <w:t>kobiet w mediach”</w:t>
      </w:r>
    </w:p>
    <w:p w:rsidR="001B27D9" w:rsidRDefault="001B27D9" w:rsidP="00B57065">
      <w:pPr>
        <w:pStyle w:val="NormalnyWeb"/>
      </w:pPr>
      <w:r>
        <w:t xml:space="preserve">Uchwała </w:t>
      </w:r>
      <w:r w:rsidR="00B57065">
        <w:t xml:space="preserve">1751 (2010) </w:t>
      </w:r>
      <w:r>
        <w:t xml:space="preserve">i </w:t>
      </w:r>
      <w:r w:rsidR="00D13394">
        <w:t>Zalecenie</w:t>
      </w:r>
      <w:r w:rsidR="00B57065">
        <w:t xml:space="preserve"> 1931 (2010) </w:t>
      </w:r>
      <w:r>
        <w:t>w sprawie „Zwalczania seksistowskich stereotypów w mediach”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1899 (2010) </w:t>
      </w:r>
      <w:r w:rsidR="001B27D9">
        <w:t>w sprawie „Zwiększenia obecności kobiet w polityce poprzez system wyborczy”</w:t>
      </w:r>
    </w:p>
    <w:p w:rsidR="001B27D9" w:rsidRDefault="001B27D9" w:rsidP="001B27D9">
      <w:pPr>
        <w:pStyle w:val="NormalnyWeb"/>
      </w:pPr>
      <w:r>
        <w:t xml:space="preserve">Uchwała </w:t>
      </w:r>
      <w:r w:rsidR="00B57065">
        <w:t xml:space="preserve">1860 (2012) </w:t>
      </w:r>
      <w:r>
        <w:t>w sprawie „Promowania praw kobiet na całym świecie”</w:t>
      </w:r>
    </w:p>
    <w:p w:rsidR="00B57065" w:rsidRDefault="00F14AFD" w:rsidP="001B27D9">
      <w:pPr>
        <w:pStyle w:val="NormalnyWeb"/>
      </w:pPr>
      <w:hyperlink r:id="rId22" w:anchor="P5_105" w:tgtFrame="_self" w:history="1">
        <w:r w:rsidR="00B57065">
          <w:rPr>
            <w:rStyle w:val="Hipercze"/>
            <w:vertAlign w:val="superscript"/>
          </w:rPr>
          <w:t>1</w:t>
        </w:r>
      </w:hyperlink>
      <w:r w:rsidR="00B57065">
        <w:rPr>
          <w:vertAlign w:val="superscript"/>
        </w:rPr>
        <w:t xml:space="preserve"> </w:t>
      </w:r>
      <w:r w:rsidR="001B27D9">
        <w:t xml:space="preserve">Określenie „media” stosowane w powyższym zaleceniu odnosi się do terminologii przyjętej w Zaleceniu </w:t>
      </w:r>
      <w:r w:rsidR="00B57065">
        <w:t xml:space="preserve">CM/Rec (2011)7 </w:t>
      </w:r>
      <w:r w:rsidR="001B27D9">
        <w:t xml:space="preserve">w sprawie nowego pojęcia mediów przyjętym </w:t>
      </w:r>
      <w:r w:rsidR="00307716">
        <w:t xml:space="preserve">dnia </w:t>
      </w:r>
      <w:r w:rsidR="001B27D9">
        <w:t>21 września 2011 r.</w:t>
      </w:r>
    </w:p>
    <w:sectPr w:rsidR="00B5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65"/>
    <w:rsid w:val="000503C0"/>
    <w:rsid w:val="000E77E5"/>
    <w:rsid w:val="00112C66"/>
    <w:rsid w:val="001B27D9"/>
    <w:rsid w:val="001D39C0"/>
    <w:rsid w:val="00220654"/>
    <w:rsid w:val="002F5264"/>
    <w:rsid w:val="00307716"/>
    <w:rsid w:val="00387549"/>
    <w:rsid w:val="004B6227"/>
    <w:rsid w:val="004D3335"/>
    <w:rsid w:val="004E5544"/>
    <w:rsid w:val="004F1C65"/>
    <w:rsid w:val="00503813"/>
    <w:rsid w:val="00522B1A"/>
    <w:rsid w:val="0059129D"/>
    <w:rsid w:val="006F3A30"/>
    <w:rsid w:val="006F67B4"/>
    <w:rsid w:val="00752CE8"/>
    <w:rsid w:val="007D2762"/>
    <w:rsid w:val="007F70E5"/>
    <w:rsid w:val="008211AE"/>
    <w:rsid w:val="00906DD1"/>
    <w:rsid w:val="009B29FC"/>
    <w:rsid w:val="009E4255"/>
    <w:rsid w:val="00B57065"/>
    <w:rsid w:val="00B71AF6"/>
    <w:rsid w:val="00C06C67"/>
    <w:rsid w:val="00D0376E"/>
    <w:rsid w:val="00D13394"/>
    <w:rsid w:val="00DE39EB"/>
    <w:rsid w:val="00E26F61"/>
    <w:rsid w:val="00F14AFD"/>
    <w:rsid w:val="00F96BF6"/>
    <w:rsid w:val="00FE004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7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7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d.coe.int/ViewDoc.jsp?Ref=CM/Rec%282012%291&amp;Language=lanEnglish&amp;Site=CM&amp;BackColorInternet=C3C3C3&amp;BackColorIntranet=EDB021&amp;BackColorLogged=F5D383" TargetMode="External"/><Relationship Id="rId13" Type="http://schemas.openxmlformats.org/officeDocument/2006/relationships/hyperlink" Target="https://wcd.coe.int/ViewDoc.jsp?Ref=Rec%2898%2914&amp;Language=lanEnglish&amp;Site=CM&amp;BackColorInternet=C3C3C3&amp;BackColorIntranet=EDB021&amp;BackColorLogged=F5D383" TargetMode="External"/><Relationship Id="rId18" Type="http://schemas.openxmlformats.org/officeDocument/2006/relationships/hyperlink" Target="https://wcd.coe.int/ViewDoc.jsp?Ref=CM/Rec%282007%2916&amp;Language=lanEnglish&amp;Site=CM&amp;BackColorInternet=C3C3C3&amp;BackColorIntranet=EDB021&amp;BackColorLogged=F5D3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cd.coe.int/ViewDoc.jsp?Ref=CM/Rec%282012%291&amp;Language=lanEnglish&amp;Site=CM&amp;BackColorInternet=C3C3C3&amp;BackColorIntranet=EDB021&amp;BackColorLogged=F5D383" TargetMode="External"/><Relationship Id="rId7" Type="http://schemas.openxmlformats.org/officeDocument/2006/relationships/hyperlink" Target="https://wcd.coe.int/ViewDoc.jsp?Ref=CM/Rec%282007%293&amp;Language=lanEnglish&amp;Site=CM&amp;BackColorInternet=C3C3C3&amp;BackColorIntranet=EDB021&amp;BackColorLogged=F5D383" TargetMode="External"/><Relationship Id="rId12" Type="http://schemas.openxmlformats.org/officeDocument/2006/relationships/hyperlink" Target="https://wcd.coe.int/ViewDoc.jsp?Ref=Rec%2890%294&amp;Language=lanEnglish&amp;Site=CM&amp;BackColorInternet=C3C3C3&amp;BackColorIntranet=EDB021&amp;BackColorLogged=F5D383" TargetMode="External"/><Relationship Id="rId17" Type="http://schemas.openxmlformats.org/officeDocument/2006/relationships/hyperlink" Target="https://wcd.coe.int/ViewDoc.jsp?Ref=CM/Rec%282007%2913&amp;Language=lanEnglish&amp;Site=CM&amp;BackColorInternet=C3C3C3&amp;BackColorIntranet=EDB021&amp;BackColorLogged=F5D3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cd.coe.int/ViewDoc.jsp?Ref=CM/Rec%282007%2911&amp;Language=lanEnglish&amp;Site=CM&amp;BackColorInternet=C3C3C3&amp;BackColorIntranet=EDB021&amp;BackColorLogged=F5D383" TargetMode="External"/><Relationship Id="rId20" Type="http://schemas.openxmlformats.org/officeDocument/2006/relationships/hyperlink" Target="https://wcd.coe.int/ViewDoc.jsp?Ref=CM/Rec%282011%297&amp;Language=lanEnglish&amp;Site=CM&amp;BackColorInternet=C3C3C3&amp;BackColorIntranet=EDB021&amp;BackColorLogged=F5D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wcd.coe.int/ViewDoc.jsp?Ref=CM/Rec%282007%292&amp;Language=lanEnglish&amp;Site=CM&amp;BackColorInternet=C3C3C3&amp;BackColorIntranet=EDB021&amp;BackColorLogged=F5D383" TargetMode="External"/><Relationship Id="rId11" Type="http://schemas.openxmlformats.org/officeDocument/2006/relationships/hyperlink" Target="https://wcd.coe.int/ViewDoc.jsp?Ref=Rec%2884%2917&amp;Language=lanEnglish&amp;Site=CM&amp;BackColorInternet=C3C3C3&amp;BackColorIntranet=EDB021&amp;BackColorLogged=F5D38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cd.coe.int/ViewDoc.jsp?Ref=CM/Rec%282013%291&amp;Language=lanEnglish&amp;Ver=original&amp;Site=CM&amp;BackColorInternet=C3C3C3&amp;BackColorIntranet=EDB021&amp;BackColorLogged=F5D383" TargetMode="External"/><Relationship Id="rId15" Type="http://schemas.openxmlformats.org/officeDocument/2006/relationships/hyperlink" Target="https://wcd.coe.int/ViewDoc.jsp?Ref=CM/Rec%282007%293&amp;Language=lanEnglish&amp;Site=CM&amp;BackColorInternet=C3C3C3&amp;BackColorIntranet=EDB021&amp;BackColorLogged=F5D3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cd.coe.int/ViewDoc.jsp?Ref=CM/Rec%282011%297&amp;Language=lanEnglish&amp;Site=CM&amp;BackColorInternet=C3C3C3&amp;BackColorIntranet=EDB021&amp;BackColorLogged=F5D383" TargetMode="External"/><Relationship Id="rId19" Type="http://schemas.openxmlformats.org/officeDocument/2006/relationships/hyperlink" Target="https://wcd.coe.int/ViewDoc.jsp?Ref=CM/Rec%282007%2917&amp;Language=lanEnglish&amp;Site=CM&amp;BackColorInternet=C3C3C3&amp;BackColorIntranet=EDB021&amp;BackColorLogged=F5D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cd.coe.int/ViewDoc.jsp?Ref=CM/Rec%282007%2917&amp;Language=lanEnglish&amp;Site=CM&amp;BackColorInternet=C3C3C3&amp;BackColorIntranet=EDB021&amp;BackColorLogged=F5D383" TargetMode="External"/><Relationship Id="rId14" Type="http://schemas.openxmlformats.org/officeDocument/2006/relationships/hyperlink" Target="https://wcd.coe.int/ViewDoc.jsp?Ref=CM/Rec%282007%292&amp;Language=lanEnglish&amp;Site=CM&amp;BackColorInternet=C3C3C3&amp;BackColorIntranet=EDB021&amp;BackColorLogged=F5D383" TargetMode="External"/><Relationship Id="rId22" Type="http://schemas.openxmlformats.org/officeDocument/2006/relationships/hyperlink" Target="https://wcd.coe.int/ViewDoc.jsp?Ref=CM/Rec%282013%291&amp;Language=lanEnglish&amp;Ver=original&amp;Site=CM&amp;BackColorInternet=C3C3C3&amp;BackColorIntranet=EDB021&amp;BackColorLogged=F5D3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2601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Czuczman Karolina</cp:lastModifiedBy>
  <cp:revision>2</cp:revision>
  <dcterms:created xsi:type="dcterms:W3CDTF">2020-09-03T09:50:00Z</dcterms:created>
  <dcterms:modified xsi:type="dcterms:W3CDTF">2020-09-03T09:50:00Z</dcterms:modified>
</cp:coreProperties>
</file>