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C6" w:rsidRPr="00F976C6" w:rsidRDefault="00F976C6" w:rsidP="00F976C6">
      <w:pPr>
        <w:jc w:val="center"/>
        <w:rPr>
          <w:b/>
          <w:sz w:val="28"/>
        </w:rPr>
      </w:pPr>
      <w:r w:rsidRPr="00F976C6">
        <w:rPr>
          <w:b/>
          <w:sz w:val="28"/>
        </w:rPr>
        <w:t>Fundusz Rozwoju Przewozów Autobusowych 2023 – nabór uzupełniający</w:t>
      </w:r>
      <w:bookmarkStart w:id="0" w:name="_GoBack"/>
      <w:bookmarkEnd w:id="0"/>
    </w:p>
    <w:p w:rsidR="00F976C6" w:rsidRDefault="00F976C6"/>
    <w:p w:rsidR="00F976C6" w:rsidRDefault="00F976C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265"/>
        <w:gridCol w:w="1675"/>
        <w:gridCol w:w="1284"/>
        <w:gridCol w:w="1684"/>
        <w:gridCol w:w="1669"/>
      </w:tblGrid>
      <w:tr w:rsidR="00F976C6" w:rsidTr="00F976C6">
        <w:trPr>
          <w:trHeight w:val="619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Oznaczenie JST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linii komunikacyjnych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Łączna długość linii</w:t>
            </w:r>
          </w:p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(km)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Planowana wielkość pracy eksploatacyjnej</w:t>
            </w:r>
          </w:p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(wozokilometrów)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solid" w:color="969696" w:fill="auto"/>
            <w:vAlign w:val="center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Planowana łączna kwota dopłaty ze środków Funduszu w 2023 r.</w:t>
            </w:r>
          </w:p>
        </w:tc>
      </w:tr>
      <w:tr w:rsidR="00F976C6" w:rsidTr="00F976C6">
        <w:trPr>
          <w:trHeight w:val="59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Tykocin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36 100,00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108 300,00 zł </w:t>
            </w:r>
          </w:p>
        </w:tc>
      </w:tr>
      <w:tr w:rsidR="00F976C6" w:rsidTr="00F976C6">
        <w:trPr>
          <w:trHeight w:val="54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Giby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18 126,00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54 378,00 zł </w:t>
            </w:r>
          </w:p>
        </w:tc>
      </w:tr>
      <w:tr w:rsidR="00F976C6" w:rsidTr="00F976C6">
        <w:trPr>
          <w:trHeight w:val="41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Turośń Kościelna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40 278,00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120 834,00 zł </w:t>
            </w:r>
          </w:p>
        </w:tc>
      </w:tr>
      <w:tr w:rsidR="00F976C6" w:rsidTr="00F976C6">
        <w:trPr>
          <w:trHeight w:val="416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Zabłudów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33 120,00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99 360,00 zł </w:t>
            </w:r>
          </w:p>
        </w:tc>
      </w:tr>
      <w:tr w:rsidR="00F976C6" w:rsidTr="00F976C6">
        <w:trPr>
          <w:trHeight w:val="551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Drohiczyn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70 512,00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211 536,00 zł </w:t>
            </w:r>
          </w:p>
        </w:tc>
      </w:tr>
      <w:tr w:rsidR="00F976C6" w:rsidTr="00F976C6">
        <w:trPr>
          <w:trHeight w:val="199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Raczki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6 432,80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19 298,40 zł </w:t>
            </w:r>
          </w:p>
        </w:tc>
      </w:tr>
      <w:tr w:rsidR="00F976C6" w:rsidTr="00F976C6">
        <w:trPr>
          <w:trHeight w:val="425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 Narewka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62 700,00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158 004,00 zł </w:t>
            </w:r>
          </w:p>
        </w:tc>
      </w:tr>
      <w:tr w:rsidR="00F976C6" w:rsidTr="00F976C6">
        <w:trPr>
          <w:trHeight w:val="403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Stawiski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74,3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154 928,00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464 784,00 zł </w:t>
            </w:r>
          </w:p>
        </w:tc>
      </w:tr>
      <w:tr w:rsidR="00F976C6" w:rsidTr="00F976C6">
        <w:trPr>
          <w:trHeight w:val="182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Łomża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24 572,28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6C6" w:rsidRDefault="00F976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73 716,84 zł </w:t>
            </w:r>
          </w:p>
        </w:tc>
      </w:tr>
      <w:tr w:rsidR="00F976C6" w:rsidTr="00F976C6">
        <w:trPr>
          <w:trHeight w:val="428"/>
        </w:trPr>
        <w:tc>
          <w:tcPr>
            <w:tcW w:w="1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Łącznie: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574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446769,08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6C6" w:rsidRDefault="00F976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1 310 211,24 zł</w:t>
            </w:r>
          </w:p>
        </w:tc>
      </w:tr>
    </w:tbl>
    <w:p w:rsidR="00F976C6" w:rsidRDefault="00F976C6"/>
    <w:sectPr w:rsidR="00F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52"/>
    <w:rsid w:val="00004212"/>
    <w:rsid w:val="00642F52"/>
    <w:rsid w:val="009F2C49"/>
    <w:rsid w:val="00F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1D9B"/>
  <w15:chartTrackingRefBased/>
  <w15:docId w15:val="{D3AB3647-E126-4C5D-BD40-9CBBD3D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Ausztol Kamila</dc:creator>
  <cp:keywords/>
  <dc:description/>
  <cp:lastModifiedBy>Ausztol Kamila</cp:lastModifiedBy>
  <cp:revision>2</cp:revision>
  <dcterms:created xsi:type="dcterms:W3CDTF">2023-03-16T11:38:00Z</dcterms:created>
  <dcterms:modified xsi:type="dcterms:W3CDTF">2023-03-16T11:39:00Z</dcterms:modified>
</cp:coreProperties>
</file>