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jc w:val="center"/>
        <w:tblLayout w:type="fixed"/>
        <w:tblLook w:val="04A0" w:firstRow="1" w:lastRow="0" w:firstColumn="1" w:lastColumn="0" w:noHBand="0" w:noVBand="1"/>
      </w:tblPr>
      <w:tblGrid>
        <w:gridCol w:w="576"/>
        <w:gridCol w:w="979"/>
        <w:gridCol w:w="1559"/>
        <w:gridCol w:w="4394"/>
        <w:gridCol w:w="3119"/>
        <w:gridCol w:w="3367"/>
      </w:tblGrid>
      <w:tr w:rsidR="001F094A" w:rsidTr="000246A7">
        <w:trPr>
          <w:jc w:val="center"/>
        </w:trPr>
        <w:tc>
          <w:tcPr>
            <w:tcW w:w="13994" w:type="dxa"/>
            <w:gridSpan w:val="6"/>
          </w:tcPr>
          <w:p w:rsidR="001F094A" w:rsidRDefault="001F094A">
            <w:r>
              <w:rPr>
                <w:rFonts w:ascii="Arial-BoldItalicMT" w:hAnsi="Arial-BoldItalicMT" w:cs="Arial-BoldItalicMT"/>
                <w:b/>
                <w:bCs/>
                <w:i/>
                <w:iCs/>
                <w:sz w:val="24"/>
                <w:szCs w:val="24"/>
              </w:rPr>
              <w:t>Nazwa dokumentu: Zintegrowany system usług dla nauki – etap II (ZSUN II)</w:t>
            </w:r>
            <w:r>
              <w:rPr>
                <w:rFonts w:ascii="Arial-BoldMT" w:hAnsi="Arial-BoldMT" w:cs="Arial-BoldMT"/>
                <w:b/>
                <w:bCs/>
                <w:sz w:val="24"/>
                <w:szCs w:val="24"/>
              </w:rPr>
              <w:t>[RAPORT KOŃCOWY]</w:t>
            </w:r>
          </w:p>
        </w:tc>
      </w:tr>
      <w:tr w:rsidR="00C82A00" w:rsidTr="00C82A00">
        <w:trPr>
          <w:jc w:val="center"/>
        </w:trPr>
        <w:tc>
          <w:tcPr>
            <w:tcW w:w="576" w:type="dxa"/>
          </w:tcPr>
          <w:p w:rsidR="000246A7" w:rsidRPr="00C82A00" w:rsidRDefault="000246A7" w:rsidP="001F094A">
            <w:pPr>
              <w:autoSpaceDE w:val="0"/>
              <w:autoSpaceDN w:val="0"/>
              <w:adjustRightInd w:val="0"/>
              <w:jc w:val="center"/>
              <w:rPr>
                <w:rFonts w:ascii="Arial" w:hAnsi="Arial" w:cs="Arial"/>
                <w:b/>
                <w:bCs/>
                <w:sz w:val="24"/>
                <w:szCs w:val="24"/>
              </w:rPr>
            </w:pPr>
          </w:p>
          <w:p w:rsidR="000246A7" w:rsidRPr="00C82A00" w:rsidRDefault="000246A7" w:rsidP="001F094A">
            <w:pPr>
              <w:autoSpaceDE w:val="0"/>
              <w:autoSpaceDN w:val="0"/>
              <w:adjustRightInd w:val="0"/>
              <w:jc w:val="center"/>
              <w:rPr>
                <w:rFonts w:ascii="Arial" w:hAnsi="Arial" w:cs="Arial"/>
                <w:b/>
                <w:bCs/>
                <w:sz w:val="24"/>
                <w:szCs w:val="24"/>
              </w:rPr>
            </w:pPr>
          </w:p>
          <w:p w:rsidR="001F094A" w:rsidRPr="00C82A00" w:rsidRDefault="001F094A" w:rsidP="001F094A">
            <w:pPr>
              <w:autoSpaceDE w:val="0"/>
              <w:autoSpaceDN w:val="0"/>
              <w:adjustRightInd w:val="0"/>
              <w:jc w:val="center"/>
              <w:rPr>
                <w:rFonts w:ascii="Arial" w:hAnsi="Arial" w:cs="Arial"/>
                <w:b/>
                <w:bCs/>
                <w:sz w:val="24"/>
                <w:szCs w:val="24"/>
              </w:rPr>
            </w:pPr>
            <w:r w:rsidRPr="00C82A00">
              <w:rPr>
                <w:rFonts w:ascii="Arial" w:hAnsi="Arial" w:cs="Arial"/>
                <w:b/>
                <w:bCs/>
                <w:sz w:val="24"/>
                <w:szCs w:val="24"/>
              </w:rPr>
              <w:t>Lp</w:t>
            </w:r>
            <w:r w:rsidRPr="00C82A00">
              <w:rPr>
                <w:rFonts w:ascii="Arial" w:hAnsi="Arial" w:cs="Arial"/>
                <w:b/>
                <w:bCs/>
                <w:sz w:val="24"/>
                <w:szCs w:val="24"/>
              </w:rPr>
              <w:t>.</w:t>
            </w:r>
          </w:p>
        </w:tc>
        <w:tc>
          <w:tcPr>
            <w:tcW w:w="979" w:type="dxa"/>
          </w:tcPr>
          <w:p w:rsidR="000246A7" w:rsidRPr="00C82A00" w:rsidRDefault="000246A7" w:rsidP="001F094A">
            <w:pPr>
              <w:autoSpaceDE w:val="0"/>
              <w:autoSpaceDN w:val="0"/>
              <w:adjustRightInd w:val="0"/>
              <w:jc w:val="center"/>
              <w:rPr>
                <w:rFonts w:ascii="Arial" w:hAnsi="Arial" w:cs="Arial"/>
                <w:b/>
                <w:bCs/>
                <w:sz w:val="24"/>
                <w:szCs w:val="24"/>
              </w:rPr>
            </w:pPr>
          </w:p>
          <w:p w:rsidR="001F094A" w:rsidRPr="00C82A00" w:rsidRDefault="001F094A" w:rsidP="001F094A">
            <w:pPr>
              <w:autoSpaceDE w:val="0"/>
              <w:autoSpaceDN w:val="0"/>
              <w:adjustRightInd w:val="0"/>
              <w:jc w:val="center"/>
              <w:rPr>
                <w:rFonts w:ascii="Arial" w:hAnsi="Arial" w:cs="Arial"/>
                <w:b/>
                <w:bCs/>
                <w:sz w:val="24"/>
                <w:szCs w:val="24"/>
              </w:rPr>
            </w:pPr>
            <w:r w:rsidRPr="00C82A00">
              <w:rPr>
                <w:rFonts w:ascii="Arial" w:hAnsi="Arial" w:cs="Arial"/>
                <w:b/>
                <w:bCs/>
                <w:sz w:val="24"/>
                <w:szCs w:val="24"/>
              </w:rPr>
              <w:t>Organ</w:t>
            </w:r>
            <w:r w:rsidRPr="00C82A00">
              <w:rPr>
                <w:rFonts w:ascii="Arial" w:hAnsi="Arial" w:cs="Arial"/>
                <w:b/>
                <w:bCs/>
                <w:sz w:val="24"/>
                <w:szCs w:val="24"/>
              </w:rPr>
              <w:t xml:space="preserve"> </w:t>
            </w:r>
            <w:r w:rsidRPr="00C82A00">
              <w:rPr>
                <w:rFonts w:ascii="Arial" w:hAnsi="Arial" w:cs="Arial"/>
                <w:b/>
                <w:bCs/>
                <w:sz w:val="24"/>
                <w:szCs w:val="24"/>
              </w:rPr>
              <w:t>wnoszący</w:t>
            </w:r>
          </w:p>
          <w:p w:rsidR="001F094A" w:rsidRPr="00C82A00" w:rsidRDefault="001F094A" w:rsidP="001F094A">
            <w:pPr>
              <w:jc w:val="center"/>
              <w:rPr>
                <w:rFonts w:ascii="Arial" w:hAnsi="Arial" w:cs="Arial"/>
              </w:rPr>
            </w:pPr>
            <w:r w:rsidRPr="00C82A00">
              <w:rPr>
                <w:rFonts w:ascii="Arial" w:hAnsi="Arial" w:cs="Arial"/>
                <w:b/>
                <w:bCs/>
                <w:sz w:val="24"/>
                <w:szCs w:val="24"/>
              </w:rPr>
              <w:t>uwagi</w:t>
            </w:r>
          </w:p>
        </w:tc>
        <w:tc>
          <w:tcPr>
            <w:tcW w:w="1559" w:type="dxa"/>
          </w:tcPr>
          <w:p w:rsidR="001F094A" w:rsidRPr="00C82A00" w:rsidRDefault="001F094A" w:rsidP="001F094A">
            <w:pPr>
              <w:autoSpaceDE w:val="0"/>
              <w:autoSpaceDN w:val="0"/>
              <w:adjustRightInd w:val="0"/>
              <w:jc w:val="center"/>
              <w:rPr>
                <w:rFonts w:ascii="Arial" w:hAnsi="Arial" w:cs="Arial"/>
                <w:b/>
                <w:bCs/>
                <w:sz w:val="24"/>
                <w:szCs w:val="24"/>
              </w:rPr>
            </w:pPr>
            <w:r w:rsidRPr="00C82A00">
              <w:rPr>
                <w:rFonts w:ascii="Arial" w:hAnsi="Arial" w:cs="Arial"/>
                <w:b/>
                <w:bCs/>
                <w:sz w:val="24"/>
                <w:szCs w:val="24"/>
              </w:rPr>
              <w:t>Jednostka</w:t>
            </w:r>
          </w:p>
          <w:p w:rsidR="001F094A" w:rsidRPr="00C82A00" w:rsidRDefault="001F094A" w:rsidP="001F094A">
            <w:pPr>
              <w:autoSpaceDE w:val="0"/>
              <w:autoSpaceDN w:val="0"/>
              <w:adjustRightInd w:val="0"/>
              <w:jc w:val="center"/>
              <w:rPr>
                <w:rFonts w:ascii="Arial" w:hAnsi="Arial" w:cs="Arial"/>
                <w:b/>
                <w:bCs/>
                <w:sz w:val="24"/>
                <w:szCs w:val="24"/>
              </w:rPr>
            </w:pPr>
            <w:r w:rsidRPr="00C82A00">
              <w:rPr>
                <w:rFonts w:ascii="Arial" w:hAnsi="Arial" w:cs="Arial"/>
                <w:b/>
                <w:bCs/>
                <w:sz w:val="24"/>
                <w:szCs w:val="24"/>
              </w:rPr>
              <w:t>redakcyjna,</w:t>
            </w:r>
          </w:p>
          <w:p w:rsidR="001F094A" w:rsidRPr="00C82A00" w:rsidRDefault="001F094A" w:rsidP="001F094A">
            <w:pPr>
              <w:autoSpaceDE w:val="0"/>
              <w:autoSpaceDN w:val="0"/>
              <w:adjustRightInd w:val="0"/>
              <w:jc w:val="center"/>
              <w:rPr>
                <w:rFonts w:ascii="Arial" w:hAnsi="Arial" w:cs="Arial"/>
                <w:b/>
                <w:bCs/>
                <w:sz w:val="24"/>
                <w:szCs w:val="24"/>
              </w:rPr>
            </w:pPr>
            <w:r w:rsidRPr="00C82A00">
              <w:rPr>
                <w:rFonts w:ascii="Arial" w:hAnsi="Arial" w:cs="Arial"/>
                <w:b/>
                <w:bCs/>
                <w:sz w:val="24"/>
                <w:szCs w:val="24"/>
              </w:rPr>
              <w:t>do której</w:t>
            </w:r>
          </w:p>
          <w:p w:rsidR="001F094A" w:rsidRPr="00C82A00" w:rsidRDefault="001F094A" w:rsidP="001F094A">
            <w:pPr>
              <w:autoSpaceDE w:val="0"/>
              <w:autoSpaceDN w:val="0"/>
              <w:adjustRightInd w:val="0"/>
              <w:jc w:val="center"/>
              <w:rPr>
                <w:rFonts w:ascii="Arial" w:hAnsi="Arial" w:cs="Arial"/>
                <w:b/>
                <w:bCs/>
                <w:sz w:val="24"/>
                <w:szCs w:val="24"/>
              </w:rPr>
            </w:pPr>
            <w:r w:rsidRPr="00C82A00">
              <w:rPr>
                <w:rFonts w:ascii="Arial" w:hAnsi="Arial" w:cs="Arial"/>
                <w:b/>
                <w:bCs/>
                <w:sz w:val="24"/>
                <w:szCs w:val="24"/>
              </w:rPr>
              <w:t>wnoszone są</w:t>
            </w:r>
          </w:p>
          <w:p w:rsidR="001F094A" w:rsidRPr="00C82A00" w:rsidRDefault="001F094A" w:rsidP="001F094A">
            <w:pPr>
              <w:jc w:val="center"/>
              <w:rPr>
                <w:rFonts w:ascii="Arial" w:hAnsi="Arial" w:cs="Arial"/>
              </w:rPr>
            </w:pPr>
            <w:r w:rsidRPr="00C82A00">
              <w:rPr>
                <w:rFonts w:ascii="Arial" w:hAnsi="Arial" w:cs="Arial"/>
                <w:b/>
                <w:bCs/>
                <w:sz w:val="24"/>
                <w:szCs w:val="24"/>
              </w:rPr>
              <w:t>uwagi</w:t>
            </w:r>
          </w:p>
        </w:tc>
        <w:tc>
          <w:tcPr>
            <w:tcW w:w="4394" w:type="dxa"/>
          </w:tcPr>
          <w:p w:rsidR="000246A7" w:rsidRPr="00C82A00" w:rsidRDefault="000246A7" w:rsidP="001F094A">
            <w:pPr>
              <w:jc w:val="center"/>
              <w:rPr>
                <w:rFonts w:ascii="Arial" w:hAnsi="Arial" w:cs="Arial"/>
                <w:b/>
                <w:bCs/>
                <w:sz w:val="24"/>
                <w:szCs w:val="24"/>
              </w:rPr>
            </w:pPr>
          </w:p>
          <w:p w:rsidR="000246A7" w:rsidRPr="00C82A00" w:rsidRDefault="000246A7" w:rsidP="001F094A">
            <w:pPr>
              <w:jc w:val="center"/>
              <w:rPr>
                <w:rFonts w:ascii="Arial" w:hAnsi="Arial" w:cs="Arial"/>
                <w:b/>
                <w:bCs/>
                <w:sz w:val="24"/>
                <w:szCs w:val="24"/>
              </w:rPr>
            </w:pPr>
          </w:p>
          <w:p w:rsidR="001F094A" w:rsidRPr="00C82A00" w:rsidRDefault="001F094A" w:rsidP="001F094A">
            <w:pPr>
              <w:jc w:val="center"/>
              <w:rPr>
                <w:rFonts w:ascii="Arial" w:hAnsi="Arial" w:cs="Arial"/>
              </w:rPr>
            </w:pPr>
            <w:r w:rsidRPr="00C82A00">
              <w:rPr>
                <w:rFonts w:ascii="Arial" w:hAnsi="Arial" w:cs="Arial"/>
                <w:b/>
                <w:bCs/>
                <w:sz w:val="24"/>
                <w:szCs w:val="24"/>
              </w:rPr>
              <w:t>Treść uwagi</w:t>
            </w:r>
          </w:p>
        </w:tc>
        <w:tc>
          <w:tcPr>
            <w:tcW w:w="3119" w:type="dxa"/>
          </w:tcPr>
          <w:p w:rsidR="000246A7" w:rsidRPr="00C82A00" w:rsidRDefault="000246A7" w:rsidP="001F094A">
            <w:pPr>
              <w:jc w:val="center"/>
              <w:rPr>
                <w:rFonts w:ascii="Arial" w:hAnsi="Arial" w:cs="Arial"/>
                <w:b/>
                <w:bCs/>
                <w:sz w:val="24"/>
                <w:szCs w:val="24"/>
              </w:rPr>
            </w:pPr>
          </w:p>
          <w:p w:rsidR="000246A7" w:rsidRPr="00C82A00" w:rsidRDefault="000246A7" w:rsidP="001F094A">
            <w:pPr>
              <w:jc w:val="center"/>
              <w:rPr>
                <w:rFonts w:ascii="Arial" w:hAnsi="Arial" w:cs="Arial"/>
                <w:b/>
                <w:bCs/>
                <w:sz w:val="24"/>
                <w:szCs w:val="24"/>
              </w:rPr>
            </w:pPr>
          </w:p>
          <w:p w:rsidR="001F094A" w:rsidRPr="00C82A00" w:rsidRDefault="001F094A" w:rsidP="001F094A">
            <w:pPr>
              <w:jc w:val="center"/>
              <w:rPr>
                <w:rFonts w:ascii="Arial" w:hAnsi="Arial" w:cs="Arial"/>
              </w:rPr>
            </w:pPr>
            <w:r w:rsidRPr="00C82A00">
              <w:rPr>
                <w:rFonts w:ascii="Arial" w:hAnsi="Arial" w:cs="Arial"/>
                <w:b/>
                <w:bCs/>
                <w:sz w:val="24"/>
                <w:szCs w:val="24"/>
              </w:rPr>
              <w:t>Propozycja zmian zapisu</w:t>
            </w:r>
          </w:p>
        </w:tc>
        <w:tc>
          <w:tcPr>
            <w:tcW w:w="3367" w:type="dxa"/>
          </w:tcPr>
          <w:p w:rsidR="000246A7" w:rsidRDefault="000246A7" w:rsidP="001F094A">
            <w:pPr>
              <w:autoSpaceDE w:val="0"/>
              <w:autoSpaceDN w:val="0"/>
              <w:adjustRightInd w:val="0"/>
              <w:jc w:val="center"/>
              <w:rPr>
                <w:rFonts w:ascii="Arial-BoldMT" w:hAnsi="Arial-BoldMT" w:cs="Arial-BoldMT"/>
                <w:b/>
                <w:bCs/>
                <w:sz w:val="24"/>
                <w:szCs w:val="24"/>
              </w:rPr>
            </w:pPr>
          </w:p>
          <w:p w:rsidR="000246A7" w:rsidRDefault="000246A7" w:rsidP="001F094A">
            <w:pPr>
              <w:autoSpaceDE w:val="0"/>
              <w:autoSpaceDN w:val="0"/>
              <w:adjustRightInd w:val="0"/>
              <w:jc w:val="center"/>
              <w:rPr>
                <w:rFonts w:ascii="Arial-BoldMT" w:hAnsi="Arial-BoldMT" w:cs="Arial-BoldMT"/>
                <w:b/>
                <w:bCs/>
                <w:sz w:val="24"/>
                <w:szCs w:val="24"/>
              </w:rPr>
            </w:pPr>
          </w:p>
          <w:p w:rsidR="001F094A" w:rsidRDefault="001F094A" w:rsidP="001F094A">
            <w:pPr>
              <w:autoSpaceDE w:val="0"/>
              <w:autoSpaceDN w:val="0"/>
              <w:adjustRightInd w:val="0"/>
              <w:jc w:val="center"/>
              <w:rPr>
                <w:rFonts w:ascii="Arial-BoldMT" w:hAnsi="Arial-BoldMT" w:cs="Arial-BoldMT"/>
                <w:b/>
                <w:bCs/>
                <w:sz w:val="24"/>
                <w:szCs w:val="24"/>
              </w:rPr>
            </w:pPr>
            <w:r>
              <w:rPr>
                <w:rFonts w:ascii="Arial-BoldMT" w:hAnsi="Arial-BoldMT" w:cs="Arial-BoldMT"/>
                <w:b/>
                <w:bCs/>
                <w:sz w:val="24"/>
                <w:szCs w:val="24"/>
              </w:rPr>
              <w:t>Odniesienie do</w:t>
            </w:r>
          </w:p>
          <w:p w:rsidR="001F094A" w:rsidRDefault="001F094A" w:rsidP="001F094A">
            <w:pPr>
              <w:jc w:val="center"/>
            </w:pPr>
            <w:r>
              <w:rPr>
                <w:rFonts w:ascii="Arial-BoldMT" w:hAnsi="Arial-BoldMT" w:cs="Arial-BoldMT"/>
                <w:b/>
                <w:bCs/>
                <w:sz w:val="24"/>
                <w:szCs w:val="24"/>
              </w:rPr>
              <w:t>uwagi</w:t>
            </w:r>
          </w:p>
        </w:tc>
      </w:tr>
      <w:tr w:rsidR="00C82A00" w:rsidTr="00C82A00">
        <w:trPr>
          <w:jc w:val="center"/>
        </w:trPr>
        <w:tc>
          <w:tcPr>
            <w:tcW w:w="576" w:type="dxa"/>
          </w:tcPr>
          <w:p w:rsidR="001F094A" w:rsidRPr="00CD56BB" w:rsidRDefault="001F094A">
            <w:pPr>
              <w:rPr>
                <w:rFonts w:ascii="Arial" w:hAnsi="Arial" w:cs="Arial"/>
              </w:rPr>
            </w:pPr>
            <w:r w:rsidRPr="00CD56BB">
              <w:rPr>
                <w:rFonts w:ascii="Arial" w:hAnsi="Arial" w:cs="Arial"/>
                <w:b/>
                <w:bCs/>
              </w:rPr>
              <w:t>1</w:t>
            </w:r>
          </w:p>
        </w:tc>
        <w:tc>
          <w:tcPr>
            <w:tcW w:w="979" w:type="dxa"/>
          </w:tcPr>
          <w:p w:rsidR="001F094A" w:rsidRPr="00CD56BB" w:rsidRDefault="001F094A">
            <w:pPr>
              <w:rPr>
                <w:rFonts w:ascii="Arial" w:hAnsi="Arial" w:cs="Arial"/>
              </w:rPr>
            </w:pPr>
            <w:proofErr w:type="spellStart"/>
            <w:r w:rsidRPr="00CD56BB">
              <w:rPr>
                <w:rFonts w:ascii="Arial" w:hAnsi="Arial" w:cs="Arial"/>
                <w:b/>
                <w:bCs/>
              </w:rPr>
              <w:t>MFiPR</w:t>
            </w:r>
            <w:proofErr w:type="spellEnd"/>
          </w:p>
        </w:tc>
        <w:tc>
          <w:tcPr>
            <w:tcW w:w="1559" w:type="dxa"/>
          </w:tcPr>
          <w:p w:rsidR="001F094A" w:rsidRPr="00CD56BB" w:rsidRDefault="001F094A" w:rsidP="001F094A">
            <w:pPr>
              <w:autoSpaceDE w:val="0"/>
              <w:autoSpaceDN w:val="0"/>
              <w:adjustRightInd w:val="0"/>
              <w:rPr>
                <w:rFonts w:ascii="Arial" w:hAnsi="Arial" w:cs="Arial"/>
              </w:rPr>
            </w:pPr>
            <w:r w:rsidRPr="00CD56BB">
              <w:rPr>
                <w:rFonts w:ascii="Arial" w:hAnsi="Arial" w:cs="Arial"/>
              </w:rPr>
              <w:t>4. Postęp</w:t>
            </w:r>
          </w:p>
          <w:p w:rsidR="001F094A" w:rsidRPr="00CD56BB" w:rsidRDefault="001F094A" w:rsidP="001F094A">
            <w:pPr>
              <w:rPr>
                <w:rFonts w:ascii="Arial" w:hAnsi="Arial" w:cs="Arial"/>
              </w:rPr>
            </w:pPr>
            <w:r w:rsidRPr="00CD56BB">
              <w:rPr>
                <w:rFonts w:ascii="Arial" w:hAnsi="Arial" w:cs="Arial"/>
              </w:rPr>
              <w:t>finansowy</w:t>
            </w:r>
          </w:p>
        </w:tc>
        <w:tc>
          <w:tcPr>
            <w:tcW w:w="4394" w:type="dxa"/>
          </w:tcPr>
          <w:p w:rsidR="001F094A" w:rsidRPr="00CD56BB" w:rsidRDefault="001F094A" w:rsidP="001F094A">
            <w:pPr>
              <w:autoSpaceDE w:val="0"/>
              <w:autoSpaceDN w:val="0"/>
              <w:adjustRightInd w:val="0"/>
              <w:rPr>
                <w:rFonts w:ascii="Arial" w:hAnsi="Arial" w:cs="Arial"/>
              </w:rPr>
            </w:pPr>
            <w:r w:rsidRPr="00CD56BB">
              <w:rPr>
                <w:rFonts w:ascii="Arial" w:hAnsi="Arial" w:cs="Arial"/>
              </w:rPr>
              <w:t>Brak informacji o certyfikowanych</w:t>
            </w:r>
          </w:p>
          <w:p w:rsidR="001F094A" w:rsidRPr="00CD56BB" w:rsidRDefault="001F094A" w:rsidP="001F094A">
            <w:pPr>
              <w:rPr>
                <w:rFonts w:ascii="Arial" w:hAnsi="Arial" w:cs="Arial"/>
              </w:rPr>
            </w:pPr>
            <w:r w:rsidRPr="00CD56BB">
              <w:rPr>
                <w:rFonts w:ascii="Arial" w:hAnsi="Arial" w:cs="Arial"/>
              </w:rPr>
              <w:t>środkach w ramach projektu.</w:t>
            </w:r>
          </w:p>
        </w:tc>
        <w:tc>
          <w:tcPr>
            <w:tcW w:w="3119" w:type="dxa"/>
          </w:tcPr>
          <w:p w:rsidR="001F094A" w:rsidRPr="00CD56BB" w:rsidRDefault="001F094A" w:rsidP="001F094A">
            <w:pPr>
              <w:autoSpaceDE w:val="0"/>
              <w:autoSpaceDN w:val="0"/>
              <w:adjustRightInd w:val="0"/>
              <w:rPr>
                <w:rFonts w:ascii="Arial" w:hAnsi="Arial" w:cs="Arial"/>
              </w:rPr>
            </w:pPr>
            <w:r w:rsidRPr="00CD56BB">
              <w:rPr>
                <w:rFonts w:ascii="Arial" w:hAnsi="Arial" w:cs="Arial"/>
              </w:rPr>
              <w:t>Proszę o uzupełnienie informacji zgodnie z</w:t>
            </w:r>
          </w:p>
          <w:p w:rsidR="001F094A" w:rsidRPr="00CD56BB" w:rsidRDefault="001F094A" w:rsidP="001F094A">
            <w:pPr>
              <w:rPr>
                <w:rFonts w:ascii="Arial" w:hAnsi="Arial" w:cs="Arial"/>
              </w:rPr>
            </w:pPr>
            <w:r w:rsidRPr="00CD56BB">
              <w:rPr>
                <w:rFonts w:ascii="Arial" w:hAnsi="Arial" w:cs="Arial"/>
              </w:rPr>
              <w:t>instrukcją.</w:t>
            </w:r>
          </w:p>
        </w:tc>
        <w:tc>
          <w:tcPr>
            <w:tcW w:w="3367" w:type="dxa"/>
          </w:tcPr>
          <w:p w:rsidR="001F094A" w:rsidRPr="00CD56BB" w:rsidRDefault="00C82A00" w:rsidP="00077FE6">
            <w:pPr>
              <w:jc w:val="both"/>
              <w:rPr>
                <w:rFonts w:ascii="Arial" w:hAnsi="Arial" w:cs="Arial"/>
              </w:rPr>
            </w:pPr>
            <w:r w:rsidRPr="00CD56BB">
              <w:rPr>
                <w:rFonts w:ascii="Arial" w:hAnsi="Arial" w:cs="Arial"/>
              </w:rPr>
              <w:t>Uwzględniono osiągnięty poziom certyfikacji w odniesieniu do zakontraktowanej wartości dofinansowania</w:t>
            </w:r>
          </w:p>
        </w:tc>
      </w:tr>
      <w:tr w:rsidR="00C82A00" w:rsidTr="00C82A00">
        <w:trPr>
          <w:jc w:val="center"/>
        </w:trPr>
        <w:tc>
          <w:tcPr>
            <w:tcW w:w="576" w:type="dxa"/>
          </w:tcPr>
          <w:p w:rsidR="001F094A" w:rsidRPr="00CD56BB" w:rsidRDefault="001F094A">
            <w:pPr>
              <w:rPr>
                <w:rFonts w:ascii="Arial" w:hAnsi="Arial" w:cs="Arial"/>
              </w:rPr>
            </w:pPr>
            <w:r w:rsidRPr="00CD56BB">
              <w:rPr>
                <w:rFonts w:ascii="Arial" w:hAnsi="Arial" w:cs="Arial"/>
                <w:b/>
                <w:bCs/>
              </w:rPr>
              <w:t>2</w:t>
            </w:r>
          </w:p>
        </w:tc>
        <w:tc>
          <w:tcPr>
            <w:tcW w:w="979" w:type="dxa"/>
          </w:tcPr>
          <w:p w:rsidR="001F094A" w:rsidRPr="00CD56BB" w:rsidRDefault="001F094A">
            <w:pPr>
              <w:rPr>
                <w:rFonts w:ascii="Arial" w:hAnsi="Arial" w:cs="Arial"/>
              </w:rPr>
            </w:pPr>
            <w:proofErr w:type="spellStart"/>
            <w:r w:rsidRPr="00CD56BB">
              <w:rPr>
                <w:rFonts w:ascii="Arial" w:hAnsi="Arial" w:cs="Arial"/>
                <w:b/>
                <w:bCs/>
              </w:rPr>
              <w:t>MFiPR</w:t>
            </w:r>
            <w:proofErr w:type="spellEnd"/>
          </w:p>
        </w:tc>
        <w:tc>
          <w:tcPr>
            <w:tcW w:w="1559" w:type="dxa"/>
          </w:tcPr>
          <w:p w:rsidR="001F094A" w:rsidRPr="00CD56BB" w:rsidRDefault="001F094A" w:rsidP="001F094A">
            <w:pPr>
              <w:autoSpaceDE w:val="0"/>
              <w:autoSpaceDN w:val="0"/>
              <w:adjustRightInd w:val="0"/>
              <w:rPr>
                <w:rFonts w:ascii="Arial" w:hAnsi="Arial" w:cs="Arial"/>
              </w:rPr>
            </w:pPr>
            <w:r w:rsidRPr="00CD56BB">
              <w:rPr>
                <w:rFonts w:ascii="Arial" w:hAnsi="Arial" w:cs="Arial"/>
              </w:rPr>
              <w:t>7. Postęp w</w:t>
            </w:r>
          </w:p>
          <w:p w:rsidR="001F094A" w:rsidRPr="00CD56BB" w:rsidRDefault="001F094A" w:rsidP="001F094A">
            <w:pPr>
              <w:autoSpaceDE w:val="0"/>
              <w:autoSpaceDN w:val="0"/>
              <w:adjustRightInd w:val="0"/>
              <w:rPr>
                <w:rFonts w:ascii="Arial" w:hAnsi="Arial" w:cs="Arial"/>
              </w:rPr>
            </w:pPr>
            <w:r w:rsidRPr="00CD56BB">
              <w:rPr>
                <w:rFonts w:ascii="Arial" w:hAnsi="Arial" w:cs="Arial"/>
              </w:rPr>
              <w:t>realizacji</w:t>
            </w:r>
          </w:p>
          <w:p w:rsidR="001F094A" w:rsidRPr="00CD56BB" w:rsidRDefault="001F094A" w:rsidP="001F094A">
            <w:pPr>
              <w:autoSpaceDE w:val="0"/>
              <w:autoSpaceDN w:val="0"/>
              <w:adjustRightInd w:val="0"/>
              <w:rPr>
                <w:rFonts w:ascii="Arial" w:hAnsi="Arial" w:cs="Arial"/>
              </w:rPr>
            </w:pPr>
            <w:r w:rsidRPr="00CD56BB">
              <w:rPr>
                <w:rFonts w:ascii="Arial" w:hAnsi="Arial" w:cs="Arial"/>
              </w:rPr>
              <w:t>strategicznych</w:t>
            </w:r>
          </w:p>
          <w:p w:rsidR="001F094A" w:rsidRPr="00CD56BB" w:rsidRDefault="001F094A" w:rsidP="001F094A">
            <w:pPr>
              <w:rPr>
                <w:rFonts w:ascii="Arial" w:hAnsi="Arial" w:cs="Arial"/>
              </w:rPr>
            </w:pPr>
            <w:r w:rsidRPr="00CD56BB">
              <w:rPr>
                <w:rFonts w:ascii="Arial" w:hAnsi="Arial" w:cs="Arial"/>
              </w:rPr>
              <w:t>celów Państwa</w:t>
            </w:r>
          </w:p>
        </w:tc>
        <w:tc>
          <w:tcPr>
            <w:tcW w:w="4394" w:type="dxa"/>
          </w:tcPr>
          <w:p w:rsidR="001F094A" w:rsidRPr="00CD56BB" w:rsidRDefault="001F094A" w:rsidP="001F094A">
            <w:pPr>
              <w:autoSpaceDE w:val="0"/>
              <w:autoSpaceDN w:val="0"/>
              <w:adjustRightInd w:val="0"/>
              <w:rPr>
                <w:rFonts w:ascii="Arial" w:hAnsi="Arial" w:cs="Arial"/>
              </w:rPr>
            </w:pPr>
            <w:r w:rsidRPr="00CD56BB">
              <w:rPr>
                <w:rFonts w:ascii="Arial" w:hAnsi="Arial" w:cs="Arial"/>
              </w:rPr>
              <w:t>Wartości niektórych wskaźników podane</w:t>
            </w:r>
            <w:r w:rsidR="000A4429" w:rsidRPr="00CD56BB">
              <w:rPr>
                <w:rFonts w:ascii="Arial" w:hAnsi="Arial" w:cs="Arial"/>
              </w:rPr>
              <w:t xml:space="preserve"> </w:t>
            </w:r>
            <w:r w:rsidRPr="00CD56BB">
              <w:rPr>
                <w:rFonts w:ascii="Arial" w:hAnsi="Arial" w:cs="Arial"/>
              </w:rPr>
              <w:t>w raporcie, nie są spójne ze złożonym</w:t>
            </w:r>
            <w:r w:rsidR="000A4429" w:rsidRPr="00CD56BB">
              <w:rPr>
                <w:rFonts w:ascii="Arial" w:hAnsi="Arial" w:cs="Arial"/>
              </w:rPr>
              <w:t xml:space="preserve"> </w:t>
            </w:r>
            <w:r w:rsidRPr="00CD56BB">
              <w:rPr>
                <w:rFonts w:ascii="Arial" w:hAnsi="Arial" w:cs="Arial"/>
              </w:rPr>
              <w:t>wnioskiem o płatność końcową, tj.:</w:t>
            </w:r>
          </w:p>
          <w:p w:rsidR="001F094A" w:rsidRPr="00CD56BB" w:rsidRDefault="001F094A" w:rsidP="001F094A">
            <w:pPr>
              <w:autoSpaceDE w:val="0"/>
              <w:autoSpaceDN w:val="0"/>
              <w:adjustRightInd w:val="0"/>
              <w:rPr>
                <w:rFonts w:ascii="Arial" w:hAnsi="Arial" w:cs="Arial"/>
              </w:rPr>
            </w:pPr>
            <w:r w:rsidRPr="00CD56BB">
              <w:rPr>
                <w:rFonts w:ascii="Arial" w:hAnsi="Arial" w:cs="Arial"/>
              </w:rPr>
              <w:t>1) Liczba baz danych udostępnionych online</w:t>
            </w:r>
            <w:r w:rsidR="000A4429" w:rsidRPr="00CD56BB">
              <w:rPr>
                <w:rFonts w:ascii="Arial" w:hAnsi="Arial" w:cs="Arial"/>
              </w:rPr>
              <w:t xml:space="preserve"> </w:t>
            </w:r>
            <w:r w:rsidRPr="00CD56BB">
              <w:rPr>
                <w:rFonts w:ascii="Arial" w:hAnsi="Arial" w:cs="Arial"/>
              </w:rPr>
              <w:t>poprzez API – w raporcie podano, iż</w:t>
            </w:r>
            <w:r w:rsidR="000A4429" w:rsidRPr="00CD56BB">
              <w:rPr>
                <w:rFonts w:ascii="Arial" w:hAnsi="Arial" w:cs="Arial"/>
              </w:rPr>
              <w:t xml:space="preserve"> </w:t>
            </w:r>
            <w:r w:rsidRPr="00CD56BB">
              <w:rPr>
                <w:rFonts w:ascii="Arial" w:hAnsi="Arial" w:cs="Arial"/>
              </w:rPr>
              <w:t>zrealizowano 9 szt., a we wniosku o</w:t>
            </w:r>
            <w:r w:rsidR="000A4429" w:rsidRPr="00CD56BB">
              <w:rPr>
                <w:rFonts w:ascii="Arial" w:hAnsi="Arial" w:cs="Arial"/>
              </w:rPr>
              <w:t xml:space="preserve"> </w:t>
            </w:r>
            <w:r w:rsidRPr="00CD56BB">
              <w:rPr>
                <w:rFonts w:ascii="Arial" w:hAnsi="Arial" w:cs="Arial"/>
              </w:rPr>
              <w:t>płatność końcową podano 10 szt.</w:t>
            </w:r>
            <w:r w:rsidR="000A4429" w:rsidRPr="00CD56BB">
              <w:rPr>
                <w:rFonts w:ascii="Arial" w:hAnsi="Arial" w:cs="Arial"/>
              </w:rPr>
              <w:t xml:space="preserve"> </w:t>
            </w:r>
            <w:r w:rsidRPr="00CD56BB">
              <w:rPr>
                <w:rFonts w:ascii="Arial" w:hAnsi="Arial" w:cs="Arial"/>
              </w:rPr>
              <w:t>(wartość docelowa 9 szt.),</w:t>
            </w:r>
          </w:p>
          <w:p w:rsidR="001F094A" w:rsidRPr="00CD56BB" w:rsidRDefault="001F094A" w:rsidP="001F094A">
            <w:pPr>
              <w:autoSpaceDE w:val="0"/>
              <w:autoSpaceDN w:val="0"/>
              <w:adjustRightInd w:val="0"/>
              <w:rPr>
                <w:rFonts w:ascii="Arial" w:hAnsi="Arial" w:cs="Arial"/>
              </w:rPr>
            </w:pPr>
            <w:r w:rsidRPr="00CD56BB">
              <w:rPr>
                <w:rFonts w:ascii="Arial" w:hAnsi="Arial" w:cs="Arial"/>
              </w:rPr>
              <w:t>2) Liczba udostępnionych on-line</w:t>
            </w:r>
          </w:p>
          <w:p w:rsidR="001F094A" w:rsidRPr="00CD56BB" w:rsidRDefault="001F094A" w:rsidP="001F094A">
            <w:pPr>
              <w:autoSpaceDE w:val="0"/>
              <w:autoSpaceDN w:val="0"/>
              <w:adjustRightInd w:val="0"/>
              <w:rPr>
                <w:rFonts w:ascii="Arial" w:hAnsi="Arial" w:cs="Arial"/>
              </w:rPr>
            </w:pPr>
            <w:r w:rsidRPr="00CD56BB">
              <w:rPr>
                <w:rFonts w:ascii="Arial" w:hAnsi="Arial" w:cs="Arial"/>
              </w:rPr>
              <w:t>dokumentów zawierających ISP – w</w:t>
            </w:r>
          </w:p>
          <w:p w:rsidR="001F094A" w:rsidRPr="00CD56BB" w:rsidRDefault="001F094A" w:rsidP="001F094A">
            <w:pPr>
              <w:autoSpaceDE w:val="0"/>
              <w:autoSpaceDN w:val="0"/>
              <w:adjustRightInd w:val="0"/>
              <w:rPr>
                <w:rFonts w:ascii="Arial" w:hAnsi="Arial" w:cs="Arial"/>
              </w:rPr>
            </w:pPr>
            <w:r w:rsidRPr="00CD56BB">
              <w:rPr>
                <w:rFonts w:ascii="Arial" w:hAnsi="Arial" w:cs="Arial"/>
              </w:rPr>
              <w:t>raporcie 19 775 065, we wniosku 19</w:t>
            </w:r>
          </w:p>
          <w:p w:rsidR="001F094A" w:rsidRPr="00CD56BB" w:rsidRDefault="001F094A" w:rsidP="001F094A">
            <w:pPr>
              <w:autoSpaceDE w:val="0"/>
              <w:autoSpaceDN w:val="0"/>
              <w:adjustRightInd w:val="0"/>
              <w:rPr>
                <w:rFonts w:ascii="Arial" w:hAnsi="Arial" w:cs="Arial"/>
              </w:rPr>
            </w:pPr>
            <w:r w:rsidRPr="00CD56BB">
              <w:rPr>
                <w:rFonts w:ascii="Arial" w:hAnsi="Arial" w:cs="Arial"/>
              </w:rPr>
              <w:t>774 556 (wartość docelowa 19 mln),</w:t>
            </w:r>
          </w:p>
          <w:p w:rsidR="001F094A" w:rsidRPr="00CD56BB" w:rsidRDefault="001F094A" w:rsidP="001F094A">
            <w:pPr>
              <w:autoSpaceDE w:val="0"/>
              <w:autoSpaceDN w:val="0"/>
              <w:adjustRightInd w:val="0"/>
              <w:rPr>
                <w:rFonts w:ascii="Arial" w:hAnsi="Arial" w:cs="Arial"/>
              </w:rPr>
            </w:pPr>
            <w:r w:rsidRPr="00CD56BB">
              <w:rPr>
                <w:rFonts w:ascii="Arial" w:hAnsi="Arial" w:cs="Arial"/>
              </w:rPr>
              <w:t>3) Rozmiar udostępnionych on-line ISP –</w:t>
            </w:r>
            <w:r w:rsidR="000A4429" w:rsidRPr="00CD56BB">
              <w:rPr>
                <w:rFonts w:ascii="Arial" w:hAnsi="Arial" w:cs="Arial"/>
              </w:rPr>
              <w:t xml:space="preserve"> </w:t>
            </w:r>
            <w:r w:rsidRPr="00CD56BB">
              <w:rPr>
                <w:rFonts w:ascii="Arial" w:hAnsi="Arial" w:cs="Arial"/>
              </w:rPr>
              <w:t>w raporcie 11,09 TB, we wniosku 11,32</w:t>
            </w:r>
            <w:r w:rsidR="000A4429" w:rsidRPr="00CD56BB">
              <w:rPr>
                <w:rFonts w:ascii="Arial" w:hAnsi="Arial" w:cs="Arial"/>
              </w:rPr>
              <w:t xml:space="preserve"> </w:t>
            </w:r>
            <w:r w:rsidRPr="00CD56BB">
              <w:rPr>
                <w:rFonts w:ascii="Arial" w:hAnsi="Arial" w:cs="Arial"/>
              </w:rPr>
              <w:t>TB (wartość docelowa 2,1 TB),</w:t>
            </w:r>
          </w:p>
          <w:p w:rsidR="001F094A" w:rsidRPr="00CD56BB" w:rsidRDefault="001F094A" w:rsidP="000A4429">
            <w:pPr>
              <w:autoSpaceDE w:val="0"/>
              <w:autoSpaceDN w:val="0"/>
              <w:adjustRightInd w:val="0"/>
              <w:rPr>
                <w:rFonts w:ascii="Arial" w:hAnsi="Arial" w:cs="Arial"/>
              </w:rPr>
            </w:pPr>
            <w:r w:rsidRPr="00CD56BB">
              <w:rPr>
                <w:rFonts w:ascii="Arial" w:hAnsi="Arial" w:cs="Arial"/>
              </w:rPr>
              <w:t>4) Liczba pobrań/</w:t>
            </w:r>
            <w:proofErr w:type="spellStart"/>
            <w:r w:rsidRPr="00CD56BB">
              <w:rPr>
                <w:rFonts w:ascii="Arial" w:hAnsi="Arial" w:cs="Arial"/>
              </w:rPr>
              <w:t>odtworzeń</w:t>
            </w:r>
            <w:proofErr w:type="spellEnd"/>
            <w:r w:rsidRPr="00CD56BB">
              <w:rPr>
                <w:rFonts w:ascii="Arial" w:hAnsi="Arial" w:cs="Arial"/>
              </w:rPr>
              <w:t xml:space="preserve"> dokumentów</w:t>
            </w:r>
            <w:r w:rsidR="000A4429" w:rsidRPr="00CD56BB">
              <w:rPr>
                <w:rFonts w:ascii="Arial" w:hAnsi="Arial" w:cs="Arial"/>
              </w:rPr>
              <w:t xml:space="preserve"> </w:t>
            </w:r>
            <w:r w:rsidRPr="00CD56BB">
              <w:rPr>
                <w:rFonts w:ascii="Arial" w:hAnsi="Arial" w:cs="Arial"/>
              </w:rPr>
              <w:t>zawierających ISP – w raporcie</w:t>
            </w:r>
            <w:r w:rsidR="000A4429" w:rsidRPr="00CD56BB">
              <w:rPr>
                <w:rFonts w:ascii="Arial" w:hAnsi="Arial" w:cs="Arial"/>
              </w:rPr>
              <w:t xml:space="preserve"> </w:t>
            </w:r>
            <w:r w:rsidRPr="00CD56BB">
              <w:rPr>
                <w:rFonts w:ascii="Arial" w:hAnsi="Arial" w:cs="Arial"/>
              </w:rPr>
              <w:t>25 363 810 szt./rok, we wniosku</w:t>
            </w:r>
            <w:r w:rsidR="000A4429" w:rsidRPr="00CD56BB">
              <w:rPr>
                <w:rFonts w:ascii="Arial" w:hAnsi="Arial" w:cs="Arial"/>
              </w:rPr>
              <w:t xml:space="preserve"> </w:t>
            </w:r>
            <w:r w:rsidRPr="00CD56BB">
              <w:rPr>
                <w:rFonts w:ascii="Arial" w:hAnsi="Arial" w:cs="Arial"/>
              </w:rPr>
              <w:t>2 935 202 szt./rok (wartość docelowa 5,9</w:t>
            </w:r>
            <w:r w:rsidR="000A4429" w:rsidRPr="00CD56BB">
              <w:rPr>
                <w:rFonts w:ascii="Arial" w:hAnsi="Arial" w:cs="Arial"/>
              </w:rPr>
              <w:t xml:space="preserve"> </w:t>
            </w:r>
            <w:r w:rsidRPr="00CD56BB">
              <w:rPr>
                <w:rFonts w:ascii="Arial" w:hAnsi="Arial" w:cs="Arial"/>
              </w:rPr>
              <w:t>mln).</w:t>
            </w:r>
          </w:p>
        </w:tc>
        <w:tc>
          <w:tcPr>
            <w:tcW w:w="3119" w:type="dxa"/>
          </w:tcPr>
          <w:p w:rsidR="001F094A" w:rsidRPr="00CD56BB" w:rsidRDefault="001F094A" w:rsidP="001F094A">
            <w:pPr>
              <w:autoSpaceDE w:val="0"/>
              <w:autoSpaceDN w:val="0"/>
              <w:adjustRightInd w:val="0"/>
              <w:rPr>
                <w:rFonts w:ascii="Arial" w:hAnsi="Arial" w:cs="Arial"/>
              </w:rPr>
            </w:pPr>
            <w:r w:rsidRPr="00CD56BB">
              <w:rPr>
                <w:rFonts w:ascii="Arial" w:hAnsi="Arial" w:cs="Arial"/>
              </w:rPr>
              <w:t>Wartości osiągnięte wskaźników, podawane w</w:t>
            </w:r>
            <w:r w:rsidR="000A4429" w:rsidRPr="00CD56BB">
              <w:rPr>
                <w:rFonts w:ascii="Arial" w:hAnsi="Arial" w:cs="Arial"/>
              </w:rPr>
              <w:t xml:space="preserve"> dokumentach </w:t>
            </w:r>
            <w:r w:rsidRPr="00CD56BB">
              <w:rPr>
                <w:rFonts w:ascii="Arial" w:hAnsi="Arial" w:cs="Arial"/>
              </w:rPr>
              <w:t>końcowych, powinny być spójne.</w:t>
            </w:r>
            <w:r w:rsidR="000A4429" w:rsidRPr="00CD56BB">
              <w:rPr>
                <w:rFonts w:ascii="Arial" w:hAnsi="Arial" w:cs="Arial"/>
              </w:rPr>
              <w:t xml:space="preserve"> </w:t>
            </w:r>
            <w:r w:rsidRPr="00CD56BB">
              <w:rPr>
                <w:rFonts w:ascii="Arial" w:hAnsi="Arial" w:cs="Arial"/>
              </w:rPr>
              <w:t>Należy zatem zweryfikować podane wartości w obu</w:t>
            </w:r>
          </w:p>
          <w:p w:rsidR="001F094A" w:rsidRPr="00CD56BB" w:rsidRDefault="001F094A" w:rsidP="001F094A">
            <w:pPr>
              <w:autoSpaceDE w:val="0"/>
              <w:autoSpaceDN w:val="0"/>
              <w:adjustRightInd w:val="0"/>
              <w:rPr>
                <w:rFonts w:ascii="Arial" w:hAnsi="Arial" w:cs="Arial"/>
              </w:rPr>
            </w:pPr>
            <w:r w:rsidRPr="00CD56BB">
              <w:rPr>
                <w:rFonts w:ascii="Arial" w:hAnsi="Arial" w:cs="Arial"/>
              </w:rPr>
              <w:t>dokumentach końcowych i odpowiednio je poprawić.</w:t>
            </w:r>
            <w:r w:rsidR="000A4429" w:rsidRPr="00CD56BB">
              <w:rPr>
                <w:rFonts w:ascii="Arial" w:hAnsi="Arial" w:cs="Arial"/>
              </w:rPr>
              <w:t xml:space="preserve"> </w:t>
            </w:r>
            <w:r w:rsidRPr="00CD56BB">
              <w:rPr>
                <w:rFonts w:ascii="Arial" w:hAnsi="Arial" w:cs="Arial"/>
              </w:rPr>
              <w:t>W przypadku wskaźnika 3) należy uzasadnić</w:t>
            </w:r>
            <w:r w:rsidR="000A4429" w:rsidRPr="00CD56BB">
              <w:rPr>
                <w:rFonts w:ascii="Arial" w:hAnsi="Arial" w:cs="Arial"/>
              </w:rPr>
              <w:t xml:space="preserve"> </w:t>
            </w:r>
            <w:r w:rsidRPr="00CD56BB">
              <w:rPr>
                <w:rFonts w:ascii="Arial" w:hAnsi="Arial" w:cs="Arial"/>
              </w:rPr>
              <w:t>znaczące przekroczenie wartości docelowej i podać</w:t>
            </w:r>
            <w:r w:rsidR="000A4429" w:rsidRPr="00CD56BB">
              <w:rPr>
                <w:rFonts w:ascii="Arial" w:hAnsi="Arial" w:cs="Arial"/>
              </w:rPr>
              <w:t xml:space="preserve"> </w:t>
            </w:r>
            <w:r w:rsidRPr="00CD56BB">
              <w:rPr>
                <w:rFonts w:ascii="Arial" w:hAnsi="Arial" w:cs="Arial"/>
              </w:rPr>
              <w:t>je w raporcie końcowym.</w:t>
            </w:r>
          </w:p>
          <w:p w:rsidR="001F094A" w:rsidRPr="00CD56BB" w:rsidRDefault="001F094A" w:rsidP="001F094A">
            <w:pPr>
              <w:autoSpaceDE w:val="0"/>
              <w:autoSpaceDN w:val="0"/>
              <w:adjustRightInd w:val="0"/>
              <w:rPr>
                <w:rFonts w:ascii="Arial" w:hAnsi="Arial" w:cs="Arial"/>
              </w:rPr>
            </w:pPr>
            <w:r w:rsidRPr="00CD56BB">
              <w:rPr>
                <w:rFonts w:ascii="Arial" w:hAnsi="Arial" w:cs="Arial"/>
              </w:rPr>
              <w:t>W przypadku wskaźnika 4) rozbieżność wartości w</w:t>
            </w:r>
          </w:p>
          <w:p w:rsidR="001F094A" w:rsidRPr="00CD56BB" w:rsidRDefault="001F094A" w:rsidP="000A4429">
            <w:pPr>
              <w:autoSpaceDE w:val="0"/>
              <w:autoSpaceDN w:val="0"/>
              <w:adjustRightInd w:val="0"/>
              <w:rPr>
                <w:rFonts w:ascii="Arial" w:hAnsi="Arial" w:cs="Arial"/>
              </w:rPr>
            </w:pPr>
            <w:r w:rsidRPr="00CD56BB">
              <w:rPr>
                <w:rFonts w:ascii="Arial" w:hAnsi="Arial" w:cs="Arial"/>
              </w:rPr>
              <w:t>obu dokumentach końcowych jest bardzo duża.</w:t>
            </w:r>
            <w:r w:rsidR="000A4429" w:rsidRPr="00CD56BB">
              <w:rPr>
                <w:rFonts w:ascii="Arial" w:hAnsi="Arial" w:cs="Arial"/>
              </w:rPr>
              <w:t xml:space="preserve"> </w:t>
            </w:r>
            <w:r w:rsidRPr="00CD56BB">
              <w:rPr>
                <w:rFonts w:ascii="Arial" w:hAnsi="Arial" w:cs="Arial"/>
              </w:rPr>
              <w:t>Należy to wyjaśnić i skorygować, tak aby dane były</w:t>
            </w:r>
            <w:r w:rsidR="000A4429" w:rsidRPr="00CD56BB">
              <w:rPr>
                <w:rFonts w:ascii="Arial" w:hAnsi="Arial" w:cs="Arial"/>
              </w:rPr>
              <w:t xml:space="preserve"> </w:t>
            </w:r>
            <w:r w:rsidRPr="00CD56BB">
              <w:rPr>
                <w:rFonts w:ascii="Arial" w:hAnsi="Arial" w:cs="Arial"/>
              </w:rPr>
              <w:t>spójne.</w:t>
            </w:r>
          </w:p>
        </w:tc>
        <w:tc>
          <w:tcPr>
            <w:tcW w:w="3367" w:type="dxa"/>
          </w:tcPr>
          <w:p w:rsidR="00077FE6" w:rsidRPr="00077FE6" w:rsidRDefault="00077FE6" w:rsidP="00077FE6">
            <w:pPr>
              <w:jc w:val="both"/>
              <w:rPr>
                <w:rFonts w:ascii="Arial" w:hAnsi="Arial" w:cs="Arial"/>
              </w:rPr>
            </w:pPr>
            <w:r w:rsidRPr="00077FE6">
              <w:rPr>
                <w:rFonts w:ascii="Arial" w:hAnsi="Arial" w:cs="Arial"/>
              </w:rPr>
              <w:t xml:space="preserve">1)     Liczba baz danych udostępnionych on-line poprzez API – poprawna wartość 9 szt. W raportach kwartalnych w zakładce w systemie SL2014 Problemy napotkane w trakcie realizacji projektu - zgłaszana była nieprawidłowa wartość tego wskaźnika, która </w:t>
            </w:r>
            <w:r>
              <w:rPr>
                <w:rFonts w:ascii="Arial" w:hAnsi="Arial" w:cs="Arial"/>
              </w:rPr>
              <w:t>o</w:t>
            </w:r>
            <w:r w:rsidRPr="00077FE6">
              <w:rPr>
                <w:rFonts w:ascii="Arial" w:hAnsi="Arial" w:cs="Arial"/>
              </w:rPr>
              <w:t xml:space="preserve">myłkowo została </w:t>
            </w:r>
            <w:r>
              <w:rPr>
                <w:rFonts w:ascii="Arial" w:hAnsi="Arial" w:cs="Arial"/>
              </w:rPr>
              <w:t>z</w:t>
            </w:r>
            <w:r w:rsidRPr="00077FE6">
              <w:rPr>
                <w:rFonts w:ascii="Arial" w:hAnsi="Arial" w:cs="Arial"/>
              </w:rPr>
              <w:t>araportowana we wniosku nr 3 za II kw. 2018 r. – zgłoszone do IP w kolejnym raporcie nr 4 oraz w kolejnych raportach kwartalnych.</w:t>
            </w:r>
          </w:p>
          <w:p w:rsidR="00077FE6" w:rsidRPr="00077FE6" w:rsidRDefault="00077FE6" w:rsidP="00077FE6">
            <w:pPr>
              <w:jc w:val="both"/>
              <w:rPr>
                <w:rFonts w:ascii="Arial" w:hAnsi="Arial" w:cs="Arial"/>
              </w:rPr>
            </w:pPr>
            <w:r w:rsidRPr="00077FE6">
              <w:rPr>
                <w:rFonts w:ascii="Arial" w:hAnsi="Arial" w:cs="Arial"/>
              </w:rPr>
              <w:t xml:space="preserve">2)      Liczba udostępnionych on-line dokumentów zawierających informacje sektora publicznego – poprawna wartość na dn. 29.01.2021 r. to 19 775 065 szt. Wartość 19 774 556 szt. pokazuje stan dn. 31.01.2021 r. </w:t>
            </w:r>
          </w:p>
          <w:p w:rsidR="001F094A" w:rsidRPr="00077FE6" w:rsidRDefault="00077FE6" w:rsidP="00077FE6">
            <w:pPr>
              <w:jc w:val="both"/>
              <w:rPr>
                <w:rFonts w:ascii="Arial" w:hAnsi="Arial" w:cs="Arial"/>
              </w:rPr>
            </w:pPr>
            <w:r w:rsidRPr="00077FE6">
              <w:rPr>
                <w:rFonts w:ascii="Arial" w:hAnsi="Arial" w:cs="Arial"/>
              </w:rPr>
              <w:t xml:space="preserve">3)      Rozmiar udostępnionych on-line informacji sektora publicznego – poprawna </w:t>
            </w:r>
            <w:r w:rsidRPr="00077FE6">
              <w:rPr>
                <w:rFonts w:ascii="Arial" w:hAnsi="Arial" w:cs="Arial"/>
              </w:rPr>
              <w:lastRenderedPageBreak/>
              <w:t>wartość 11,09 TB. Różnica wynika z nieznacznych zaokrągleń w Systemie SL2014, które w okresie realizacji projektu skumulowały się do wartości 11,32 TB</w:t>
            </w:r>
            <w:r w:rsidRPr="00077FE6">
              <w:rPr>
                <w:rFonts w:ascii="Arial" w:hAnsi="Arial" w:cs="Arial"/>
              </w:rPr>
              <w:t xml:space="preserve">. znaczne przekroczenie wartości docelowej (2,1 TB) wskaźnika nr 3) 11,09 TB 528,10% było już wyjaśniane w III kwartale 2019 r. Wynika to ze zmiany otoczenia biznesowego projektu i możliwości udostępnienia większego rozmiaru danych, czego nie można było przewidzieć na początkowym etapie.  W III kw. 2019 uwzględniono udostępnianie dokumentów (prac dyplomowych) udostępnianych przez API Modelu Wymiany Danych do Jednolitego Systemu </w:t>
            </w:r>
            <w:proofErr w:type="spellStart"/>
            <w:r w:rsidRPr="00077FE6">
              <w:rPr>
                <w:rFonts w:ascii="Arial" w:hAnsi="Arial" w:cs="Arial"/>
              </w:rPr>
              <w:t>Antyplagiatowego</w:t>
            </w:r>
            <w:proofErr w:type="spellEnd"/>
            <w:r w:rsidRPr="00077FE6">
              <w:rPr>
                <w:rFonts w:ascii="Arial" w:hAnsi="Arial" w:cs="Arial"/>
              </w:rPr>
              <w:t xml:space="preserve"> (JSA). Pierwotnie (w Studium Wykonalności projektu) zakładano udostępnianie tylko metadanych bez treści prac, jednakże zmieniające otoczenie biznesowe projektu sprawiło, że udostępniane są pełne treści pracy do JSA. Stąd tak znaczne (pięciokrotne) przekroczenie założonego wskaźnika.</w:t>
            </w:r>
          </w:p>
          <w:p w:rsidR="00077FE6" w:rsidRPr="00077FE6" w:rsidRDefault="00077FE6" w:rsidP="00077FE6">
            <w:pPr>
              <w:jc w:val="both"/>
              <w:rPr>
                <w:rFonts w:ascii="Arial" w:hAnsi="Arial" w:cs="Arial"/>
              </w:rPr>
            </w:pPr>
            <w:r w:rsidRPr="00077FE6">
              <w:rPr>
                <w:rFonts w:ascii="Arial" w:hAnsi="Arial" w:cs="Arial"/>
              </w:rPr>
              <w:t xml:space="preserve">4)      Liczba pobrań/ </w:t>
            </w:r>
            <w:proofErr w:type="spellStart"/>
            <w:r w:rsidRPr="00077FE6">
              <w:rPr>
                <w:rFonts w:ascii="Arial" w:hAnsi="Arial" w:cs="Arial"/>
              </w:rPr>
              <w:t>odtworzeń</w:t>
            </w:r>
            <w:proofErr w:type="spellEnd"/>
            <w:r w:rsidRPr="00077FE6">
              <w:rPr>
                <w:rFonts w:ascii="Arial" w:hAnsi="Arial" w:cs="Arial"/>
              </w:rPr>
              <w:t xml:space="preserve"> dokumentów zawierających </w:t>
            </w:r>
            <w:r w:rsidRPr="00077FE6">
              <w:rPr>
                <w:rFonts w:ascii="Arial" w:hAnsi="Arial" w:cs="Arial"/>
              </w:rPr>
              <w:lastRenderedPageBreak/>
              <w:t>informacje sektora publicznego szt./rok  – w komentarzu do raportu zostało to wyjaśnione, ponieważ pytanie pojawiało się zawsze w I-szych kwartałach realizacji projektu.  Wartość w tym raporcie jest niższa od wartości zaraportowanej w IV kw. 2020, ponieważ wskaźnik ma jednostkę miary szt./rok. Wartość podana w IV kw. 2020 dotyczyła liczby pobrań za cały rok 2020. W tym raporcie  wartość dotyczy liczby pobrań od początku 2021 r. (za styczeń 2021), dlatego jest niższa. Niemniej liczba pobrań osiągnięta w ciągu pierwszego miesiąca 2021 wskazuje na ok. 50% poziom realizacji wskaźnika, dlatego osiągniecie pożądanego poziomu do końca roku nie jest zagrożone.</w:t>
            </w:r>
          </w:p>
          <w:p w:rsidR="00077FE6" w:rsidRPr="00077FE6" w:rsidRDefault="00077FE6" w:rsidP="00077FE6">
            <w:pPr>
              <w:jc w:val="both"/>
              <w:rPr>
                <w:rFonts w:ascii="Arial" w:hAnsi="Arial" w:cs="Arial"/>
              </w:rPr>
            </w:pPr>
            <w:r w:rsidRPr="00077FE6">
              <w:rPr>
                <w:rFonts w:ascii="Arial" w:hAnsi="Arial" w:cs="Arial"/>
              </w:rPr>
              <w:t>Rozbieżność tego wskaźnika wynika z zastosowanej jednostki miary tego wskaźnika, tj. szt./rok (kumulowanie jego wartości w skali 1 roku), co w konsekwencji daje wartości tego wskaźnika, jak poniżej:</w:t>
            </w:r>
          </w:p>
          <w:p w:rsidR="00077FE6" w:rsidRPr="00077FE6" w:rsidRDefault="00077FE6" w:rsidP="00077FE6">
            <w:pPr>
              <w:jc w:val="both"/>
              <w:rPr>
                <w:rFonts w:ascii="Arial" w:hAnsi="Arial" w:cs="Arial"/>
              </w:rPr>
            </w:pPr>
            <w:r w:rsidRPr="00077FE6">
              <w:rPr>
                <w:rFonts w:ascii="Arial" w:hAnsi="Arial" w:cs="Arial"/>
              </w:rPr>
              <w:t>2017: 0 szt./ rok</w:t>
            </w:r>
          </w:p>
          <w:p w:rsidR="00077FE6" w:rsidRPr="00077FE6" w:rsidRDefault="00077FE6" w:rsidP="00077FE6">
            <w:pPr>
              <w:jc w:val="both"/>
              <w:rPr>
                <w:rFonts w:ascii="Arial" w:hAnsi="Arial" w:cs="Arial"/>
              </w:rPr>
            </w:pPr>
            <w:r w:rsidRPr="00077FE6">
              <w:rPr>
                <w:rFonts w:ascii="Arial" w:hAnsi="Arial" w:cs="Arial"/>
              </w:rPr>
              <w:t>2018: 439 034,00 szt./rok</w:t>
            </w:r>
          </w:p>
          <w:p w:rsidR="00077FE6" w:rsidRPr="00077FE6" w:rsidRDefault="00077FE6" w:rsidP="00077FE6">
            <w:pPr>
              <w:jc w:val="both"/>
              <w:rPr>
                <w:rFonts w:ascii="Arial" w:hAnsi="Arial" w:cs="Arial"/>
              </w:rPr>
            </w:pPr>
            <w:r w:rsidRPr="00077FE6">
              <w:rPr>
                <w:rFonts w:ascii="Arial" w:hAnsi="Arial" w:cs="Arial"/>
              </w:rPr>
              <w:t>2019: 22 012 520,00 szt./rok</w:t>
            </w:r>
          </w:p>
          <w:p w:rsidR="00077FE6" w:rsidRPr="00077FE6" w:rsidRDefault="00077FE6" w:rsidP="00077FE6">
            <w:pPr>
              <w:jc w:val="both"/>
              <w:rPr>
                <w:rFonts w:ascii="Arial" w:hAnsi="Arial" w:cs="Arial"/>
              </w:rPr>
            </w:pPr>
            <w:r w:rsidRPr="00077FE6">
              <w:rPr>
                <w:rFonts w:ascii="Arial" w:hAnsi="Arial" w:cs="Arial"/>
              </w:rPr>
              <w:t>2020: 25 363 810,00 szt./rok</w:t>
            </w:r>
          </w:p>
          <w:p w:rsidR="00077FE6" w:rsidRPr="00077FE6" w:rsidRDefault="00077FE6" w:rsidP="00077FE6">
            <w:pPr>
              <w:jc w:val="both"/>
              <w:rPr>
                <w:rFonts w:ascii="Arial" w:hAnsi="Arial" w:cs="Arial"/>
              </w:rPr>
            </w:pPr>
            <w:r w:rsidRPr="00077FE6">
              <w:rPr>
                <w:rFonts w:ascii="Arial" w:hAnsi="Arial" w:cs="Arial"/>
              </w:rPr>
              <w:lastRenderedPageBreak/>
              <w:t>1-29.01.2021: 2 783 311,00 szt./rok</w:t>
            </w:r>
          </w:p>
          <w:p w:rsidR="00077FE6" w:rsidRPr="00077FE6" w:rsidRDefault="00077FE6" w:rsidP="00077FE6">
            <w:pPr>
              <w:jc w:val="both"/>
              <w:rPr>
                <w:rFonts w:ascii="Arial" w:hAnsi="Arial" w:cs="Arial"/>
              </w:rPr>
            </w:pPr>
            <w:r w:rsidRPr="00077FE6">
              <w:rPr>
                <w:rFonts w:ascii="Arial" w:hAnsi="Arial" w:cs="Arial"/>
              </w:rPr>
              <w:t>Wartość docelowa tego wskaźnika: 5 900 000,00 szt./rok</w:t>
            </w:r>
          </w:p>
          <w:p w:rsidR="00077FE6" w:rsidRPr="00077FE6" w:rsidRDefault="00077FE6" w:rsidP="00077FE6">
            <w:pPr>
              <w:jc w:val="both"/>
              <w:rPr>
                <w:rFonts w:ascii="Arial" w:hAnsi="Arial" w:cs="Arial"/>
              </w:rPr>
            </w:pPr>
            <w:r>
              <w:rPr>
                <w:rFonts w:ascii="Arial" w:hAnsi="Arial" w:cs="Arial"/>
              </w:rPr>
              <w:t>R</w:t>
            </w:r>
            <w:r w:rsidRPr="00077FE6">
              <w:rPr>
                <w:rFonts w:ascii="Arial" w:hAnsi="Arial" w:cs="Arial"/>
              </w:rPr>
              <w:t>ozbieżności mo</w:t>
            </w:r>
            <w:r>
              <w:rPr>
                <w:rFonts w:ascii="Arial" w:hAnsi="Arial" w:cs="Arial"/>
              </w:rPr>
              <w:t>gą</w:t>
            </w:r>
            <w:bookmarkStart w:id="0" w:name="_GoBack"/>
            <w:bookmarkEnd w:id="0"/>
            <w:r w:rsidRPr="00077FE6">
              <w:rPr>
                <w:rFonts w:ascii="Arial" w:hAnsi="Arial" w:cs="Arial"/>
              </w:rPr>
              <w:t xml:space="preserve"> wynikać z wytycznych KRMC przesłanych w uwagach do składanych raportów, aby w raportach dla KRMC podawać wartości wskaźników z ostatniego zatwierdzonego Wniosku składanego w systemie SL2014. Miało to zapewnić możliwość porównania przedstawionych w raportach dla KRMC wskazań z zatwierdzonymi Wnioskami o płatność. W tej sytuacji np. w Raporcie dla KRMC za IV kw.2020 r. podano wartości wskaźników osiągniętych na 31.09.2020 r. zaraportowanych w IV kw. 2020 r. we Wniosku o płatność za III kw. 2020 r.</w:t>
            </w:r>
          </w:p>
        </w:tc>
      </w:tr>
    </w:tbl>
    <w:p w:rsidR="004A6206" w:rsidRDefault="004A6206"/>
    <w:sectPr w:rsidR="004A6206" w:rsidSect="001F094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BoldItalicMT">
    <w:altName w:val="Arial"/>
    <w:panose1 w:val="00000000000000000000"/>
    <w:charset w:val="00"/>
    <w:family w:val="swiss"/>
    <w:notTrueType/>
    <w:pitch w:val="default"/>
    <w:sig w:usb0="00000001" w:usb1="00000000" w:usb2="00000000" w:usb3="00000000" w:csb0="00000003" w:csb1="00000000"/>
  </w:font>
  <w:font w:name="Arial-BoldMT">
    <w:altName w:val="Arial"/>
    <w:panose1 w:val="00000000000000000000"/>
    <w:charset w:val="00"/>
    <w:family w:val="swiss"/>
    <w:notTrueType/>
    <w:pitch w:val="default"/>
    <w:sig w:usb0="00000007" w:usb1="00000000" w:usb2="00000000" w:usb3="00000000" w:csb0="00000003"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94A"/>
    <w:rsid w:val="000246A7"/>
    <w:rsid w:val="00077FE6"/>
    <w:rsid w:val="000A4429"/>
    <w:rsid w:val="001F094A"/>
    <w:rsid w:val="004A6206"/>
    <w:rsid w:val="00C82A00"/>
    <w:rsid w:val="00CD56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B861E"/>
  <w15:chartTrackingRefBased/>
  <w15:docId w15:val="{447B314D-C776-4BF5-B6CB-84FE43E16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F0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695</Words>
  <Characters>4175</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MNiSW</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Mikołajczak Marlena</dc:creator>
  <cp:keywords/>
  <dc:description/>
  <cp:lastModifiedBy>Mikołajczak Marlena</cp:lastModifiedBy>
  <cp:revision>6</cp:revision>
  <dcterms:created xsi:type="dcterms:W3CDTF">2021-04-07T10:33:00Z</dcterms:created>
  <dcterms:modified xsi:type="dcterms:W3CDTF">2021-04-07T12:25:00Z</dcterms:modified>
</cp:coreProperties>
</file>