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8B392" w14:textId="77777777" w:rsidR="00CA7B8F" w:rsidRPr="00497A5E" w:rsidRDefault="00CA7B8F" w:rsidP="00D542AA">
      <w:pPr>
        <w:spacing w:after="0" w:line="240" w:lineRule="auto"/>
        <w:jc w:val="both"/>
        <w:rPr>
          <w:rFonts w:ascii="Times New Roman" w:hAnsi="Times New Roman"/>
        </w:rPr>
      </w:pPr>
      <w:r w:rsidRPr="00497A5E">
        <w:rPr>
          <w:rFonts w:ascii="Times New Roman" w:hAnsi="Times New Roman"/>
        </w:rPr>
        <w:t>Załącznik B.15.</w:t>
      </w:r>
    </w:p>
    <w:p w14:paraId="2BFDDAFB" w14:textId="0084C2E9" w:rsidR="00CA7B8F" w:rsidRPr="00497A5E" w:rsidRDefault="00CA7B8F" w:rsidP="00D542AA">
      <w:pPr>
        <w:spacing w:after="0" w:line="240" w:lineRule="auto"/>
        <w:jc w:val="both"/>
        <w:rPr>
          <w:rFonts w:ascii="Times New Roman" w:hAnsi="Times New Roman"/>
        </w:rPr>
      </w:pPr>
    </w:p>
    <w:p w14:paraId="44C69B16" w14:textId="77777777" w:rsidR="00CA7B8F" w:rsidRPr="00497A5E" w:rsidRDefault="00CA7B8F" w:rsidP="00D542AA">
      <w:pPr>
        <w:spacing w:after="240" w:line="240" w:lineRule="auto"/>
        <w:rPr>
          <w:rFonts w:ascii="Times New Roman" w:hAnsi="Times New Roman"/>
          <w:b/>
          <w:sz w:val="28"/>
        </w:rPr>
      </w:pPr>
      <w:r w:rsidRPr="00497A5E">
        <w:rPr>
          <w:rFonts w:ascii="Times New Roman" w:hAnsi="Times New Roman"/>
          <w:b/>
          <w:sz w:val="28"/>
        </w:rPr>
        <w:t>ZAPOBIEGANIE KRWAWIENIOM U DZIECI Z HEMOFILIĄ A I B (ICD-10: D66, D67)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2"/>
        <w:gridCol w:w="4112"/>
        <w:gridCol w:w="5614"/>
      </w:tblGrid>
      <w:tr w:rsidR="00CA7B8F" w:rsidRPr="00497A5E" w14:paraId="1AE9C0ED" w14:textId="77777777" w:rsidTr="00E87F3F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74E9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CA7B8F" w:rsidRPr="00497A5E" w14:paraId="7798CD19" w14:textId="77777777" w:rsidTr="00E87F3F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F301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3BF7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 xml:space="preserve">SCHEMAT DAWKOWANIA LEKÓW </w:t>
            </w:r>
            <w:r w:rsidRPr="00497A5E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3AF6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 xml:space="preserve">BADANIA DIAGNOSTYCZNE WYKONYWANE </w:t>
            </w:r>
            <w:r w:rsidRPr="00497A5E">
              <w:rPr>
                <w:rFonts w:ascii="Times New Roman" w:hAnsi="Times New Roman"/>
                <w:b/>
              </w:rPr>
              <w:br/>
              <w:t>W RAMACH PROGRAMU</w:t>
            </w:r>
          </w:p>
        </w:tc>
      </w:tr>
      <w:tr w:rsidR="00CA7B8F" w:rsidRPr="00DB2DE8" w14:paraId="38DE6C3F" w14:textId="77777777" w:rsidTr="00E87F3F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4134" w14:textId="77777777" w:rsidR="00CA7B8F" w:rsidRPr="00497A5E" w:rsidRDefault="00CA7B8F" w:rsidP="00E87F3F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świadczeniobiorców do terapii pierwotnej i wtórnej profilaktyki krwawień oraz leczenia hemofilii powikłanej nowo powstałym krążącym antykoagulantem dokonuje Zespół Koordynujący ds. kwalifikacji i weryfikacji leczenia w programie zapobiegania krwawieniom u dzieci z hemofilią A i B powołany przez Prezesa Narodowego Funduszu Zdrowia.</w:t>
            </w:r>
          </w:p>
          <w:p w14:paraId="172F2AF4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78F9BED" w14:textId="77777777" w:rsidR="00CA7B8F" w:rsidRPr="00497A5E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pierwotnej profilaktyki krwawień</w:t>
            </w:r>
          </w:p>
          <w:p w14:paraId="2B5D78F0" w14:textId="77777777" w:rsidR="00CA7B8F" w:rsidRPr="00497A5E" w:rsidRDefault="00CA7B8F" w:rsidP="0047124A">
            <w:pPr>
              <w:pStyle w:val="Default"/>
              <w:numPr>
                <w:ilvl w:val="1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 profilaktyka krwawień u dzieci od 1. dnia życia z zachowaniem ciągłości leczenia do ukończenia 18. roku życia, z ciężką postacią hemofilii A lub B, o poziomie aktywności czynników krzepnięcia VIII lub IX równym lub poniżej 1% poziomu normalnego.</w:t>
            </w:r>
          </w:p>
          <w:p w14:paraId="3BF55E9D" w14:textId="755CC064" w:rsidR="00CA7B8F" w:rsidRPr="00497A5E" w:rsidRDefault="00CA7B8F" w:rsidP="0047124A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Substancja czynna finansowana w ramach pierwotnej profilaktyki krwawień – koncentraty czynników krzepnięcia, odpowiednio czynnika VIII lub czynnika IX - </w:t>
            </w:r>
            <w:proofErr w:type="spellStart"/>
            <w:r w:rsidRPr="00497A5E">
              <w:rPr>
                <w:sz w:val="20"/>
                <w:szCs w:val="20"/>
              </w:rPr>
              <w:t>osoczopochodnych</w:t>
            </w:r>
            <w:proofErr w:type="spellEnd"/>
            <w:r w:rsidRPr="00497A5E">
              <w:rPr>
                <w:sz w:val="20"/>
                <w:szCs w:val="20"/>
              </w:rPr>
              <w:t xml:space="preserve"> (ludzkich) oraz rekombinowanych lub rekombinowanych o przedłużonym działaniu</w:t>
            </w:r>
            <w:r w:rsidR="0046407A" w:rsidRPr="00497A5E">
              <w:rPr>
                <w:sz w:val="20"/>
                <w:szCs w:val="20"/>
              </w:rPr>
              <w:t>.</w:t>
            </w:r>
          </w:p>
          <w:p w14:paraId="4F3B7531" w14:textId="77777777" w:rsidR="00CA7B8F" w:rsidRPr="00497A5E" w:rsidRDefault="00CA7B8F" w:rsidP="0047124A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370BAF92" w14:textId="77777777" w:rsidR="00CA7B8F" w:rsidRPr="00497A5E" w:rsidRDefault="00CA7B8F" w:rsidP="0047124A">
            <w:pPr>
              <w:pStyle w:val="TableParagraph"/>
              <w:numPr>
                <w:ilvl w:val="1"/>
                <w:numId w:val="17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Pierwotna profilaktyka krwawień </w:t>
            </w:r>
            <w:proofErr w:type="spellStart"/>
            <w:r w:rsidRPr="00497A5E">
              <w:rPr>
                <w:sz w:val="20"/>
                <w:szCs w:val="20"/>
              </w:rPr>
              <w:t>nowozdiagnozowanych</w:t>
            </w:r>
            <w:proofErr w:type="spellEnd"/>
            <w:r w:rsidRPr="00497A5E">
              <w:rPr>
                <w:sz w:val="20"/>
                <w:szCs w:val="20"/>
              </w:rPr>
              <w:t xml:space="preserve"> dzieci z ciężką postacią hemofilii A i B wcześniej nie leczonych czynnikami krzepnięcia </w:t>
            </w:r>
            <w:proofErr w:type="spellStart"/>
            <w:r w:rsidRPr="00497A5E">
              <w:rPr>
                <w:sz w:val="20"/>
                <w:szCs w:val="20"/>
              </w:rPr>
              <w:t>osoczopochodnymi</w:t>
            </w:r>
            <w:proofErr w:type="spellEnd"/>
            <w:r w:rsidRPr="00497A5E">
              <w:rPr>
                <w:sz w:val="20"/>
                <w:szCs w:val="20"/>
              </w:rPr>
              <w:t xml:space="preserve"> (ludzkimi), u których wystąpiło nie więcej niż jedno krwawienie dostawowe, </w:t>
            </w:r>
            <w:r w:rsidRPr="00497A5E">
              <w:rPr>
                <w:sz w:val="20"/>
                <w:szCs w:val="20"/>
              </w:rPr>
              <w:lastRenderedPageBreak/>
              <w:t>rozpoczęta do 3. roku życia.</w:t>
            </w:r>
          </w:p>
          <w:p w14:paraId="565B348D" w14:textId="2E19B8B9" w:rsidR="00CA7B8F" w:rsidRPr="00497A5E" w:rsidRDefault="00CA7B8F" w:rsidP="0047124A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Substancja czynna finansowana w ramach pierwotnej profilaktyki krwawień – koncentraty rekombinowanych czynników krzepnięcia, odpowiednio, czynnika VIII lub czynnika IX, minimum drugiej generacji lub o przedłużonym działaniu</w:t>
            </w:r>
            <w:r w:rsidR="0046407A" w:rsidRPr="00497A5E">
              <w:rPr>
                <w:sz w:val="20"/>
                <w:szCs w:val="20"/>
              </w:rPr>
              <w:t>.</w:t>
            </w:r>
          </w:p>
          <w:p w14:paraId="03FBEE20" w14:textId="77777777" w:rsidR="00CA7B8F" w:rsidRPr="00497A5E" w:rsidRDefault="00CA7B8F" w:rsidP="0047124A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EB007D" w14:textId="77777777" w:rsidR="00CA7B8F" w:rsidRPr="00497A5E" w:rsidRDefault="00CA7B8F" w:rsidP="0047124A">
            <w:pPr>
              <w:pStyle w:val="Default"/>
              <w:numPr>
                <w:ilvl w:val="1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 koncentratów czynników krzepnięcia, odpowiednio,</w:t>
            </w: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 dla dzieci, u których konieczne jest założenie centralnego dostępu żylnego:</w:t>
            </w:r>
          </w:p>
          <w:p w14:paraId="3C7EA476" w14:textId="77777777" w:rsidR="00CA7B8F" w:rsidRPr="00497A5E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dla grupy określonej w ust. 1.1. – </w:t>
            </w:r>
            <w:proofErr w:type="spellStart"/>
            <w:r w:rsidRPr="00497A5E">
              <w:rPr>
                <w:sz w:val="20"/>
                <w:szCs w:val="20"/>
              </w:rPr>
              <w:t>osoczopochodnych</w:t>
            </w:r>
            <w:proofErr w:type="spellEnd"/>
            <w:r w:rsidRPr="00497A5E">
              <w:rPr>
                <w:sz w:val="20"/>
                <w:szCs w:val="20"/>
              </w:rPr>
              <w:t xml:space="preserve"> (ludzkich) oraz rekombinowanych lub rekombinowanych o przedłużonym działaniu;</w:t>
            </w:r>
          </w:p>
          <w:p w14:paraId="61780FD1" w14:textId="77777777" w:rsidR="00CA7B8F" w:rsidRPr="00497A5E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dla grupy określonej w ust. 1.2. – rekombinowanych minimum drugiej generacji lub rekombinowanych o przedłużonym działaniu.</w:t>
            </w:r>
          </w:p>
          <w:p w14:paraId="5603B3AB" w14:textId="77777777" w:rsidR="00CA7B8F" w:rsidRPr="00497A5E" w:rsidRDefault="00CA7B8F" w:rsidP="0047124A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227" w:right="96"/>
              <w:jc w:val="both"/>
              <w:rPr>
                <w:strike/>
                <w:sz w:val="20"/>
                <w:szCs w:val="20"/>
              </w:rPr>
            </w:pPr>
          </w:p>
          <w:p w14:paraId="3E072345" w14:textId="6F809227" w:rsidR="00FD5D62" w:rsidRPr="00811843" w:rsidRDefault="00CA7B8F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  <w:lang w:bidi="ar-SA"/>
              </w:rPr>
            </w:pPr>
            <w:r w:rsidRPr="00811843">
              <w:rPr>
                <w:sz w:val="20"/>
                <w:szCs w:val="20"/>
                <w:lang w:bidi="ar-SA"/>
              </w:rPr>
              <w:t>Zapewnienie emicizumabu dla dzieci od 1. dnia życia z zachowaniem ciągłości leczenia, z ciężką postacią hemofilii A, o poziomie aktywności czynników krzepnięcia VIII poniżej 1% poziomu normalnego</w:t>
            </w:r>
            <w:r w:rsidR="00FD5D62" w:rsidRPr="00811843">
              <w:rPr>
                <w:sz w:val="20"/>
                <w:szCs w:val="20"/>
                <w:lang w:bidi="ar-SA"/>
              </w:rPr>
              <w:t>:</w:t>
            </w:r>
          </w:p>
          <w:p w14:paraId="7EB4B2DF" w14:textId="11DD73F1" w:rsidR="00FD5D62" w:rsidRPr="00811843" w:rsidRDefault="00FD5D62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  <w:lang w:bidi="ar-SA"/>
              </w:rPr>
            </w:pPr>
            <w:r w:rsidRPr="00811843">
              <w:rPr>
                <w:sz w:val="20"/>
                <w:szCs w:val="20"/>
                <w:lang w:bidi="ar-SA"/>
              </w:rPr>
              <w:t>do ukończenia 2. roku życia;</w:t>
            </w:r>
          </w:p>
          <w:p w14:paraId="61420D25" w14:textId="2CFF5CCE" w:rsidR="00FD5D62" w:rsidRPr="00811843" w:rsidRDefault="00FD5D62" w:rsidP="0047124A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  <w:lang w:bidi="ar-SA"/>
              </w:rPr>
            </w:pPr>
            <w:r w:rsidRPr="00811843">
              <w:rPr>
                <w:sz w:val="20"/>
                <w:szCs w:val="20"/>
                <w:lang w:bidi="ar-SA"/>
              </w:rPr>
              <w:t>lub</w:t>
            </w:r>
          </w:p>
          <w:p w14:paraId="5F50694F" w14:textId="01E938FE" w:rsidR="00FD5D62" w:rsidRPr="00811843" w:rsidRDefault="00FD5D62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 xml:space="preserve">u których występuje trudny dostęp dożylny definiowany jako konieczność usunięcia drugiego portu bądź brak możliwości założenia portu, nawet jeśli nie występowały u nich wcześniej krwawienia dostawowe; </w:t>
            </w:r>
          </w:p>
          <w:p w14:paraId="2AE4F264" w14:textId="77777777" w:rsidR="00FD5D62" w:rsidRPr="00811843" w:rsidRDefault="00FD5D62" w:rsidP="0047124A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lub</w:t>
            </w:r>
          </w:p>
          <w:p w14:paraId="671092CA" w14:textId="3AB11739" w:rsidR="00CA7B8F" w:rsidRPr="00811843" w:rsidRDefault="00FD5D62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  <w:lang w:bidi="ar-SA"/>
              </w:rPr>
            </w:pPr>
            <w:r w:rsidRPr="00811843">
              <w:rPr>
                <w:sz w:val="20"/>
                <w:szCs w:val="20"/>
                <w:lang w:bidi="ar-SA"/>
              </w:rPr>
              <w:t xml:space="preserve">u których występują co najmniej trzy </w:t>
            </w:r>
            <w:r w:rsidR="00E734B1" w:rsidRPr="00811843">
              <w:rPr>
                <w:sz w:val="20"/>
                <w:szCs w:val="20"/>
                <w:lang w:bidi="ar-SA"/>
              </w:rPr>
              <w:t xml:space="preserve">udokumentowane </w:t>
            </w:r>
            <w:r w:rsidRPr="00811843">
              <w:rPr>
                <w:sz w:val="20"/>
                <w:szCs w:val="20"/>
                <w:lang w:bidi="ar-SA"/>
              </w:rPr>
              <w:t xml:space="preserve">krwawienia rocznie wymagających leczenia czynnikiem VIII, </w:t>
            </w:r>
            <w:r w:rsidRPr="00811843">
              <w:rPr>
                <w:sz w:val="20"/>
                <w:szCs w:val="20"/>
                <w:lang w:bidi="ar-SA"/>
              </w:rPr>
              <w:lastRenderedPageBreak/>
              <w:t>pomimo prawidłowo stosowanej profilaktyki czynnikiem VIII.</w:t>
            </w:r>
          </w:p>
          <w:p w14:paraId="01DC5043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FFDDFF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wtórnej profilaktyki krwawień</w:t>
            </w:r>
          </w:p>
          <w:p w14:paraId="21F480AB" w14:textId="77777777" w:rsidR="00CA7B8F" w:rsidRPr="00811843" w:rsidRDefault="00CA7B8F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Wtórna</w:t>
            </w:r>
            <w:r w:rsidRPr="00811843">
              <w:rPr>
                <w:spacing w:val="-9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profilaktyka</w:t>
            </w:r>
            <w:r w:rsidRPr="00811843">
              <w:rPr>
                <w:spacing w:val="-10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krwawień</w:t>
            </w:r>
            <w:r w:rsidRPr="00811843">
              <w:rPr>
                <w:spacing w:val="-10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jest</w:t>
            </w:r>
            <w:r w:rsidRPr="00811843">
              <w:rPr>
                <w:spacing w:val="-10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 xml:space="preserve">prowadzona u dzieci od 1. dnia życia do ukończenia 18. </w:t>
            </w:r>
            <w:r w:rsidRPr="00811843">
              <w:rPr>
                <w:spacing w:val="-4"/>
                <w:sz w:val="20"/>
                <w:szCs w:val="20"/>
              </w:rPr>
              <w:t xml:space="preserve">roku </w:t>
            </w:r>
            <w:r w:rsidRPr="00811843">
              <w:rPr>
                <w:sz w:val="20"/>
                <w:szCs w:val="20"/>
              </w:rPr>
              <w:t>życia, chorych na hemofilię A lub B, po wystąpieniu więcej niż jednego krwawienia do</w:t>
            </w:r>
            <w:r w:rsidRPr="00811843">
              <w:rPr>
                <w:spacing w:val="-4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stawów.</w:t>
            </w:r>
          </w:p>
          <w:p w14:paraId="3BF8E26F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 czynna finansowana w ramach wtórnej profilaktyki krwawień – koncentraty czynników krzepnięcia</w:t>
            </w:r>
            <w:r w:rsidRPr="008118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IX:</w:t>
            </w:r>
          </w:p>
          <w:p w14:paraId="56138CA5" w14:textId="77777777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 xml:space="preserve">dla grupy określonej w ust. 1.1. – </w:t>
            </w:r>
            <w:proofErr w:type="spellStart"/>
            <w:r w:rsidRPr="00811843">
              <w:rPr>
                <w:sz w:val="20"/>
                <w:szCs w:val="20"/>
              </w:rPr>
              <w:t>osoczopochodnych</w:t>
            </w:r>
            <w:proofErr w:type="spellEnd"/>
            <w:r w:rsidRPr="00811843">
              <w:rPr>
                <w:sz w:val="20"/>
                <w:szCs w:val="20"/>
              </w:rPr>
              <w:t xml:space="preserve"> (ludzkich) oraz rekombinowanych lub rekombinowanych o przedłużonym działaniu;</w:t>
            </w:r>
          </w:p>
          <w:p w14:paraId="47078B5B" w14:textId="77777777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dla grupy określonej w ust. 1.2. – rekombinowanych minimum drugiej generacji lub rekombinowanych o przedłużonym działaniu.</w:t>
            </w:r>
          </w:p>
          <w:p w14:paraId="0779EDBD" w14:textId="77777777" w:rsidR="00CA7B8F" w:rsidRPr="00811843" w:rsidRDefault="00CA7B8F" w:rsidP="0047124A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6BA230AB" w14:textId="77777777" w:rsidR="00CA7B8F" w:rsidRPr="00811843" w:rsidRDefault="00CA7B8F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Zapewnienie koncentratów czynników krzepnięcia, odpowiednio, czynnika VIII lub czynnika IX dla dzieci, u których konieczne jest założenie centralnego dostępu</w:t>
            </w:r>
            <w:r w:rsidRPr="00811843">
              <w:rPr>
                <w:spacing w:val="-4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żylnego:</w:t>
            </w:r>
          </w:p>
          <w:p w14:paraId="4831F520" w14:textId="77777777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ab/>
              <w:t xml:space="preserve">dla grupy określonej w ust. 1.1. – </w:t>
            </w:r>
            <w:proofErr w:type="spellStart"/>
            <w:r w:rsidRPr="00811843">
              <w:rPr>
                <w:sz w:val="20"/>
                <w:szCs w:val="20"/>
              </w:rPr>
              <w:t>osoczopochodnych</w:t>
            </w:r>
            <w:proofErr w:type="spellEnd"/>
            <w:r w:rsidRPr="00811843">
              <w:rPr>
                <w:sz w:val="20"/>
                <w:szCs w:val="20"/>
              </w:rPr>
              <w:t xml:space="preserve"> (ludzkich) oraz rekombinowanych lub rekombinowanych o przedłużonym działaniu;</w:t>
            </w:r>
          </w:p>
          <w:p w14:paraId="3F95A0C5" w14:textId="77777777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dla grupy określonej w ust. 1.2. – rekombinowanych minimum drugiej generacji lub rekombinowanych o przedłużonym działaniu</w:t>
            </w:r>
            <w:r w:rsidRPr="00811843">
              <w:rPr>
                <w:spacing w:val="-6"/>
                <w:sz w:val="20"/>
                <w:szCs w:val="20"/>
              </w:rPr>
              <w:t>.</w:t>
            </w:r>
          </w:p>
          <w:p w14:paraId="6A457EBB" w14:textId="77777777" w:rsidR="00CA7B8F" w:rsidRPr="00811843" w:rsidRDefault="00CA7B8F" w:rsidP="0047124A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0" w:right="96"/>
              <w:jc w:val="both"/>
              <w:rPr>
                <w:sz w:val="20"/>
                <w:szCs w:val="20"/>
              </w:rPr>
            </w:pPr>
          </w:p>
          <w:p w14:paraId="071BAB9F" w14:textId="1B199F4F" w:rsidR="00CA7B8F" w:rsidRPr="00811843" w:rsidRDefault="00CA7B8F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 xml:space="preserve">Zapewnienie emicizumabu dla dzieci od 1 dnia życia z ciężką postacią hemofilii A, o poziomie aktywności czynników </w:t>
            </w:r>
            <w:r w:rsidRPr="00811843">
              <w:rPr>
                <w:sz w:val="20"/>
                <w:szCs w:val="20"/>
              </w:rPr>
              <w:lastRenderedPageBreak/>
              <w:t>krzepnięcia VIII poniżej 1% poziomu normalnego:</w:t>
            </w:r>
          </w:p>
          <w:p w14:paraId="1EB0E37C" w14:textId="77777777" w:rsidR="00FD5D62" w:rsidRPr="00811843" w:rsidRDefault="00FD5D62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  <w:lang w:bidi="ar-SA"/>
              </w:rPr>
            </w:pPr>
            <w:r w:rsidRPr="00811843">
              <w:rPr>
                <w:sz w:val="20"/>
                <w:szCs w:val="20"/>
                <w:lang w:bidi="ar-SA"/>
              </w:rPr>
              <w:t>do ukończenia 2. roku życia;</w:t>
            </w:r>
          </w:p>
          <w:p w14:paraId="60BA0454" w14:textId="33E73ED7" w:rsidR="00FD5D62" w:rsidRPr="00811843" w:rsidRDefault="00FD5D62" w:rsidP="0047124A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lub</w:t>
            </w:r>
          </w:p>
          <w:p w14:paraId="4B93A484" w14:textId="0E133D57" w:rsidR="00CA7B8F" w:rsidRPr="00811843" w:rsidRDefault="00FD5D62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 xml:space="preserve">u których </w:t>
            </w:r>
            <w:r w:rsidR="00CA7B8F" w:rsidRPr="00811843">
              <w:rPr>
                <w:sz w:val="20"/>
                <w:szCs w:val="20"/>
              </w:rPr>
              <w:t xml:space="preserve">występuje trudny dostęp dożylny definiowany jako konieczność usunięcia drugiego portu bądź brak możliwości założenia portu, nawet jeśli nie występowały u nich wcześniej krwawienia dostawowe; </w:t>
            </w:r>
          </w:p>
          <w:p w14:paraId="7A1B26CE" w14:textId="77777777" w:rsidR="00CA7B8F" w:rsidRPr="00811843" w:rsidRDefault="00CA7B8F" w:rsidP="0047124A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lub</w:t>
            </w:r>
          </w:p>
          <w:p w14:paraId="7EAC9848" w14:textId="07F2B289" w:rsidR="00CA7B8F" w:rsidRPr="00811843" w:rsidRDefault="00FD5D62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 xml:space="preserve">u których </w:t>
            </w:r>
            <w:r w:rsidR="00CA7B8F" w:rsidRPr="00811843">
              <w:rPr>
                <w:sz w:val="20"/>
                <w:szCs w:val="20"/>
              </w:rPr>
              <w:t xml:space="preserve">występują co najmniej trzy </w:t>
            </w:r>
            <w:r w:rsidR="00E734B1" w:rsidRPr="00811843">
              <w:rPr>
                <w:sz w:val="20"/>
                <w:szCs w:val="20"/>
              </w:rPr>
              <w:t xml:space="preserve">udokumentowane </w:t>
            </w:r>
            <w:r w:rsidR="00CA7B8F" w:rsidRPr="00811843">
              <w:rPr>
                <w:sz w:val="20"/>
                <w:szCs w:val="20"/>
              </w:rPr>
              <w:t xml:space="preserve">krwawienia rocznie </w:t>
            </w:r>
            <w:r w:rsidR="002C3C30" w:rsidRPr="00811843">
              <w:rPr>
                <w:sz w:val="20"/>
                <w:szCs w:val="20"/>
              </w:rPr>
              <w:t xml:space="preserve">wymagających leczenia czynnikiem VIII, </w:t>
            </w:r>
            <w:r w:rsidR="00CA7B8F" w:rsidRPr="00811843">
              <w:rPr>
                <w:sz w:val="20"/>
                <w:szCs w:val="20"/>
              </w:rPr>
              <w:t>pomimo prawidłowo stosowanej profilaktyki czynnikiem VIII.</w:t>
            </w:r>
          </w:p>
          <w:p w14:paraId="3E5AEE47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173F7D4" w14:textId="3044183A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 programem wywoływania tolerancji immunologicznej wszystkich pacjentów z hemofilią powikłaną nowopowstałym krążącym antykoagulantem (inhibitorem) (powyżej 5 B.U. oraz o mianie niższym lub równym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B.U. w przypadku przetrwania powyżej 6 miesięcy od momentu wykrycia)</w:t>
            </w:r>
            <w:r w:rsidR="00D542AA"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  <w:p w14:paraId="18F75849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 realizacji wywoływania tolerancji immunologicznej odbywa się poprzez realizację stosownych umów z podmiotami odpowiedzialnymi. Wymóg zawarcia przedmiotowych umów jest zapisywany w specyfikacji przetargowej.</w:t>
            </w:r>
          </w:p>
          <w:p w14:paraId="64029AF2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2FF191E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 włączenia do przedmiotowego modułu nowopowstałego inhibitora u dzieci do 18. roku życia:</w:t>
            </w:r>
          </w:p>
          <w:p w14:paraId="1F73809F" w14:textId="7777777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pacjenci z hemofilią powikłaną nowopowstałym krążącym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antykoagulantem (inhibitorem) (powyżej 5 B.U. oraz o mianie niższym lub równym 5 B.U. w przypadku przetrwania inhibitora powyżej 6 miesięcy) zakwalifikowani na podstawie decyzji Zespołu Koordynującego ds. kwalifikacji i weryfikacji leczenia w programie zapobiegania krwawieniom u dzieci z hemofilią A i B;</w:t>
            </w:r>
          </w:p>
          <w:p w14:paraId="2D1A1CBE" w14:textId="7777777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 która miała miejsce po dniu 15 stycznia 2010 r.</w:t>
            </w:r>
          </w:p>
          <w:p w14:paraId="5DCD7BB7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F0FFB64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wyłączenia</w:t>
            </w:r>
          </w:p>
          <w:p w14:paraId="132BF1FD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inhibitora (krążącego antykoagulantu o mianie powyżej 5 B.U. oraz o mianie niższym lub równym 5 B.U. w przypadku przetrwania inhibitora powyżej 6 miesięcy).</w:t>
            </w:r>
          </w:p>
          <w:p w14:paraId="17EF3567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EE076A0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zakończenia udziału w programie lub module programu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 powodu których udział pacjenta – uprzednio zakwalifikowanego – w przedmiotowym programie musi zostać zakończony):</w:t>
            </w:r>
          </w:p>
          <w:p w14:paraId="1433B989" w14:textId="7777777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stwierdzenie obecności nowo powstałego inhibitora (powyżej 5 B.U.) lub utrzymywanie się inhibitora w mianie niższym lub równym 5 B.U. przez ponad 6 miesięcy; </w:t>
            </w:r>
          </w:p>
          <w:p w14:paraId="1F617558" w14:textId="7777777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ukończenie:</w:t>
            </w:r>
          </w:p>
          <w:p w14:paraId="78DF69C3" w14:textId="4101600F" w:rsidR="00CA7B8F" w:rsidRPr="00811843" w:rsidRDefault="00CA7B8F" w:rsidP="0047124A">
            <w:pPr>
              <w:pStyle w:val="Default"/>
              <w:numPr>
                <w:ilvl w:val="4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roku życia dla pacjentów określonych w pkt 1.4</w:t>
            </w:r>
            <w:r w:rsidR="00FD5D62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D5D62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ppkt</w:t>
            </w:r>
            <w:proofErr w:type="spellEnd"/>
            <w:r w:rsidR="00FD5D62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 oraz w pkt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D5D62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2.3 </w:t>
            </w:r>
            <w:proofErr w:type="spellStart"/>
            <w:r w:rsidR="00FD5D62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ppkt</w:t>
            </w:r>
            <w:proofErr w:type="spellEnd"/>
            <w:r w:rsidR="00FD5D62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2DE951E8" w14:textId="77777777" w:rsidR="00CA7B8F" w:rsidRPr="00811843" w:rsidRDefault="00CA7B8F" w:rsidP="0047124A">
            <w:pPr>
              <w:pStyle w:val="Default"/>
              <w:numPr>
                <w:ilvl w:val="4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 roku życia dla pozostałych pacjentów.</w:t>
            </w:r>
          </w:p>
          <w:p w14:paraId="6AF7F2B1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5266018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Określenie czasu leczenia w programie </w:t>
            </w:r>
          </w:p>
          <w:p w14:paraId="6C4152DB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Leczenie trwa do momentu ukończenia 18. roku życia lub do momentu podjęcia przez lekarza prowadzącego decyzji o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wyłączeniu świadczeniobiorcy z programu, zgodnie z kryteriami wyłączenia.</w:t>
            </w:r>
          </w:p>
          <w:p w14:paraId="4F7EA2F7" w14:textId="77777777" w:rsidR="00CA7B8F" w:rsidRDefault="00FD5D62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braku </w:t>
            </w:r>
            <w:r w:rsidR="004235A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leczeni</w:t>
            </w:r>
            <w:r w:rsidR="004235A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E3648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emicizumabem,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wystąpienia działań niepożądanych lub przeciwskazań do stosowania</w:t>
            </w:r>
            <w:r w:rsidR="00E3648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3648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emicizumabu</w:t>
            </w:r>
            <w:proofErr w:type="spellEnd"/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Zespół Koordynacyjny</w:t>
            </w:r>
            <w:r w:rsidR="0029671E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</w:t>
            </w:r>
            <w:r w:rsidR="0018702B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ejmuje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decyzję o zmianie leku w ramach programu lekowego.</w:t>
            </w:r>
          </w:p>
          <w:p w14:paraId="2114891B" w14:textId="5EEEA85B" w:rsidR="0047124A" w:rsidRPr="00497A5E" w:rsidRDefault="0047124A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9DE" w14:textId="77777777" w:rsidR="00CA7B8F" w:rsidRPr="00497A5E" w:rsidRDefault="00CA7B8F" w:rsidP="00CA7B8F">
            <w:pPr>
              <w:pStyle w:val="Default"/>
              <w:numPr>
                <w:ilvl w:val="0"/>
                <w:numId w:val="18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 profilaktyka krwawień</w:t>
            </w:r>
          </w:p>
          <w:p w14:paraId="490790F2" w14:textId="77777777" w:rsidR="00CA7B8F" w:rsidRPr="00497A5E" w:rsidRDefault="00CA7B8F" w:rsidP="0047124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 xml:space="preserve">czynnik VIII </w:t>
            </w:r>
            <w:proofErr w:type="spellStart"/>
            <w:r w:rsidRPr="00497A5E">
              <w:rPr>
                <w:rFonts w:ascii="Times New Roman" w:hAnsi="Times New Roman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/>
                <w:sz w:val="20"/>
                <w:szCs w:val="20"/>
              </w:rPr>
              <w:t>, czynnik VIII rekombinowany, czynnik VIII rekombinowany o przedłużonym działaniu:</w:t>
            </w:r>
          </w:p>
          <w:p w14:paraId="42506FB4" w14:textId="77777777" w:rsidR="00CA7B8F" w:rsidRPr="00497A5E" w:rsidRDefault="00CA7B8F" w:rsidP="0047124A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dzieci do ukończenia 2. roku życia – 100-700 j.m./kg m. c. na 28 dni (4 tygodnie);</w:t>
            </w:r>
          </w:p>
          <w:p w14:paraId="22DA136D" w14:textId="77777777" w:rsidR="00CA7B8F" w:rsidRPr="00497A5E" w:rsidRDefault="00CA7B8F" w:rsidP="0047124A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dzieci powyżej 2. roku życia – 140-700 j.m./kg m. c. na 28 dni (4 tygodnie).</w:t>
            </w:r>
          </w:p>
          <w:p w14:paraId="2327F791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IX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4F514DA4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100-400 j. m./kg m. c. na 28 dni (4 tygodnie).</w:t>
            </w:r>
          </w:p>
          <w:p w14:paraId="7D1C6FDB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IX rekombinowany, czynnik IX rekombinowany o przedłużonym działaniu:</w:t>
            </w:r>
          </w:p>
          <w:p w14:paraId="46FC183F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120-480 j.m./kg m. c. na 28 dni (4 tygodnie).</w:t>
            </w:r>
          </w:p>
          <w:p w14:paraId="503B141C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57F4D3E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zalecana dawka nasycająca (tydzień 1 – 4): </w:t>
            </w:r>
          </w:p>
          <w:p w14:paraId="7FC2F98B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 kg m. c. raz na tydzień;</w:t>
            </w:r>
          </w:p>
          <w:p w14:paraId="75EC4846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zalecana dawka podtrzymująca (od 5.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tygodnia):</w:t>
            </w:r>
          </w:p>
          <w:p w14:paraId="049D8C29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1,5 mg/kg m. c. raz na tydzień lub</w:t>
            </w:r>
          </w:p>
          <w:p w14:paraId="2B16B592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mg/kg m. c. raz na 2 tygodnie lub</w:t>
            </w:r>
          </w:p>
          <w:p w14:paraId="2140701E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mg/kg m. c. raz na 4 tygodnie.</w:t>
            </w:r>
          </w:p>
          <w:p w14:paraId="4019ECB7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 leczenia dawkami podtrzymującymi należy wybrać na podstawie preferencji lekarza prowadzącego i pacjenta/opiekuna, z myślą o jak najlepszym przestrzeganiu schematu leczenia.</w:t>
            </w:r>
          </w:p>
          <w:p w14:paraId="3D9AFCB3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DD3F28" w14:textId="77777777" w:rsidR="00CA7B8F" w:rsidRPr="00497A5E" w:rsidRDefault="00CA7B8F" w:rsidP="0047124A">
            <w:pPr>
              <w:pStyle w:val="Default"/>
              <w:numPr>
                <w:ilvl w:val="0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 profilaktyka krwawień</w:t>
            </w:r>
          </w:p>
          <w:p w14:paraId="2BCCE375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VIII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6E3ED824" w14:textId="77777777" w:rsidR="00CA7B8F" w:rsidRPr="00497A5E" w:rsidRDefault="00CA7B8F" w:rsidP="0047124A">
            <w:pPr>
              <w:pStyle w:val="Default"/>
              <w:numPr>
                <w:ilvl w:val="4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2. roku życia, 200-700 j.m. /kg m. c. na 28 dni (4 tygodnie);</w:t>
            </w:r>
          </w:p>
          <w:p w14:paraId="7BF6D8B5" w14:textId="77777777" w:rsidR="00CA7B8F" w:rsidRPr="00497A5E" w:rsidRDefault="00CA7B8F" w:rsidP="0047124A">
            <w:pPr>
              <w:pStyle w:val="Default"/>
              <w:numPr>
                <w:ilvl w:val="4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2. roku życia; 225-700 j.m. /kg m. c. na 28 dni (4 tygodnie).</w:t>
            </w:r>
          </w:p>
          <w:p w14:paraId="47E48CDE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VIII rekombinowany, czynnik VIII rekombinowany o przedłużonym działaniu:</w:t>
            </w:r>
          </w:p>
          <w:p w14:paraId="25FCF6E5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140-700 j.m./kg m. c. na 28 dni (4 tygodnie).</w:t>
            </w:r>
          </w:p>
          <w:p w14:paraId="74986549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IX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czynnik IX rekombinowany, czynnik IX rekombinowany o przedłużonym działaniu: </w:t>
            </w:r>
          </w:p>
          <w:p w14:paraId="1572A745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120-400 j.m./kg m. c., na 28 dni (4 tygodnie).</w:t>
            </w:r>
          </w:p>
          <w:p w14:paraId="6A87BE62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749F97E8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zalecana dawka nasycająca (tydzień 1 – 4): </w:t>
            </w:r>
          </w:p>
          <w:p w14:paraId="2993851C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 kg m. c. raz na tydzień;</w:t>
            </w:r>
          </w:p>
          <w:p w14:paraId="1B665752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zalecana dawka podtrzymująca (od 5. tygodnia):</w:t>
            </w:r>
          </w:p>
          <w:p w14:paraId="40309797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1,5 mg/kg m. c. raz na tydzień lub</w:t>
            </w:r>
          </w:p>
          <w:p w14:paraId="23345B8A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mg/kg m. c. raz na 2 tygodnie lub</w:t>
            </w:r>
          </w:p>
          <w:p w14:paraId="2AA89540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mg/kg m. c. raz na 4 tygodnie.</w:t>
            </w:r>
          </w:p>
          <w:p w14:paraId="2072831B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Schemat leczenia dawkami podtrzymującymi należy wybrać na podstawie preferencji lekarza prowadzącego i pacjenta/opiekuna, z myślą o jak najlepszym przestrzeganiu schematu leczenia.  </w:t>
            </w:r>
          </w:p>
          <w:p w14:paraId="641C67E4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0CA81CD" w14:textId="77777777" w:rsidR="00CA7B8F" w:rsidRPr="00497A5E" w:rsidRDefault="00CA7B8F" w:rsidP="0047124A">
            <w:pPr>
              <w:pStyle w:val="Default"/>
              <w:numPr>
                <w:ilvl w:val="0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 dzieci, u których konieczne jest założenie centralnego dostępu żylnego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zapewnienie czynnika VIII lub IX do zabiegu, według schematu:</w:t>
            </w:r>
          </w:p>
          <w:p w14:paraId="63E2657F" w14:textId="77777777" w:rsidR="00CA7B8F" w:rsidRPr="00497A5E" w:rsidRDefault="00CA7B8F" w:rsidP="0047124A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czynnika VIII:</w:t>
            </w:r>
          </w:p>
          <w:p w14:paraId="7F5C92AC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doba: 40 do 70 j.m./kg m. c., co 8 godzin;</w:t>
            </w:r>
          </w:p>
          <w:p w14:paraId="1D73D303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drugiej do piątej doby: 30 do 50 j.m./ kg m. c., co 12 godzin;</w:t>
            </w:r>
          </w:p>
          <w:p w14:paraId="7F72DDBF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 doba jednorazowo: 30 do 50 j.m./kg m. c.;</w:t>
            </w:r>
          </w:p>
          <w:p w14:paraId="74B1E969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 doba (zdjęcie szwów) jednorazowo: 30 do 50 j.m./kg m. c.</w:t>
            </w:r>
          </w:p>
          <w:p w14:paraId="68545941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6F0F30D" w14:textId="77777777" w:rsidR="00CA7B8F" w:rsidRPr="00497A5E" w:rsidRDefault="00CA7B8F" w:rsidP="0047124A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Dawkowanie czynnika IX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osoczopochodnego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A8E46E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pierwsza doba: 50 do 80 j.m./kg m. c., co 12 godzin;</w:t>
            </w:r>
          </w:p>
          <w:p w14:paraId="3E503E55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od drugiej do piątej doby: 40 do 60 j.m./ kg m. c., co 12 godzin;</w:t>
            </w:r>
          </w:p>
          <w:p w14:paraId="27740BB6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szósta doba jednorazowo: 40 do 60 j.m./kg m. c.;</w:t>
            </w:r>
          </w:p>
          <w:p w14:paraId="29F20DE0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40 do 60 j.m./kg m. c.</w:t>
            </w:r>
          </w:p>
          <w:p w14:paraId="460B0C29" w14:textId="77777777" w:rsidR="00CA7B8F" w:rsidRPr="00497A5E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0DE6D2B" w14:textId="77777777" w:rsidR="00CA7B8F" w:rsidRPr="00497A5E" w:rsidRDefault="00CA7B8F" w:rsidP="0047124A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czynnika IX rekombinowanego, czynnika IX rekombinowanego o przedłużonym działaniu:</w:t>
            </w:r>
          </w:p>
          <w:p w14:paraId="600ED027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pierwsza doba: 40 do 120 j.m./kg m. c., co 12 godzin;</w:t>
            </w:r>
          </w:p>
          <w:p w14:paraId="33545796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od drugiej do piątej doby: 30 do 80 j.m./ kg m. c., co 12 godzin;</w:t>
            </w:r>
          </w:p>
          <w:p w14:paraId="45B0F327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szósta doba jednorazowo: 30 do 80 j.m./kg m. c.;</w:t>
            </w:r>
          </w:p>
          <w:p w14:paraId="306CFAF5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30 do 80 j.m./kg m. c.</w:t>
            </w:r>
          </w:p>
          <w:p w14:paraId="5FE45009" w14:textId="77777777" w:rsidR="00CA7B8F" w:rsidRPr="00497A5E" w:rsidRDefault="00CA7B8F" w:rsidP="0047124A">
            <w:pPr>
              <w:pStyle w:val="Default"/>
              <w:spacing w:after="60" w:line="276" w:lineRule="auto"/>
              <w:ind w:left="9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F4A9A" w14:textId="77777777" w:rsidR="00CA7B8F" w:rsidRPr="00497A5E" w:rsidRDefault="00CA7B8F" w:rsidP="0047124A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rekombinowanego czynnika krzepnięcia IX połączonego z rekombinowaną albuminą w leczeniu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okołozabiegowym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53DCDEA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7F1146EC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przez pierwszy tydzień co 24-72 godz. w dawce 50-100 j/kg mc.;</w:t>
            </w:r>
          </w:p>
          <w:p w14:paraId="54DABF6C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trzecia dawka w dniu zdjęcia szwów, 50 - 80 j.m./ kg mc. (10 -14 doba).</w:t>
            </w:r>
          </w:p>
          <w:p w14:paraId="66EE7D74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4FC892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 leczenia w dotychczasowej dawce, może zostać ustalone indywidualnie przez Zespół Koordynujący ds. kwalifikacji i weryfikacji leczenia w programie zapobiegania krwawieniom u dzieci z hemofilią A i B.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656E" w14:textId="77777777" w:rsidR="00CA7B8F" w:rsidRPr="00497A5E" w:rsidRDefault="00CA7B8F" w:rsidP="00CA7B8F">
            <w:pPr>
              <w:pStyle w:val="Default"/>
              <w:numPr>
                <w:ilvl w:val="0"/>
                <w:numId w:val="19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Kwalifikacja do leczenia</w:t>
            </w:r>
          </w:p>
          <w:p w14:paraId="1215DF04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ramach kwalifikacji świadczeniobiorcy do udziału w programie, na podstawie decyzji lekarza lokalnego lub regionalnego centrum leczenia hemofilii, wykonuje się następujące badania:</w:t>
            </w:r>
          </w:p>
          <w:p w14:paraId="6C195CD0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14:paraId="240A98E4" w14:textId="77777777" w:rsidR="00CA7B8F" w:rsidRPr="00497A5E" w:rsidRDefault="00CA7B8F" w:rsidP="0047124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45982A16" w14:textId="77777777" w:rsidR="00CA7B8F" w:rsidRPr="00497A5E" w:rsidRDefault="00CA7B8F" w:rsidP="0047124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(PT),</w:t>
            </w:r>
          </w:p>
          <w:p w14:paraId="79935DDD" w14:textId="77777777" w:rsidR="00CA7B8F" w:rsidRPr="00497A5E" w:rsidRDefault="00CA7B8F" w:rsidP="0047124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(TT);</w:t>
            </w:r>
          </w:p>
          <w:p w14:paraId="2584D941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14:paraId="748F50BA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aktywności czynników krzepnięcia I, VIII i IX, von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XI, XII;</w:t>
            </w:r>
          </w:p>
          <w:p w14:paraId="3918DFAA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antygen czynnika von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A494C69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miana inhibitora czynnika VIII i IX u dzieci uprzednio leczonych (test Bethesda w modyfikacji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39050ED8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wykonanie badań wirusologicznych (w tym HCV PCR, HBV PCR u chorych z obecnymi przeciwciałami anty HCV, HBV PCR u chorych z dodatnim antygenem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12173EE0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14:paraId="20D3D904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związku z realizacją modułów programu, inne niż wymienione w pkt 1-7 badania, są wykonywane na podstawie indywidualnych decyzji Zespołu Koordynującego ds. kwalifikacji i weryfikacji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 w programie zapobiegania krwawieniom u dzieci z hemofilią A i B. Regionalne centra leczenia hemofilii są zobligowane do zapewnienia do nich dostępu.</w:t>
            </w:r>
          </w:p>
          <w:p w14:paraId="7A39266C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83F15F" w14:textId="77777777" w:rsidR="00CA7B8F" w:rsidRPr="00497A5E" w:rsidRDefault="00CA7B8F" w:rsidP="0047124A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Monitorowanie leczenia </w:t>
            </w:r>
          </w:p>
          <w:p w14:paraId="49CFB855" w14:textId="77777777" w:rsidR="00CA7B8F" w:rsidRPr="00497A5E" w:rsidRDefault="00CA7B8F" w:rsidP="0047124A">
            <w:pPr>
              <w:pStyle w:val="Default"/>
              <w:numPr>
                <w:ilvl w:val="1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skuteczności leczenia</w:t>
            </w:r>
          </w:p>
          <w:p w14:paraId="40DF613B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14:paraId="54A1F1CB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14:paraId="63C5DF05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14:paraId="3909C0B2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14:paraId="46324C7F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2AD8A31" w14:textId="77777777" w:rsidR="00CA7B8F" w:rsidRPr="00497A5E" w:rsidRDefault="00CA7B8F" w:rsidP="0047124A">
            <w:pPr>
              <w:pStyle w:val="Akapitzlist"/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W ramach monitorowania leczenia obowiązkowe jest prowadzenie rejestru krwawień dla danego pacjenta oraz rejestracja danych wymaganych w programie do prowadzenia rejestru dla każdego pacjenta.</w:t>
            </w:r>
          </w:p>
          <w:p w14:paraId="269B3C6A" w14:textId="77777777" w:rsidR="00CA7B8F" w:rsidRPr="00497A5E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14:paraId="2C697458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alaninowa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14:paraId="64A11288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aminotransferaza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14:paraId="1250DEF3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przeciwciał anty-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385C733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antygenu HBs (w przypadku braku miana zabezpieczającego przeciwciał anty-HBS), u dodatnich przeciwciała anty-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anty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DNA HBV;</w:t>
            </w:r>
          </w:p>
          <w:p w14:paraId="7E37CED5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14:paraId="3E06C361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14:paraId="24823FC6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dojścia żylnego, nie rzadziej niż raz w roku;</w:t>
            </w:r>
          </w:p>
          <w:p w14:paraId="33D5591C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moczu.</w:t>
            </w:r>
          </w:p>
          <w:p w14:paraId="1AC85A45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3BCD67" w14:textId="77777777" w:rsidR="00CA7B8F" w:rsidRPr="00497A5E" w:rsidRDefault="00CA7B8F" w:rsidP="0047124A">
            <w:pPr>
              <w:pStyle w:val="Akapitzlist"/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Na podstawie decyzji lekarza lokalnego lub regionalnego centrum leczenia hemofilii możliwe jest, w ramach monitorowania leczenia, wykonanie następujących badań:</w:t>
            </w:r>
          </w:p>
          <w:p w14:paraId="7843B511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58864669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VIII i IX (w hemofilii A – czynnika VIII, w hemofilii B – czynnika IX); w zależności od sytuacji klinicznej powyższe badanie należy wykonać w razie braku skuteczności czynnika w dotychczasowej dawce oraz w innych uzasadnionych sytuacjach (np. przed zabiegami i procedurami inwazyjnymi lub po zmianie produktu leczniczego koncentratu czynnika krzepnięcia na inny)</w:t>
            </w:r>
          </w:p>
          <w:p w14:paraId="32480017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przypadku leczenia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moroktokogiem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alfa do oceny aktywności czynnika krzepnięcia VIII należy stosować metodę z użyciem substratu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chromogennego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3832F2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przypadku leczenia emicizumabem do oceny aktywności czynnika krzepnięcia VIII należy stosować metodę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chromogenną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A07376A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E5E4FB" w14:textId="77777777" w:rsidR="00CA7B8F" w:rsidRPr="00497A5E" w:rsidRDefault="00CA7B8F" w:rsidP="0047124A">
            <w:pPr>
              <w:pStyle w:val="Default"/>
              <w:numPr>
                <w:ilvl w:val="1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 inhibitora (nie dotyczy pacjentów otrzymujących profilaktykę z zastosowaniem emicizumabu)</w:t>
            </w:r>
          </w:p>
          <w:p w14:paraId="6B8E343E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 150 przetoczeń - co 3 miesiące lub po każdych 10 przetoczeniach; </w:t>
            </w:r>
          </w:p>
          <w:p w14:paraId="49771E2B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powyżej 150 przetoczeń - co 6 do 12 miesięcy; </w:t>
            </w:r>
          </w:p>
          <w:p w14:paraId="79CD3AE6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 zmiany produktu leczniczego koncentratu czynnika krzepnięcia na inny;</w:t>
            </w:r>
          </w:p>
          <w:p w14:paraId="51597D3E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stwierdzenia braku skuteczności czynnika w dotychczasowej dawce.</w:t>
            </w:r>
          </w:p>
          <w:p w14:paraId="71269EBE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powinny być wykonywane zgodnie z powyższym opisem. </w:t>
            </w:r>
          </w:p>
          <w:p w14:paraId="71A4DC73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14:paraId="5CAA2AAD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7341547" w14:textId="77777777" w:rsidR="00CA7B8F" w:rsidRPr="00497A5E" w:rsidRDefault="00CA7B8F" w:rsidP="0047124A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 programu</w:t>
            </w:r>
          </w:p>
          <w:p w14:paraId="742103E1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19ECCB2" w14:textId="77777777" w:rsidR="00CA7B8F" w:rsidRPr="00497A5E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uzupełnienie przez lekarza prowadzącego lub Zespół Koordynujący danych zawartych w elektronicznym systemie monitorowania programów lekowych dostępnym za pomocą aplikacji internetowej udostępnionej przez OW NFZ, nie rzadziej niż co 3 miesiące oraz na zakończenie leczenia;</w:t>
            </w:r>
          </w:p>
          <w:p w14:paraId="341F892E" w14:textId="77777777" w:rsidR="00CA7B8F" w:rsidRPr="00DB2DE8" w:rsidRDefault="00CA7B8F" w:rsidP="0047124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51BD2210" w14:textId="259319B5" w:rsidR="00843187" w:rsidRDefault="00843187">
      <w:pPr>
        <w:pStyle w:val="pismamz"/>
        <w:tabs>
          <w:tab w:val="left" w:pos="7371"/>
        </w:tabs>
        <w:spacing w:after="120"/>
        <w:contextualSpacing w:val="0"/>
        <w:rPr>
          <w:rFonts w:ascii="Lato" w:hAnsi="Lato" w:cs="Arial"/>
        </w:rPr>
      </w:pPr>
    </w:p>
    <w:sectPr w:rsidR="00843187" w:rsidSect="00D542AA">
      <w:footerReference w:type="even" r:id="rId8"/>
      <w:footerReference w:type="firs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1A38E" w14:textId="77777777" w:rsidR="00E7546F" w:rsidRDefault="00E7546F">
      <w:pPr>
        <w:spacing w:after="0" w:line="240" w:lineRule="auto"/>
      </w:pPr>
      <w:r>
        <w:separator/>
      </w:r>
    </w:p>
  </w:endnote>
  <w:endnote w:type="continuationSeparator" w:id="0">
    <w:p w14:paraId="12EE2252" w14:textId="77777777" w:rsidR="00E7546F" w:rsidRDefault="00E7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23919" w14:textId="77777777" w:rsidR="00843187" w:rsidRDefault="002C3C3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F55FD4" w14:textId="77777777" w:rsidR="00843187" w:rsidRDefault="00843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ACB85" w14:textId="77777777" w:rsidR="00843187" w:rsidRDefault="002C3C30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9D0207" wp14:editId="2D638928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4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from="0,-9.5pt" to="396.85pt,-9.5pt" w14:anchorId="24D5DB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"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466EACD8" w14:textId="77777777" w:rsidR="00843187" w:rsidRDefault="002C3C30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EE9BA4E" w14:textId="5AEF0421" w:rsidR="00843187" w:rsidRDefault="0047124A">
    <w:pPr>
      <w:pStyle w:val="Stopka"/>
      <w:tabs>
        <w:tab w:val="clear" w:pos="4536"/>
        <w:tab w:val="left" w:pos="5954"/>
      </w:tabs>
      <w:spacing w:line="200" w:lineRule="exact"/>
      <w:rPr>
        <w:rStyle w:val="Hipercze"/>
        <w:rFonts w:ascii="Lato" w:hAnsi="Lato" w:cs="Arial"/>
        <w:sz w:val="14"/>
        <w:szCs w:val="14"/>
        <w:lang w:eastAsia="pl-PL"/>
      </w:rPr>
    </w:pPr>
    <w:hyperlink r:id="rId2" w:history="1">
      <w:r w:rsidR="002C3C30">
        <w:rPr>
          <w:rStyle w:val="Hipercze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1E7E3D6F" w14:textId="534B30D4" w:rsidR="00843187" w:rsidRDefault="002C3C30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81869" w14:textId="77777777" w:rsidR="00E7546F" w:rsidRDefault="00E7546F">
      <w:pPr>
        <w:spacing w:after="0" w:line="240" w:lineRule="auto"/>
      </w:pPr>
      <w:r>
        <w:separator/>
      </w:r>
    </w:p>
  </w:footnote>
  <w:footnote w:type="continuationSeparator" w:id="0">
    <w:p w14:paraId="3AB806AB" w14:textId="77777777" w:rsidR="00E7546F" w:rsidRDefault="00E75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D1ABF"/>
    <w:multiLevelType w:val="hybridMultilevel"/>
    <w:tmpl w:val="9322066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3C5"/>
    <w:multiLevelType w:val="hybridMultilevel"/>
    <w:tmpl w:val="76A86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57EF4"/>
    <w:multiLevelType w:val="hybridMultilevel"/>
    <w:tmpl w:val="5540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311AA"/>
    <w:multiLevelType w:val="hybridMultilevel"/>
    <w:tmpl w:val="9940CA4E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01498"/>
    <w:multiLevelType w:val="hybridMultilevel"/>
    <w:tmpl w:val="7B98F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C561B"/>
    <w:multiLevelType w:val="hybridMultilevel"/>
    <w:tmpl w:val="0130EA14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D2A52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1E84DEC"/>
    <w:multiLevelType w:val="hybridMultilevel"/>
    <w:tmpl w:val="284A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D0CB6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DDF39C1"/>
    <w:multiLevelType w:val="hybridMultilevel"/>
    <w:tmpl w:val="BFCA2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902EC"/>
    <w:multiLevelType w:val="hybridMultilevel"/>
    <w:tmpl w:val="91C6F05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03828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BAF2142"/>
    <w:multiLevelType w:val="hybridMultilevel"/>
    <w:tmpl w:val="3494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26C05"/>
    <w:multiLevelType w:val="hybridMultilevel"/>
    <w:tmpl w:val="A76C8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12F8C"/>
    <w:multiLevelType w:val="hybridMultilevel"/>
    <w:tmpl w:val="7B888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649FB"/>
    <w:multiLevelType w:val="hybridMultilevel"/>
    <w:tmpl w:val="F1A2619C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522057">
    <w:abstractNumId w:val="10"/>
  </w:num>
  <w:num w:numId="2" w16cid:durableId="10535799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509395">
    <w:abstractNumId w:val="12"/>
  </w:num>
  <w:num w:numId="4" w16cid:durableId="1270940377">
    <w:abstractNumId w:val="2"/>
  </w:num>
  <w:num w:numId="5" w16cid:durableId="555316558">
    <w:abstractNumId w:val="0"/>
  </w:num>
  <w:num w:numId="6" w16cid:durableId="1776052596">
    <w:abstractNumId w:val="7"/>
  </w:num>
  <w:num w:numId="7" w16cid:durableId="595599180">
    <w:abstractNumId w:val="14"/>
  </w:num>
  <w:num w:numId="8" w16cid:durableId="416443374">
    <w:abstractNumId w:val="5"/>
  </w:num>
  <w:num w:numId="9" w16cid:durableId="543572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3073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08027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5067014">
    <w:abstractNumId w:val="1"/>
  </w:num>
  <w:num w:numId="13" w16cid:durableId="1862933726">
    <w:abstractNumId w:val="13"/>
  </w:num>
  <w:num w:numId="14" w16cid:durableId="1166245421">
    <w:abstractNumId w:val="9"/>
  </w:num>
  <w:num w:numId="15" w16cid:durableId="1769039615">
    <w:abstractNumId w:val="3"/>
  </w:num>
  <w:num w:numId="16" w16cid:durableId="1717317911">
    <w:abstractNumId w:val="15"/>
  </w:num>
  <w:num w:numId="17" w16cid:durableId="160439346">
    <w:abstractNumId w:val="11"/>
  </w:num>
  <w:num w:numId="18" w16cid:durableId="1911846668">
    <w:abstractNumId w:val="6"/>
  </w:num>
  <w:num w:numId="19" w16cid:durableId="1612054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187"/>
    <w:rsid w:val="00125CA4"/>
    <w:rsid w:val="00142D5C"/>
    <w:rsid w:val="00146394"/>
    <w:rsid w:val="0018702B"/>
    <w:rsid w:val="00224011"/>
    <w:rsid w:val="0029671E"/>
    <w:rsid w:val="002C3C30"/>
    <w:rsid w:val="00365D6E"/>
    <w:rsid w:val="004235AC"/>
    <w:rsid w:val="00447FA1"/>
    <w:rsid w:val="0046407A"/>
    <w:rsid w:val="0047124A"/>
    <w:rsid w:val="00497A5E"/>
    <w:rsid w:val="004A55DC"/>
    <w:rsid w:val="004C625A"/>
    <w:rsid w:val="005C079C"/>
    <w:rsid w:val="005C31EC"/>
    <w:rsid w:val="0061163E"/>
    <w:rsid w:val="0066635D"/>
    <w:rsid w:val="00681BAC"/>
    <w:rsid w:val="006969F9"/>
    <w:rsid w:val="00742AEC"/>
    <w:rsid w:val="00811843"/>
    <w:rsid w:val="00843187"/>
    <w:rsid w:val="0089258D"/>
    <w:rsid w:val="008E7469"/>
    <w:rsid w:val="008E7B90"/>
    <w:rsid w:val="008F0544"/>
    <w:rsid w:val="009B034E"/>
    <w:rsid w:val="009B1011"/>
    <w:rsid w:val="009D1214"/>
    <w:rsid w:val="00A11B57"/>
    <w:rsid w:val="00A94F3D"/>
    <w:rsid w:val="00B507C3"/>
    <w:rsid w:val="00CA7B8F"/>
    <w:rsid w:val="00D15873"/>
    <w:rsid w:val="00D24D93"/>
    <w:rsid w:val="00D542AA"/>
    <w:rsid w:val="00DB77E1"/>
    <w:rsid w:val="00DC243C"/>
    <w:rsid w:val="00DE2AB3"/>
    <w:rsid w:val="00E3648C"/>
    <w:rsid w:val="00E57C3F"/>
    <w:rsid w:val="00E734B1"/>
    <w:rsid w:val="00E7546F"/>
    <w:rsid w:val="00FB0274"/>
    <w:rsid w:val="00FD5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23866"/>
  <w15:docId w15:val="{1D6A741E-FCA1-438D-B9E5-DF5A521B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Pr>
      <w:color w:val="808080"/>
    </w:rPr>
  </w:style>
  <w:style w:type="paragraph" w:customStyle="1" w:styleId="adresat">
    <w:name w:val="adresat"/>
    <w:basedOn w:val="Normalny"/>
    <w:link w:val="adresatZnak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dresatZnak">
    <w:name w:val="adresat Znak"/>
    <w:basedOn w:val="Domylnaczcionkaakapitu"/>
    <w:link w:val="adresat"/>
  </w:style>
  <w:style w:type="character" w:customStyle="1" w:styleId="pismamzZnak">
    <w:name w:val="pisma_mz Znak"/>
    <w:link w:val="pismamz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wcity">
    <w:name w:val="Body Text Indent"/>
    <w:basedOn w:val="Normalny"/>
    <w:link w:val="TekstpodstawowywcityZnak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uiPriority w:val="99"/>
    <w:rsid w:val="00CA7B8F"/>
    <w:pPr>
      <w:widowControl w:val="0"/>
      <w:autoSpaceDE w:val="0"/>
      <w:autoSpaceDN w:val="0"/>
      <w:adjustRightInd w:val="0"/>
    </w:pPr>
    <w:rPr>
      <w:rFonts w:ascii="CKBKDC+Arial" w:eastAsia="Times New Roman" w:hAnsi="CKBKDC+Arial" w:cs="CKBKDC+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7B8F"/>
    <w:pPr>
      <w:widowControl w:val="0"/>
      <w:autoSpaceDE w:val="0"/>
      <w:autoSpaceDN w:val="0"/>
      <w:spacing w:before="120" w:after="0" w:line="240" w:lineRule="auto"/>
      <w:ind w:left="505"/>
    </w:pPr>
    <w:rPr>
      <w:rFonts w:ascii="Times New Roman" w:eastAsia="Times New Roman" w:hAnsi="Times New Roman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0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0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07A"/>
    <w:rPr>
      <w:b/>
      <w:bCs/>
      <w:lang w:eastAsia="en-US"/>
    </w:rPr>
  </w:style>
  <w:style w:type="paragraph" w:styleId="Poprawka">
    <w:name w:val="Revision"/>
    <w:hidden/>
    <w:uiPriority w:val="99"/>
    <w:semiHidden/>
    <w:rsid w:val="00FD5D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8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bonecka\Desktop\wzory\postanowie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4D346-5AA0-4676-914D-F6AC4FB3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postanowienie</Template>
  <TotalTime>6</TotalTime>
  <Pages>6</Pages>
  <Words>2090</Words>
  <Characters>12543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Links>
    <vt:vector size="6" baseType="variant">
      <vt:variant>
        <vt:i4>6881369</vt:i4>
      </vt:variant>
      <vt:variant>
        <vt:i4>-1</vt:i4>
      </vt:variant>
      <vt:variant>
        <vt:i4>2050</vt:i4>
      </vt:variant>
      <vt:variant>
        <vt:i4>1</vt:i4>
      </vt:variant>
      <vt:variant>
        <vt:lpwstr>cid:ii_147eef7b1fd9fb4c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Wilk Justyna</cp:lastModifiedBy>
  <cp:revision>2</cp:revision>
  <cp:lastPrinted>2014-09-02T13:55:00Z</cp:lastPrinted>
  <dcterms:created xsi:type="dcterms:W3CDTF">2024-09-12T07:16:00Z</dcterms:created>
  <dcterms:modified xsi:type="dcterms:W3CDTF">2024-09-12T07:16:00Z</dcterms:modified>
</cp:coreProperties>
</file>