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55DFD" w14:textId="15A5541B" w:rsidR="00E1797F" w:rsidRDefault="00E1797F" w:rsidP="00E1797F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65200D">
        <w:rPr>
          <w:rFonts w:ascii="Times New Roman" w:eastAsia="Times New Roman" w:hAnsi="Times New Roman"/>
          <w:lang w:eastAsia="pl-PL"/>
        </w:rPr>
        <w:t>Załącznik</w:t>
      </w:r>
      <w:r w:rsidR="00FA4C31">
        <w:rPr>
          <w:rFonts w:ascii="Times New Roman" w:eastAsia="Times New Roman" w:hAnsi="Times New Roman"/>
          <w:lang w:eastAsia="pl-PL"/>
        </w:rPr>
        <w:t xml:space="preserve"> </w:t>
      </w:r>
      <w:r w:rsidRPr="0065200D">
        <w:rPr>
          <w:rFonts w:ascii="Times New Roman" w:eastAsia="Times New Roman" w:hAnsi="Times New Roman"/>
          <w:lang w:eastAsia="pl-PL"/>
        </w:rPr>
        <w:t>B.119.</w:t>
      </w:r>
      <w:r w:rsidR="00FA4C31">
        <w:rPr>
          <w:rFonts w:ascii="Times New Roman" w:eastAsia="Times New Roman" w:hAnsi="Times New Roman"/>
          <w:lang w:eastAsia="pl-PL"/>
        </w:rPr>
        <w:t xml:space="preserve"> </w:t>
      </w:r>
    </w:p>
    <w:p w14:paraId="06738A6E" w14:textId="77777777" w:rsidR="00E1797F" w:rsidRPr="0065200D" w:rsidRDefault="00E1797F" w:rsidP="00E1797F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992576F" w14:textId="2DF220D3" w:rsidR="00E1797F" w:rsidRPr="0065200D" w:rsidRDefault="00E1797F" w:rsidP="00FF27FA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5200D">
        <w:rPr>
          <w:rFonts w:ascii="Times New Roman" w:hAnsi="Times New Roman"/>
          <w:b/>
          <w:sz w:val="28"/>
          <w:szCs w:val="28"/>
        </w:rPr>
        <w:t>LECZENIE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PACJENTÓW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Z</w:t>
      </w:r>
      <w:r>
        <w:rPr>
          <w:rFonts w:ascii="Times New Roman" w:hAnsi="Times New Roman"/>
          <w:b/>
          <w:sz w:val="28"/>
          <w:szCs w:val="28"/>
        </w:rPr>
        <w:t>E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ZRÓŻNICOWANYM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RAKIEM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TARCZYCY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(ICD-10</w:t>
      </w:r>
      <w:r w:rsidR="00FF27FA">
        <w:rPr>
          <w:rFonts w:ascii="Times New Roman" w:hAnsi="Times New Roman"/>
          <w:b/>
          <w:sz w:val="28"/>
          <w:szCs w:val="28"/>
        </w:rPr>
        <w:t>: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C</w:t>
      </w:r>
      <w:r w:rsidR="00FA4C31">
        <w:rPr>
          <w:rFonts w:ascii="Times New Roman" w:hAnsi="Times New Roman"/>
          <w:b/>
          <w:sz w:val="28"/>
          <w:szCs w:val="28"/>
        </w:rPr>
        <w:t xml:space="preserve"> </w:t>
      </w:r>
      <w:r w:rsidRPr="0065200D">
        <w:rPr>
          <w:rFonts w:ascii="Times New Roman" w:hAnsi="Times New Roman"/>
          <w:b/>
          <w:sz w:val="28"/>
          <w:szCs w:val="28"/>
        </w:rPr>
        <w:t>73)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E1797F" w:rsidRPr="0065200D" w14:paraId="58674510" w14:textId="77777777" w:rsidTr="00FF27FA">
        <w:trPr>
          <w:trHeight w:val="567"/>
        </w:trPr>
        <w:tc>
          <w:tcPr>
            <w:tcW w:w="15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FD04" w14:textId="7DA8B8A1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E1797F" w:rsidRPr="0065200D" w14:paraId="12F4088B" w14:textId="77777777" w:rsidTr="00FA4C31">
        <w:trPr>
          <w:trHeight w:val="56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6303" w14:textId="77777777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028A7" w14:textId="73E27AFB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8235" w14:textId="685083F0" w:rsidR="00E1797F" w:rsidRPr="0065200D" w:rsidRDefault="00E1797F" w:rsidP="00107C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FA4C3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5200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E1797F" w:rsidRPr="004F5F51" w14:paraId="51CF6AEF" w14:textId="77777777" w:rsidTr="00FA4C31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7571" w14:textId="08E0E1F7" w:rsidR="00E1797F" w:rsidRPr="001F0A66" w:rsidRDefault="00E1797F" w:rsidP="001F0A6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finansuje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zróżnicowanego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raka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tarczycy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substancjami:</w:t>
            </w:r>
          </w:p>
          <w:p w14:paraId="74BE4BAF" w14:textId="4663527E" w:rsidR="00E1797F" w:rsidRPr="001F0A66" w:rsidRDefault="00E1797F" w:rsidP="001F0A66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sorafenib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(pierwsza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leczenia);</w:t>
            </w:r>
          </w:p>
          <w:p w14:paraId="436A7E65" w14:textId="77B0B3DA" w:rsidR="00E1797F" w:rsidRPr="001F0A66" w:rsidRDefault="00E1797F" w:rsidP="001F0A66">
            <w:pPr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kabozantynib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(druga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677FD26A" w14:textId="1126D24B" w:rsidR="00E1797F" w:rsidRPr="001F0A66" w:rsidRDefault="001F0A66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kryteriami.</w:t>
            </w:r>
          </w:p>
          <w:p w14:paraId="09D8BE00" w14:textId="77777777" w:rsidR="001F0A66" w:rsidRPr="001F0A66" w:rsidRDefault="001F0A66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DB811AA" w14:textId="345120DE" w:rsidR="00E1797F" w:rsidRPr="001F0A66" w:rsidRDefault="00E1797F" w:rsidP="001F0A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(1.1.)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szczegółowe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(1.2.)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substancji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czynnych.</w:t>
            </w:r>
          </w:p>
          <w:p w14:paraId="098A627B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CF0B33F" w14:textId="2BDD30A0" w:rsidR="00E1797F" w:rsidRPr="001F0A66" w:rsidRDefault="00E1797F" w:rsidP="001F0A66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91931F4" w14:textId="60EB1219" w:rsidR="00E1797F" w:rsidRPr="001F0A66" w:rsidRDefault="00E1797F" w:rsidP="001F0A66">
            <w:pPr>
              <w:pStyle w:val="Akapitzlist"/>
              <w:numPr>
                <w:ilvl w:val="1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69E5514" w14:textId="70454A79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histologiczne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zróżnicowanego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tarczycy,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brodawkowatego,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pęcherzykowego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onkocytarnego</w:t>
            </w:r>
            <w:proofErr w:type="spellEnd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32A845" w14:textId="6B9BD8D7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96E4E42" w14:textId="1E9D6706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nowotworowe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obiektywnej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tomografii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komputerowej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F4312" w:rsidRPr="001F0A66">
              <w:rPr>
                <w:rFonts w:ascii="Times New Roman" w:hAnsi="Times New Roman" w:cs="Times New Roman"/>
                <w:sz w:val="20"/>
                <w:szCs w:val="20"/>
              </w:rPr>
              <w:t>KT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rezonansu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magnetycznego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(MR)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17BD2919" w14:textId="01D22660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wycięcie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radioterapia,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utrzymuje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bezobjawowy);</w:t>
            </w:r>
          </w:p>
          <w:p w14:paraId="4EDE65F2" w14:textId="114024B2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współwystępowania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złośliwych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leczeniem;</w:t>
            </w:r>
          </w:p>
          <w:p w14:paraId="44F9C1CA" w14:textId="26497551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adekwatna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ChPL;</w:t>
            </w:r>
          </w:p>
          <w:p w14:paraId="3C8C4A29" w14:textId="35A51AA8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6D05D052" w14:textId="6C583B78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niewystępowanie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stanów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włączenie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terapii.</w:t>
            </w:r>
          </w:p>
          <w:p w14:paraId="1315DA4B" w14:textId="3BD43652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643681" w14:textId="69EDCC07" w:rsidR="00E1797F" w:rsidRPr="001F0A66" w:rsidRDefault="00E1797F" w:rsidP="001F0A66">
            <w:pPr>
              <w:pStyle w:val="Akapitzlist"/>
              <w:numPr>
                <w:ilvl w:val="1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Szczegółowe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478BC2BD" w14:textId="2C34944A" w:rsidR="00E1797F" w:rsidRPr="001F0A66" w:rsidRDefault="00E1797F" w:rsidP="001F0A66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sorafenibem</w:t>
            </w:r>
            <w:proofErr w:type="spellEnd"/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7BA9843" w14:textId="0910915D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zaawansowanym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(miejscowy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nawrót,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odległe),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promieniotwórczy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(udokumentowana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nieskuteczność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radioaktywnym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rozumiana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wychwytującej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wychwytu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wyczerpanie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łącznej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kumulatywnej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wynoszącej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mCi</w:t>
            </w:r>
            <w:proofErr w:type="spellEnd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niekwalifikujący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2C7026BF" w14:textId="2E6B2221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stopniach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CF4312" w:rsidRPr="001F0A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658B3025" w14:textId="58E4D931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</w:t>
            </w:r>
            <w:r w:rsid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włączeniem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27C2F594" w14:textId="77777777" w:rsidR="00E1797F" w:rsidRPr="001F0A66" w:rsidRDefault="00E1797F" w:rsidP="001F0A66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7D53E516" w14:textId="4CD679B6" w:rsidR="00E1797F" w:rsidRPr="001F0A66" w:rsidRDefault="00E1797F" w:rsidP="001F0A66">
            <w:pPr>
              <w:pStyle w:val="Akapitzlist"/>
              <w:numPr>
                <w:ilvl w:val="2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kabozantynibem</w:t>
            </w:r>
          </w:p>
          <w:p w14:paraId="16887149" w14:textId="39A35EB1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zaawansowanym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(miejscowy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nawrót,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odległe),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kwalifikuje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opornością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promieniotwórczy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(udokumentowana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nieskuteczność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radioaktywnym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rozumiana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wychwytującej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wychwytu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wyczerpanie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łącznej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kumulatywnej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jodu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wynoszącej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mCi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niekwalifikujący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uprzedniego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zakończeniu;</w:t>
            </w:r>
          </w:p>
          <w:p w14:paraId="0B6EAD67" w14:textId="3D8DA2EB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udokumentowane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niepowodzenie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kinaz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tyrozynowych;</w:t>
            </w:r>
          </w:p>
          <w:p w14:paraId="2FFEFE84" w14:textId="3272EF59" w:rsidR="00E1797F" w:rsidRPr="001F0A66" w:rsidRDefault="00E1797F" w:rsidP="001F0A66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ogólnej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stopniach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ECOG.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76ED56" w14:textId="77777777" w:rsidR="00E1797F" w:rsidRPr="001F0A66" w:rsidRDefault="00E1797F" w:rsidP="001F0A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7BDED9" w14:textId="531301BA" w:rsidR="00E1797F" w:rsidRPr="00BA4579" w:rsidRDefault="00E1797F" w:rsidP="00BA457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4C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sorafenibem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4C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kabozantynibem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(ogólne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szczegółowe)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4821062B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F68992" w14:textId="2BC8AA1C" w:rsidR="00E1797F" w:rsidRPr="001F0A66" w:rsidRDefault="00E1797F" w:rsidP="001F0A66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E0879BC" w14:textId="03E2D8E7" w:rsidR="00E1797F" w:rsidRPr="00BA4579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trwa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czasu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podjęcia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decyzji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wyłączeniu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świadczeniobiorcy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programu,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kryteriami</w:t>
            </w:r>
            <w:r w:rsidR="00FA4C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wyłączenia.</w:t>
            </w:r>
          </w:p>
          <w:p w14:paraId="3632F704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C3B2680" w14:textId="2F563FD5" w:rsidR="00E1797F" w:rsidRPr="001F0A66" w:rsidRDefault="00E1797F" w:rsidP="001F0A66">
            <w:pPr>
              <w:pStyle w:val="Akapitzlist"/>
              <w:numPr>
                <w:ilvl w:val="0"/>
                <w:numId w:val="13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</w:p>
          <w:p w14:paraId="6440D25E" w14:textId="57A0610C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udokumentowana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progresja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trakcie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stosowania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leku;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5D34022" w14:textId="5017DEBC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oligoprogresji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oligoprogresja</w:t>
            </w:r>
            <w:proofErr w:type="spellEnd"/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definiowana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sytuacja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kliniczna,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ograniczonej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nowotworu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≤5,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włączając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progresje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OUN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prowadzącego)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kontynuowania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skutecznego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miejscowego,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pacjent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odnosi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korzyści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utrzymuje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stabilizacja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pozostałych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chorobowych;</w:t>
            </w:r>
          </w:p>
          <w:p w14:paraId="345025FA" w14:textId="22CDF440" w:rsidR="00E1797F" w:rsidRPr="001F0A66" w:rsidRDefault="00E1797F" w:rsidP="00BA4579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wystąpienie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nadwrażliwości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lek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substancję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pomocniczą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uniemożliwiające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kontynuację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01CDC88F" w14:textId="7490B4AF" w:rsidR="00E1797F" w:rsidRPr="001F0A66" w:rsidRDefault="00E1797F" w:rsidP="00BA4579">
            <w:pPr>
              <w:pStyle w:val="Akapitzlist"/>
              <w:numPr>
                <w:ilvl w:val="3"/>
                <w:numId w:val="13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nawracająca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nieakceptowalna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toksyczność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stopnia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skali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WHO;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E93B62B" w14:textId="3F81DA12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pogorszenie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sprawności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stopnie,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kwalifikacji,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wartości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wg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ECOG;</w:t>
            </w:r>
          </w:p>
          <w:p w14:paraId="13C06D83" w14:textId="545AAA3A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stanów,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opinii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prowadzącego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uniemożliwiają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dalsze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5835F58F" w14:textId="585992E3" w:rsidR="00E1797F" w:rsidRPr="001F0A66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piersią;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6C2AD5" w14:textId="13E64493" w:rsidR="00E1797F" w:rsidRDefault="00E1797F" w:rsidP="00BA4579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współpracy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nieprzestrzeganie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zaleceń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lekarskich,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zwłaszcza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okresowych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kontrolnych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oceniających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skuteczność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bezpieczeństwo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strony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świadczeniobiorcy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jego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prawnych</w:t>
            </w:r>
            <w:r w:rsidR="00FA4C3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opiekunów.</w:t>
            </w:r>
          </w:p>
          <w:p w14:paraId="291A46EB" w14:textId="77777777" w:rsidR="00BA4579" w:rsidRPr="001F0A66" w:rsidRDefault="00BA4579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6249" w14:textId="77777777" w:rsidR="00E1797F" w:rsidRPr="001F0A66" w:rsidRDefault="00E1797F" w:rsidP="00BA4579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7F0A7E35" w14:textId="34623286" w:rsidR="00E1797F" w:rsidRPr="00BA4579" w:rsidRDefault="00E1797F" w:rsidP="00BA4579">
            <w:pPr>
              <w:spacing w:after="60" w:line="276" w:lineRule="auto"/>
              <w:ind w:right="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Sposób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Charakterystykami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(ChPL)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przyjętą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praktyką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kliniczną.</w:t>
            </w:r>
          </w:p>
          <w:p w14:paraId="5098A27A" w14:textId="5BD81965" w:rsidR="00E1797F" w:rsidRPr="00BA4579" w:rsidRDefault="00E1797F" w:rsidP="00BA4579">
            <w:pPr>
              <w:spacing w:after="60" w:line="276" w:lineRule="auto"/>
              <w:ind w:righ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zmniejszenie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wymienionych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dawek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ChPL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poszczególnych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leków.</w:t>
            </w:r>
          </w:p>
          <w:p w14:paraId="0A9DF977" w14:textId="77777777" w:rsidR="00E1797F" w:rsidRPr="001F0A66" w:rsidRDefault="00E1797F" w:rsidP="001F0A6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9780738" w14:textId="5480EFBF" w:rsidR="00E1797F" w:rsidRPr="001F0A66" w:rsidRDefault="00E1797F" w:rsidP="00BA4579">
            <w:pPr>
              <w:pStyle w:val="Akapitzlist"/>
              <w:widowControl w:val="0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0A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Sorafenib</w:t>
            </w:r>
          </w:p>
          <w:p w14:paraId="3CB9EA00" w14:textId="7D1C54B3" w:rsidR="00E1797F" w:rsidRPr="00BA4579" w:rsidRDefault="00E1797F" w:rsidP="00BA457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45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Sorafenib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dobowej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800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przerw.</w:t>
            </w:r>
          </w:p>
          <w:p w14:paraId="4352E91A" w14:textId="77777777" w:rsidR="00E1797F" w:rsidRPr="001F0A66" w:rsidRDefault="00E1797F" w:rsidP="001F0A66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C561E3" w14:textId="2C895E18" w:rsidR="00E1797F" w:rsidRPr="001F0A66" w:rsidRDefault="00E1797F" w:rsidP="00BA4579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ind w:right="2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sz w:val="20"/>
                <w:szCs w:val="20"/>
              </w:rPr>
              <w:t>Kabozantynib</w:t>
            </w:r>
          </w:p>
          <w:p w14:paraId="55491A54" w14:textId="412DCA1D" w:rsidR="00E1797F" w:rsidRPr="00BA4579" w:rsidRDefault="00E1797F" w:rsidP="00BA457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457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Kabozantynib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dobowej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FA4C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A45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przerw.</w:t>
            </w:r>
          </w:p>
          <w:p w14:paraId="7083F2B0" w14:textId="77777777" w:rsidR="00E1797F" w:rsidRPr="001F0A66" w:rsidRDefault="00E1797F" w:rsidP="001F0A66">
            <w:pPr>
              <w:pStyle w:val="Akapitzlist"/>
              <w:spacing w:after="60" w:line="276" w:lineRule="auto"/>
              <w:ind w:left="227" w:right="2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2328A" w14:textId="068D9A40" w:rsidR="00E1797F" w:rsidRPr="001F0A66" w:rsidRDefault="00E1797F" w:rsidP="00BA4579">
            <w:pPr>
              <w:pStyle w:val="Akapitzlist"/>
              <w:numPr>
                <w:ilvl w:val="0"/>
                <w:numId w:val="15"/>
              </w:numPr>
              <w:suppressAutoHyphens/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sorafenibem</w:t>
            </w:r>
            <w:proofErr w:type="spellEnd"/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FA4C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kabozantynibem</w:t>
            </w:r>
          </w:p>
          <w:p w14:paraId="1C59A17D" w14:textId="44E0FAF9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histologiczne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zróżnicowanego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tarczycy,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brodawkowatego,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pęcherzykowego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onkocytarnego</w:t>
            </w:r>
            <w:proofErr w:type="spellEnd"/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5950B95" w14:textId="5E49CC16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31EA1E6F" w14:textId="6C66A58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hemoglobiny;</w:t>
            </w:r>
          </w:p>
          <w:p w14:paraId="7D9E50DA" w14:textId="69AB8112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3D90B4CE" w14:textId="3FBED754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surowicy,</w:t>
            </w:r>
          </w:p>
          <w:p w14:paraId="7375152E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6DBA7773" w14:textId="4E75BACC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aktywności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transaminaz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(AspAT,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AlAT)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fosfatazy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alkalicznej;</w:t>
            </w:r>
          </w:p>
          <w:p w14:paraId="25856CCB" w14:textId="6785878A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31" w:rsidRPr="001F0A6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31" w:rsidRPr="001F0A6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kabozantynibu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AB5E86" w14:textId="5DE54A9A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test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ciążowy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kobiet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wieku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rozrodczym;</w:t>
            </w:r>
          </w:p>
          <w:p w14:paraId="6B55E5B0" w14:textId="068FFB5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scyntygrafia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kości;</w:t>
            </w:r>
          </w:p>
          <w:p w14:paraId="595974D1" w14:textId="71A1E9D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MR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50449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F4312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miednicy;</w:t>
            </w:r>
          </w:p>
          <w:p w14:paraId="57E354B5" w14:textId="1C5327BA" w:rsidR="00E1797F" w:rsidRPr="001F0A66" w:rsidRDefault="00CF4312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RTG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KT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klatki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piersiowej;</w:t>
            </w:r>
          </w:p>
          <w:p w14:paraId="47359B57" w14:textId="3A3F522F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elektrokardiogram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(EKG);</w:t>
            </w:r>
          </w:p>
          <w:p w14:paraId="6E952E8C" w14:textId="69FFC733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pomiar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ciśnienia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tętniczego;</w:t>
            </w:r>
          </w:p>
          <w:p w14:paraId="6C2797CF" w14:textId="3DC077F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45F7D038" w14:textId="77777777" w:rsidR="00E1797F" w:rsidRPr="001F0A66" w:rsidRDefault="00E1797F" w:rsidP="001F0A66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FBBD19" w14:textId="0AF3E634" w:rsidR="00E1797F" w:rsidRPr="001F0A66" w:rsidRDefault="00E1797F" w:rsidP="00BA4579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sorafenibem</w:t>
            </w:r>
            <w:proofErr w:type="spellEnd"/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kabozantynibem</w:t>
            </w:r>
          </w:p>
          <w:p w14:paraId="2A92503C" w14:textId="563623E0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morfologia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rozmazem;</w:t>
            </w:r>
          </w:p>
          <w:p w14:paraId="4A1CD3B4" w14:textId="668EDAC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krwi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stężenia:</w:t>
            </w:r>
          </w:p>
          <w:p w14:paraId="4EF28C49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bilirubiny,</w:t>
            </w:r>
          </w:p>
          <w:p w14:paraId="49FCBBF0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7FC2C3D8" w14:textId="0DA2CE4A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transaminaz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(AspAT,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AlAT),</w:t>
            </w:r>
          </w:p>
          <w:p w14:paraId="6DE0379E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wapnia,</w:t>
            </w:r>
          </w:p>
          <w:p w14:paraId="4DC295DE" w14:textId="77777777" w:rsidR="00E1797F" w:rsidRPr="001F0A66" w:rsidRDefault="00E1797F" w:rsidP="00BA4579">
            <w:pPr>
              <w:pStyle w:val="Akapitzlist"/>
              <w:numPr>
                <w:ilvl w:val="4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TSH;</w:t>
            </w:r>
          </w:p>
          <w:p w14:paraId="3CFC4E06" w14:textId="037F90E4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31" w:rsidRPr="001F0A6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C31" w:rsidRPr="001F0A6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kabozantynibu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4A16FE" w14:textId="7BA14FA8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fosfatazy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alkalicznej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kabozantynibu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60EDCE" w14:textId="77777777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EKG;</w:t>
            </w:r>
          </w:p>
          <w:p w14:paraId="488FE861" w14:textId="7D8EC6ED" w:rsidR="00E1797F" w:rsidRPr="001F0A66" w:rsidRDefault="00CF4312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50449" w:rsidRPr="001F0A66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0449" w:rsidRPr="001F0A66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obszaru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797F" w:rsidRPr="001F0A66">
              <w:rPr>
                <w:rFonts w:ascii="Times New Roman" w:hAnsi="Times New Roman" w:cs="Times New Roman"/>
                <w:sz w:val="20"/>
                <w:szCs w:val="20"/>
              </w:rPr>
              <w:t>ciała;</w:t>
            </w:r>
          </w:p>
          <w:p w14:paraId="53D2A455" w14:textId="7B9202FC" w:rsidR="00E1797F" w:rsidRPr="001F0A66" w:rsidRDefault="00E1797F" w:rsidP="00BA4579">
            <w:pPr>
              <w:pStyle w:val="Akapitzlist"/>
              <w:numPr>
                <w:ilvl w:val="3"/>
                <w:numId w:val="15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hAnsi="Times New Roman" w:cs="Times New Roman"/>
                <w:sz w:val="20"/>
                <w:szCs w:val="20"/>
              </w:rPr>
              <w:t>klinicznych.</w:t>
            </w:r>
          </w:p>
          <w:p w14:paraId="52F73B93" w14:textId="77777777" w:rsidR="00E1797F" w:rsidRPr="001F0A66" w:rsidRDefault="00E1797F" w:rsidP="001F0A6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5696A" w14:textId="2340B50F" w:rsidR="00E1797F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FA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64E104C9" w14:textId="3C10936A" w:rsidR="00BA4579" w:rsidRPr="00BA4579" w:rsidRDefault="00BA4579" w:rsidP="00BA4579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57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sorafenibem</w:t>
            </w:r>
            <w:proofErr w:type="spellEnd"/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79A00BE" w14:textId="76741C68" w:rsidR="00E1797F" w:rsidRPr="00BA4579" w:rsidRDefault="00E1797F" w:rsidP="00BA4579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pierwsze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dwa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terapii-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tygodnie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A1B4EF7" w14:textId="371A9E5F" w:rsidR="00E1797F" w:rsidRPr="001F0A66" w:rsidRDefault="00E1797F" w:rsidP="00BA4579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miesiąca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miesiąc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4B140AF" w14:textId="6B1C6CE8" w:rsidR="00E1797F" w:rsidRPr="001F0A66" w:rsidRDefault="00E1797F" w:rsidP="00BA4579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miesiąca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6F0B4314" w14:textId="42B52838" w:rsidR="00E1797F" w:rsidRDefault="00E1797F" w:rsidP="00BA4579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miesiącu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miesiące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3071612" w14:textId="7025ED49" w:rsidR="00BA4579" w:rsidRPr="001F0A66" w:rsidRDefault="00BA4579" w:rsidP="00BA4579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kabozantynibem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86E20F0" w14:textId="2602BDE3" w:rsidR="00E1797F" w:rsidRPr="001F0A66" w:rsidRDefault="00E1797F" w:rsidP="00BA4579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laboratoryjne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tygodnie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FA75D26" w14:textId="77777777" w:rsidR="00BA4579" w:rsidRPr="00BA4579" w:rsidRDefault="00BA4579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3F26078" w14:textId="0447B0C5" w:rsidR="00E1797F" w:rsidRPr="00BA4579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(monitorowanie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71C0EC2E" w14:textId="4AC88FB1" w:rsidR="00BA4579" w:rsidRDefault="00BA4579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457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sorafenibem</w:t>
            </w:r>
            <w:proofErr w:type="spellEnd"/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46BA7CC" w14:textId="2AC1F6F3" w:rsidR="00E1797F" w:rsidRPr="001F0A66" w:rsidRDefault="00E1797F" w:rsidP="00BA4579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pierwsze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tyg.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miesięcy,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ile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występują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dodatkowe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wskazania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6154834" w14:textId="4C08B46D" w:rsidR="00BA4579" w:rsidRDefault="00BA4579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kabozantynibem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71110C88" w14:textId="386DA595" w:rsidR="00E1797F" w:rsidRPr="001F0A66" w:rsidRDefault="00E1797F" w:rsidP="00BA4579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rzadziej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tygodni,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prowadzenia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dłużej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lata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mogą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być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wykonywane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BA4579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61AABED" w14:textId="55413AD7" w:rsidR="00E1797F" w:rsidRPr="001F0A66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należy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wykonać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podjęcia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decyzji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wyłączeniu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powodu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F0A66">
              <w:rPr>
                <w:rFonts w:ascii="Times New Roman" w:eastAsia="Calibri" w:hAnsi="Times New Roman" w:cs="Times New Roman"/>
                <w:sz w:val="20"/>
                <w:szCs w:val="20"/>
              </w:rPr>
              <w:t>choroby.</w:t>
            </w:r>
          </w:p>
          <w:p w14:paraId="384279F1" w14:textId="77777777" w:rsidR="00E1797F" w:rsidRPr="00BA4579" w:rsidRDefault="00E1797F" w:rsidP="00BA457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4CDA08" w14:textId="09BFC559" w:rsidR="00E1797F" w:rsidRPr="00BA4579" w:rsidRDefault="00E1797F" w:rsidP="00BA457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FA4C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45549AF" w14:textId="300BD655" w:rsidR="00E1797F" w:rsidRPr="00BA4579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gromadzenie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pacjenta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przedstawianie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Zdrowia;</w:t>
            </w:r>
          </w:p>
          <w:p w14:paraId="16F8A42E" w14:textId="06E21A4F" w:rsidR="00E1797F" w:rsidRPr="00BA4579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uzupełnianie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elektronicznym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systemie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lekowych,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tym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parametrów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(całkowita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(CR)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częściowa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odpowiedz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(PR),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stabilizacja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(SD)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progresja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(PD)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czas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(PFS)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całkowite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przeżycie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(OS)),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NFZ,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leczenia;</w:t>
            </w:r>
          </w:p>
          <w:p w14:paraId="5BBF37E0" w14:textId="1ECAF7D5" w:rsidR="00E1797F" w:rsidRPr="001F0A66" w:rsidRDefault="00E1797F" w:rsidP="00BA4579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przekazywanie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sprawozdawczo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-rozliczeniowych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NFZ: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informacje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przekazuje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elektronicznej,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Narodowy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Fundusz</w:t>
            </w:r>
            <w:r w:rsidR="00FA4C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4579">
              <w:rPr>
                <w:rFonts w:ascii="Times New Roman" w:eastAsia="Calibri" w:hAnsi="Times New Roman" w:cs="Times New Roman"/>
                <w:sz w:val="20"/>
                <w:szCs w:val="20"/>
              </w:rPr>
              <w:t>Zdrowia.</w:t>
            </w:r>
          </w:p>
        </w:tc>
      </w:tr>
    </w:tbl>
    <w:p w14:paraId="0E117708" w14:textId="77777777" w:rsidR="00CF4312" w:rsidRPr="00F30E39" w:rsidRDefault="00CF4312">
      <w:pPr>
        <w:rPr>
          <w:rFonts w:ascii="Lato" w:hAnsi="Lato"/>
        </w:rPr>
      </w:pPr>
    </w:p>
    <w:sectPr w:rsidR="00CF4312" w:rsidRPr="00F30E39" w:rsidSect="00FF27FA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53B8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4DE2E5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6B67220"/>
    <w:multiLevelType w:val="multilevel"/>
    <w:tmpl w:val="BDCCB1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250A2D5B"/>
    <w:multiLevelType w:val="multilevel"/>
    <w:tmpl w:val="2252FC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2BA511E3"/>
    <w:multiLevelType w:val="hybridMultilevel"/>
    <w:tmpl w:val="28EC3050"/>
    <w:lvl w:ilvl="0" w:tplc="E85255B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60E47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1580870"/>
    <w:multiLevelType w:val="hybridMultilevel"/>
    <w:tmpl w:val="5D2CD1A8"/>
    <w:lvl w:ilvl="0" w:tplc="B516A732">
      <w:start w:val="1"/>
      <w:numFmt w:val="decimal"/>
      <w:lvlText w:val="%1)"/>
      <w:lvlJc w:val="left"/>
      <w:pPr>
        <w:ind w:left="-70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" w:hanging="360"/>
      </w:pPr>
    </w:lvl>
    <w:lvl w:ilvl="2" w:tplc="0415001B">
      <w:start w:val="1"/>
      <w:numFmt w:val="lowerRoman"/>
      <w:lvlText w:val="%3."/>
      <w:lvlJc w:val="right"/>
      <w:pPr>
        <w:ind w:left="732" w:hanging="180"/>
      </w:pPr>
    </w:lvl>
    <w:lvl w:ilvl="3" w:tplc="0415000F">
      <w:start w:val="1"/>
      <w:numFmt w:val="decimal"/>
      <w:lvlText w:val="%4."/>
      <w:lvlJc w:val="left"/>
      <w:pPr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7" w15:restartNumberingAfterBreak="0">
    <w:nsid w:val="467671BA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8646A38"/>
    <w:multiLevelType w:val="multilevel"/>
    <w:tmpl w:val="9A5894D0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B33227B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52607F0F"/>
    <w:multiLevelType w:val="hybridMultilevel"/>
    <w:tmpl w:val="DDD017A0"/>
    <w:lvl w:ilvl="0" w:tplc="07C0B9E4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 w15:restartNumberingAfterBreak="0">
    <w:nsid w:val="541C7047"/>
    <w:multiLevelType w:val="multilevel"/>
    <w:tmpl w:val="A37E85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E720431"/>
    <w:multiLevelType w:val="multilevel"/>
    <w:tmpl w:val="BDCCB1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63712BEE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683F1767"/>
    <w:multiLevelType w:val="multilevel"/>
    <w:tmpl w:val="E83E56A2"/>
    <w:lvl w:ilvl="0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theme="minorBidi" w:hint="default"/>
      </w:rPr>
    </w:lvl>
  </w:abstractNum>
  <w:abstractNum w:abstractNumId="15" w15:restartNumberingAfterBreak="0">
    <w:nsid w:val="6AA517AD"/>
    <w:multiLevelType w:val="multilevel"/>
    <w:tmpl w:val="FCA04C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decimal"/>
      <w:lvlText w:val="%4)"/>
      <w:lvlJc w:val="left"/>
      <w:pPr>
        <w:ind w:left="700" w:hanging="360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6E4172F9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60D2A53"/>
    <w:multiLevelType w:val="multilevel"/>
    <w:tmpl w:val="0642735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4907218">
    <w:abstractNumId w:val="7"/>
  </w:num>
  <w:num w:numId="2" w16cid:durableId="630936203">
    <w:abstractNumId w:val="11"/>
  </w:num>
  <w:num w:numId="3" w16cid:durableId="1142040693">
    <w:abstractNumId w:val="17"/>
  </w:num>
  <w:num w:numId="4" w16cid:durableId="59407267">
    <w:abstractNumId w:val="15"/>
  </w:num>
  <w:num w:numId="5" w16cid:durableId="1498768499">
    <w:abstractNumId w:val="10"/>
  </w:num>
  <w:num w:numId="6" w16cid:durableId="1592005242">
    <w:abstractNumId w:val="8"/>
  </w:num>
  <w:num w:numId="7" w16cid:durableId="195894354">
    <w:abstractNumId w:val="5"/>
  </w:num>
  <w:num w:numId="8" w16cid:durableId="10426293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2898252">
    <w:abstractNumId w:val="6"/>
  </w:num>
  <w:num w:numId="10" w16cid:durableId="2062633551">
    <w:abstractNumId w:val="4"/>
  </w:num>
  <w:num w:numId="11" w16cid:durableId="1491210484">
    <w:abstractNumId w:val="1"/>
  </w:num>
  <w:num w:numId="12" w16cid:durableId="1944610571">
    <w:abstractNumId w:val="14"/>
  </w:num>
  <w:num w:numId="13" w16cid:durableId="138572882">
    <w:abstractNumId w:val="9"/>
  </w:num>
  <w:num w:numId="14" w16cid:durableId="2124421621">
    <w:abstractNumId w:val="16"/>
  </w:num>
  <w:num w:numId="15" w16cid:durableId="33043940">
    <w:abstractNumId w:val="2"/>
  </w:num>
  <w:num w:numId="16" w16cid:durableId="1654875025">
    <w:abstractNumId w:val="0"/>
  </w:num>
  <w:num w:numId="17" w16cid:durableId="843318910">
    <w:abstractNumId w:val="3"/>
  </w:num>
  <w:num w:numId="18" w16cid:durableId="1983993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97F"/>
    <w:rsid w:val="001F0A66"/>
    <w:rsid w:val="002418F4"/>
    <w:rsid w:val="004A2DD1"/>
    <w:rsid w:val="004D291F"/>
    <w:rsid w:val="00634048"/>
    <w:rsid w:val="007510F2"/>
    <w:rsid w:val="00826C22"/>
    <w:rsid w:val="009A574B"/>
    <w:rsid w:val="00A50449"/>
    <w:rsid w:val="00AA5E03"/>
    <w:rsid w:val="00BA4579"/>
    <w:rsid w:val="00CF4312"/>
    <w:rsid w:val="00D03C48"/>
    <w:rsid w:val="00D810EB"/>
    <w:rsid w:val="00DA66A0"/>
    <w:rsid w:val="00E12BA1"/>
    <w:rsid w:val="00E1797F"/>
    <w:rsid w:val="00F30E39"/>
    <w:rsid w:val="00F942F3"/>
    <w:rsid w:val="00FA4C31"/>
    <w:rsid w:val="00FD5F4E"/>
    <w:rsid w:val="00F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1485"/>
  <w15:chartTrackingRefBased/>
  <w15:docId w15:val="{212AF1B2-2B2C-46F4-B5CA-7B0AA4EB5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797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List Paragraph"/>
    <w:basedOn w:val="Normalny"/>
    <w:link w:val="AkapitzlistZnak"/>
    <w:uiPriority w:val="34"/>
    <w:qFormat/>
    <w:rsid w:val="00E1797F"/>
    <w:pPr>
      <w:ind w:left="720"/>
      <w:contextualSpacing/>
    </w:pPr>
  </w:style>
  <w:style w:type="character" w:customStyle="1" w:styleId="AkapitzlistZnak">
    <w:name w:val="Akapit z listą Znak"/>
    <w:aliases w:val="Styl moj Znak,Akapit z listą11 Znak,List Paragraph Znak"/>
    <w:basedOn w:val="Domylnaczcionkaakapitu"/>
    <w:link w:val="Akapitzlist"/>
    <w:uiPriority w:val="34"/>
    <w:locked/>
    <w:rsid w:val="00E1797F"/>
    <w:rPr>
      <w:kern w:val="0"/>
      <w14:ligatures w14:val="none"/>
    </w:rPr>
  </w:style>
  <w:style w:type="paragraph" w:styleId="Poprawka">
    <w:name w:val="Revision"/>
    <w:hidden/>
    <w:uiPriority w:val="99"/>
    <w:semiHidden/>
    <w:rsid w:val="00A50449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8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8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8F4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8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8F4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0E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2" ma:contentTypeDescription="Utwórz nowy dokument." ma:contentTypeScope="" ma:versionID="3d21d10d64ce3ff2ce69ca90c18147fe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5f96bedecc9fd025dcac1589a1b2f2e1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Props1.xml><?xml version="1.0" encoding="utf-8"?>
<ds:datastoreItem xmlns:ds="http://schemas.openxmlformats.org/officeDocument/2006/customXml" ds:itemID="{EE51D61D-227D-47B8-A9AA-1F198A1CD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3FF884-20C9-48E0-BC6C-B8FF98C41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A34C6-4F75-4699-B580-409AEC1FD7FF}">
  <ds:schemaRefs>
    <ds:schemaRef ds:uri="http://www.w3.org/XML/1998/namespace"/>
    <ds:schemaRef ds:uri="http://schemas.microsoft.com/office/2006/documentManagement/types"/>
    <ds:schemaRef ds:uri="http://purl.org/dc/elements/1.1/"/>
    <ds:schemaRef ds:uri="b31052c5-12a0-4c27-bedc-7393c5701b41"/>
    <ds:schemaRef ds:uri="http://purl.org/dc/terms/"/>
    <ds:schemaRef ds:uri="http://schemas.microsoft.com/office/infopath/2007/PartnerControls"/>
    <ds:schemaRef ds:uri="http://schemas.microsoft.com/office/2006/metadata/properties"/>
    <ds:schemaRef ds:uri="ef972c8d-2ab0-46d9-84b7-3e9511fb8ac1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Klimkowska Katarzyna</cp:lastModifiedBy>
  <cp:revision>2</cp:revision>
  <dcterms:created xsi:type="dcterms:W3CDTF">2023-11-28T15:11:00Z</dcterms:created>
  <dcterms:modified xsi:type="dcterms:W3CDTF">2023-11-28T15:11:00Z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</Properties>
</file>