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D3" w:rsidRDefault="00B95C0F" w:rsidP="006C2BD3">
      <w:pPr>
        <w:jc w:val="right"/>
      </w:pPr>
      <w:r>
        <w:t xml:space="preserve">Warszawa,  </w:t>
      </w:r>
      <w:bookmarkStart w:id="0" w:name="ezdDataPodpisu"/>
      <w:r>
        <w:t>18 stycznia 2020</w:t>
      </w:r>
      <w:bookmarkEnd w:id="0"/>
      <w:r>
        <w:t xml:space="preserve"> r.</w:t>
      </w:r>
    </w:p>
    <w:p w:rsidR="006C2BD3" w:rsidRDefault="00B95C0F" w:rsidP="006C2BD3">
      <w:pPr>
        <w:pStyle w:val="menfont"/>
      </w:pPr>
      <w:bookmarkStart w:id="1" w:name="ezdSprawaZnak"/>
      <w:r>
        <w:t>DPPI-WPPiP.053.2.2020</w:t>
      </w:r>
      <w:bookmarkEnd w:id="1"/>
      <w:r>
        <w:t>.</w:t>
      </w:r>
      <w:bookmarkStart w:id="2" w:name="ezdAutorInicjaly"/>
      <w:r>
        <w:t>MS</w:t>
      </w:r>
      <w:bookmarkEnd w:id="2"/>
    </w:p>
    <w:p w:rsidR="006C2BD3" w:rsidRDefault="004630A5" w:rsidP="006C2BD3">
      <w:pPr>
        <w:pStyle w:val="menfont"/>
      </w:pPr>
    </w:p>
    <w:p w:rsidR="006C2BD3" w:rsidRDefault="004630A5" w:rsidP="006C2BD3">
      <w:pPr>
        <w:pStyle w:val="menfont"/>
      </w:pPr>
    </w:p>
    <w:p w:rsidR="00160BA4" w:rsidRDefault="00B95C0F" w:rsidP="00160BA4">
      <w:pPr>
        <w:pStyle w:val="menfont"/>
      </w:pPr>
      <w:r>
        <w:t xml:space="preserve">Sz. P. </w:t>
      </w:r>
    </w:p>
    <w:p w:rsidR="003970AA" w:rsidRDefault="004630A5" w:rsidP="00160BA4">
      <w:pPr>
        <w:pStyle w:val="menfont"/>
      </w:pPr>
    </w:p>
    <w:p w:rsidR="00445435" w:rsidRDefault="00445435" w:rsidP="00160BA4">
      <w:pPr>
        <w:pStyle w:val="menfont"/>
      </w:pPr>
      <w:bookmarkStart w:id="3" w:name="_GoBack"/>
      <w:bookmarkEnd w:id="3"/>
    </w:p>
    <w:p w:rsidR="006C2BD3" w:rsidRDefault="004630A5" w:rsidP="006C2BD3">
      <w:pPr>
        <w:pStyle w:val="menfont"/>
      </w:pPr>
    </w:p>
    <w:p w:rsidR="003970AA" w:rsidRDefault="004630A5" w:rsidP="006C2BD3">
      <w:pPr>
        <w:pStyle w:val="menfont"/>
      </w:pPr>
    </w:p>
    <w:p w:rsidR="006C2BD3" w:rsidRDefault="00B95C0F" w:rsidP="006C2BD3">
      <w:pPr>
        <w:pStyle w:val="menfont"/>
      </w:pPr>
      <w:r>
        <w:t xml:space="preserve">Szanowny Panie, </w:t>
      </w:r>
    </w:p>
    <w:p w:rsidR="003970AA" w:rsidRDefault="004630A5" w:rsidP="006C2BD3">
      <w:pPr>
        <w:pStyle w:val="menfont"/>
      </w:pPr>
    </w:p>
    <w:p w:rsidR="003970AA" w:rsidRDefault="00B95C0F" w:rsidP="003970AA">
      <w:pPr>
        <w:pStyle w:val="menfont"/>
        <w:spacing w:line="276" w:lineRule="auto"/>
        <w:jc w:val="both"/>
      </w:pPr>
      <w:r>
        <w:t xml:space="preserve">w odpowiedzi na petycję z 13 stycznia 2020 r. w sprawie edukacji prawnej obywateli – w zakresie pozostającym w gestii Ministerstwa Edukacji Narodowej – informuję, że polski system oświaty zapewnia uczniom szkół podstawowych </w:t>
      </w:r>
      <w:r>
        <w:br/>
        <w:t xml:space="preserve">i ponadpodstawowych edukację w zakresie znajomości podstaw prawa. Kształcenie w tym obszarze odbywa się przede wszystkim  w ramach zajęć </w:t>
      </w:r>
      <w:r>
        <w:rPr>
          <w:i/>
        </w:rPr>
        <w:t>wiedza o społeczeństwie,</w:t>
      </w:r>
      <w:r>
        <w:t xml:space="preserve"> jak również – w stosownym zakresie – w ramach innych przedmiotów przewidzianych w ramowych planach nauczania dla publicznych szkół. </w:t>
      </w:r>
    </w:p>
    <w:p w:rsidR="003970AA" w:rsidRDefault="004630A5" w:rsidP="003970AA">
      <w:pPr>
        <w:pStyle w:val="menfont"/>
        <w:spacing w:line="276" w:lineRule="auto"/>
        <w:jc w:val="both"/>
      </w:pPr>
    </w:p>
    <w:p w:rsidR="003970AA" w:rsidRDefault="00B95C0F" w:rsidP="003970AA">
      <w:pPr>
        <w:pStyle w:val="menfont"/>
        <w:spacing w:line="276" w:lineRule="auto"/>
        <w:jc w:val="both"/>
      </w:pPr>
      <w:r>
        <w:t xml:space="preserve">Przedmiot </w:t>
      </w:r>
      <w:r w:rsidRPr="003970AA">
        <w:rPr>
          <w:i/>
        </w:rPr>
        <w:t>wiedza o społeczeństwie</w:t>
      </w:r>
      <w:r>
        <w:t xml:space="preserve"> realizowany jest obowiązkowo w klasie VIII szkoły podstawowej, a następnie we wszystkich typach szkół ponadpodstawowych: liceum ogólnokształcącym, technikum i branżowych szkołach.</w:t>
      </w:r>
    </w:p>
    <w:p w:rsidR="0051097E" w:rsidRDefault="004630A5" w:rsidP="00264843">
      <w:pPr>
        <w:spacing w:line="276" w:lineRule="auto"/>
        <w:contextualSpacing/>
        <w:jc w:val="both"/>
      </w:pPr>
    </w:p>
    <w:p w:rsidR="00264843" w:rsidRPr="001E30F3" w:rsidRDefault="00B95C0F" w:rsidP="00264843">
      <w:pPr>
        <w:spacing w:line="276" w:lineRule="auto"/>
        <w:contextualSpacing/>
        <w:jc w:val="both"/>
        <w:rPr>
          <w:rFonts w:cs="Times New Roman"/>
        </w:rPr>
      </w:pPr>
      <w:r>
        <w:t>Podstawa programowa dla szkoły podstawowej</w:t>
      </w:r>
      <w:r>
        <w:rPr>
          <w:rStyle w:val="Odwoanieprzypisudolnego"/>
        </w:rPr>
        <w:footnoteReference w:id="1"/>
      </w:r>
      <w:r>
        <w:t xml:space="preserve"> obejmuje w szczególności takie obszary zagadnień jak: p</w:t>
      </w:r>
      <w:r w:rsidRPr="00264843">
        <w:t xml:space="preserve">rawa człowieka, </w:t>
      </w:r>
      <w:r>
        <w:t>n</w:t>
      </w:r>
      <w:r w:rsidRPr="00264843">
        <w:t>ieletni wobec prawa,</w:t>
      </w:r>
      <w:r>
        <w:rPr>
          <w:i/>
        </w:rPr>
        <w:t xml:space="preserve"> </w:t>
      </w:r>
      <w:r>
        <w:rPr>
          <w:rFonts w:cs="Times New Roman"/>
        </w:rPr>
        <w:t>z</w:t>
      </w:r>
      <w:r w:rsidRPr="001E30F3">
        <w:rPr>
          <w:rFonts w:cs="Times New Roman"/>
        </w:rPr>
        <w:t>asad</w:t>
      </w:r>
      <w:r>
        <w:rPr>
          <w:rFonts w:cs="Times New Roman"/>
        </w:rPr>
        <w:t>a</w:t>
      </w:r>
      <w:r w:rsidRPr="001E30F3">
        <w:rPr>
          <w:rFonts w:cs="Times New Roman"/>
        </w:rPr>
        <w:t xml:space="preserve"> państwa prawa</w:t>
      </w:r>
      <w:r>
        <w:rPr>
          <w:rFonts w:cs="Times New Roman"/>
        </w:rPr>
        <w:t xml:space="preserve"> i </w:t>
      </w:r>
      <w:r w:rsidRPr="001E30F3">
        <w:rPr>
          <w:rFonts w:cs="Times New Roman"/>
        </w:rPr>
        <w:t>zasad</w:t>
      </w:r>
      <w:r>
        <w:rPr>
          <w:rFonts w:cs="Times New Roman"/>
        </w:rPr>
        <w:t>a</w:t>
      </w:r>
      <w:r w:rsidRPr="001E30F3">
        <w:rPr>
          <w:rFonts w:cs="Times New Roman"/>
        </w:rPr>
        <w:t xml:space="preserve"> konstytucjonalizmu</w:t>
      </w:r>
      <w:r>
        <w:rPr>
          <w:rFonts w:cs="Times New Roman"/>
        </w:rPr>
        <w:t xml:space="preserve">. </w:t>
      </w:r>
    </w:p>
    <w:p w:rsidR="003970AA" w:rsidRPr="00264843" w:rsidRDefault="004630A5" w:rsidP="003970AA">
      <w:pPr>
        <w:pStyle w:val="menfont"/>
        <w:spacing w:line="276" w:lineRule="auto"/>
        <w:jc w:val="both"/>
        <w:rPr>
          <w:i/>
        </w:rPr>
      </w:pPr>
    </w:p>
    <w:p w:rsidR="00AB09E3" w:rsidRDefault="00B95C0F" w:rsidP="003970AA">
      <w:pPr>
        <w:pStyle w:val="menfont"/>
        <w:spacing w:line="276" w:lineRule="auto"/>
        <w:jc w:val="both"/>
      </w:pPr>
      <w:r>
        <w:t xml:space="preserve">Uczniowie szkół ponadpodstawowych pogłębiają i poszerzają znajomość podstaw prawa – uczęszczając na zajęcia </w:t>
      </w:r>
      <w:r>
        <w:rPr>
          <w:i/>
        </w:rPr>
        <w:t xml:space="preserve">wiedza o społeczeństwie </w:t>
      </w:r>
      <w:r>
        <w:t xml:space="preserve">realizowane </w:t>
      </w:r>
      <w:r>
        <w:br/>
        <w:t xml:space="preserve">w zakresie podstawowym oraz rozszerzonym (dla uczniów, którzy wybiorą ten przedmiot).  </w:t>
      </w:r>
    </w:p>
    <w:p w:rsidR="00AB09E3" w:rsidRDefault="00B95C0F" w:rsidP="00AB09E3">
      <w:pPr>
        <w:pStyle w:val="menfont"/>
        <w:spacing w:line="276" w:lineRule="auto"/>
        <w:jc w:val="both"/>
      </w:pPr>
      <w:r w:rsidRPr="00AB09E3">
        <w:lastRenderedPageBreak/>
        <w:t xml:space="preserve">Podstawa programowa </w:t>
      </w:r>
      <w:r w:rsidRPr="00AB09E3">
        <w:rPr>
          <w:i/>
        </w:rPr>
        <w:t>wiedzy o społeczeństwie</w:t>
      </w:r>
      <w:r w:rsidRPr="00AB09E3">
        <w:t xml:space="preserve"> dla szkół ponadpodstawowych</w:t>
      </w:r>
      <w:r>
        <w:rPr>
          <w:vertAlign w:val="superscript"/>
        </w:rPr>
        <w:footnoteReference w:id="2"/>
      </w:r>
      <w:r w:rsidRPr="00AB09E3">
        <w:rPr>
          <w:vertAlign w:val="superscript"/>
        </w:rPr>
        <w:t xml:space="preserve"> </w:t>
      </w:r>
      <w:r w:rsidRPr="00AB09E3">
        <w:t xml:space="preserve">(liceum i technikum) przewiduje takie cele </w:t>
      </w:r>
      <w:r>
        <w:t xml:space="preserve">kształcenia jak </w:t>
      </w:r>
      <w:r w:rsidRPr="00AB09E3">
        <w:t>m.in.</w:t>
      </w:r>
      <w:r>
        <w:t xml:space="preserve">: znajomość </w:t>
      </w:r>
      <w:r w:rsidRPr="00AB09E3">
        <w:t>mechanizm</w:t>
      </w:r>
      <w:r>
        <w:t>ów</w:t>
      </w:r>
      <w:r w:rsidRPr="00AB09E3">
        <w:t xml:space="preserve"> ochrony i dochodzenia prawa człowieka; rozpoznawa</w:t>
      </w:r>
      <w:r>
        <w:t>nie</w:t>
      </w:r>
      <w:r w:rsidRPr="00AB09E3">
        <w:t xml:space="preserve"> różnych aspektów, także prawnych, problemów życia codziennego i wiedza na temat możliwych sposobów ich rozwiązania</w:t>
      </w:r>
      <w:r>
        <w:t xml:space="preserve">; </w:t>
      </w:r>
      <w:r w:rsidRPr="00AB09E3">
        <w:t xml:space="preserve"> korzysta</w:t>
      </w:r>
      <w:r>
        <w:t>nie</w:t>
      </w:r>
      <w:r w:rsidRPr="00AB09E3">
        <w:t xml:space="preserve"> z procedur i możliwości, jakie stwarzają obywatelom instytucje życia publi</w:t>
      </w:r>
      <w:r>
        <w:t>cznego, w tym instytucje prawne. Treści kształcenia - wymagania szczegółowe z tego obszaru przedstawiają się następująco:</w:t>
      </w:r>
    </w:p>
    <w:p w:rsidR="00AB09E3" w:rsidRDefault="004630A5" w:rsidP="00AB09E3">
      <w:pPr>
        <w:pStyle w:val="menfont"/>
        <w:spacing w:line="276" w:lineRule="auto"/>
        <w:jc w:val="both"/>
      </w:pPr>
    </w:p>
    <w:p w:rsidR="00AB09E3" w:rsidRPr="00AB09E3" w:rsidRDefault="00B95C0F" w:rsidP="00AB09E3">
      <w:pPr>
        <w:pStyle w:val="Akapitzlist1"/>
        <w:numPr>
          <w:ilvl w:val="0"/>
          <w:numId w:val="8"/>
        </w:numPr>
        <w:spacing w:line="276" w:lineRule="auto"/>
        <w:rPr>
          <w:rFonts w:ascii="Arial" w:eastAsia="Times New Roman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Prawa człowieka i ich ochrona. Uczeń: </w:t>
      </w:r>
    </w:p>
    <w:p w:rsidR="00AB09E3" w:rsidRPr="00AB09E3" w:rsidRDefault="00B95C0F" w:rsidP="00AB09E3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425"/>
        <w:contextualSpacing/>
        <w:rPr>
          <w:rFonts w:ascii="Arial" w:hAnsi="Arial" w:cs="Arial"/>
          <w:b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wymienia „zasady ogólne” i katalog praw człowieka zapisane w Konstytucji 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Rzeczypospolitej Polskiej</w:t>
      </w:r>
      <w:r w:rsidRPr="00AB09E3">
        <w:rPr>
          <w:rFonts w:ascii="Arial" w:hAnsi="Arial" w:cs="Arial"/>
          <w:i/>
          <w:color w:val="auto"/>
          <w:lang w:val="pl-PL"/>
        </w:rPr>
        <w:t xml:space="preserve">; </w:t>
      </w:r>
    </w:p>
    <w:p w:rsidR="00AB09E3" w:rsidRPr="00AB09E3" w:rsidRDefault="00B95C0F" w:rsidP="00AB09E3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425"/>
        <w:contextualSpacing/>
        <w:rPr>
          <w:rFonts w:ascii="Arial" w:hAnsi="Arial" w:cs="Arial"/>
          <w:b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przedstawia sądowe środki ochrony praw i wolności w Rzeczypospolitej Polskiej oraz sposób działania Rzecznika Praw Obywatelskich; pisze skargę do Rzecznika Praw Obywatelskich (według wzoru dostępnego na stronie internetowej); </w:t>
      </w:r>
      <w:r w:rsidRPr="00AB09E3">
        <w:rPr>
          <w:rFonts w:ascii="Arial" w:eastAsiaTheme="minorHAnsi" w:hAnsi="Arial" w:cs="Arial"/>
          <w:i/>
          <w:color w:val="auto"/>
          <w:lang w:val="pl-PL"/>
        </w:rPr>
        <w:t xml:space="preserve">wykazuje znaczenie skargi konstytucyjnej; </w:t>
      </w:r>
    </w:p>
    <w:p w:rsidR="00AB09E3" w:rsidRPr="00AB09E3" w:rsidRDefault="00B95C0F" w:rsidP="00AB09E3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425"/>
        <w:contextualSpacing/>
        <w:rPr>
          <w:rFonts w:ascii="Arial" w:hAnsi="Arial" w:cs="Arial"/>
          <w:b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>uzasadnia znaczenie Konwencji o ochronie praw człowieka i podstawowych wolności w kontekście Europejskiego Trybunału Praw Człowieka; przedstawia warunki, jakie muszą zaistnieć, aby rozpatrzył on skargę obywatela; analizuje wybrany wyrok tego trybunału;</w:t>
      </w:r>
    </w:p>
    <w:p w:rsidR="00AB09E3" w:rsidRPr="00AB09E3" w:rsidRDefault="00B95C0F" w:rsidP="00AB09E3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425"/>
        <w:contextualSpacing/>
        <w:rPr>
          <w:rFonts w:ascii="Arial" w:hAnsi="Arial" w:cs="Arial"/>
          <w:b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przedstawia szczegółowe prawa mniejszości narodowych i etnicznych oraz grupy posługującej się językiem regionalnym w Rzeczypospolitej Polskiej; pozyskuje informacje na temat praw mniejszości polskiej w różnych państwach; </w:t>
      </w:r>
    </w:p>
    <w:p w:rsidR="00AB09E3" w:rsidRPr="00AB09E3" w:rsidRDefault="00B95C0F" w:rsidP="00AB09E3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425"/>
        <w:contextualSpacing/>
        <w:rPr>
          <w:rFonts w:ascii="Arial" w:hAnsi="Arial" w:cs="Arial"/>
          <w:b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>pozyskuje w środkach masowego przekazu (między innymi, na stronach organizacji pozarządowych broniących praw człowieka) informacje o przypadkach naruszania praw człowieka w państwach demokratycznych i przygotowuje analizę na ten temat;</w:t>
      </w:r>
    </w:p>
    <w:p w:rsidR="00AB09E3" w:rsidRPr="00AB09E3" w:rsidRDefault="00B95C0F" w:rsidP="00AB09E3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>wskazuje organizacje pozarz</w:t>
      </w:r>
      <w:r w:rsidRPr="00AB09E3">
        <w:rPr>
          <w:rFonts w:ascii="Arial" w:eastAsia="TimesNewRoman" w:hAnsi="Arial" w:cs="Arial"/>
          <w:i/>
          <w:color w:val="auto"/>
          <w:lang w:val="pl-PL"/>
        </w:rPr>
        <w:t>ą</w:t>
      </w:r>
      <w:r w:rsidRPr="00AB09E3">
        <w:rPr>
          <w:rFonts w:ascii="Arial" w:hAnsi="Arial" w:cs="Arial"/>
          <w:i/>
          <w:color w:val="auto"/>
          <w:lang w:val="pl-PL"/>
        </w:rPr>
        <w:t>dowe zajmuj</w:t>
      </w:r>
      <w:r w:rsidRPr="00AB09E3">
        <w:rPr>
          <w:rFonts w:ascii="Arial" w:eastAsia="TimesNewRoman" w:hAnsi="Arial" w:cs="Arial"/>
          <w:i/>
          <w:color w:val="auto"/>
          <w:lang w:val="pl-PL"/>
        </w:rPr>
        <w:t>ą</w:t>
      </w:r>
      <w:r w:rsidRPr="00AB09E3">
        <w:rPr>
          <w:rFonts w:ascii="Arial" w:hAnsi="Arial" w:cs="Arial"/>
          <w:i/>
          <w:color w:val="auto"/>
          <w:lang w:val="pl-PL"/>
        </w:rPr>
        <w:t>ce si</w:t>
      </w:r>
      <w:r w:rsidRPr="00AB09E3">
        <w:rPr>
          <w:rFonts w:ascii="Arial" w:eastAsia="TimesNewRoman" w:hAnsi="Arial" w:cs="Arial"/>
          <w:i/>
          <w:color w:val="auto"/>
          <w:lang w:val="pl-PL"/>
        </w:rPr>
        <w:t xml:space="preserve">ę </w:t>
      </w:r>
      <w:r w:rsidRPr="00AB09E3">
        <w:rPr>
          <w:rFonts w:ascii="Arial" w:hAnsi="Arial" w:cs="Arial"/>
          <w:i/>
          <w:color w:val="auto"/>
          <w:lang w:val="pl-PL"/>
        </w:rPr>
        <w:t>ochron</w:t>
      </w:r>
      <w:r w:rsidRPr="00AB09E3">
        <w:rPr>
          <w:rFonts w:ascii="Arial" w:eastAsia="TimesNewRoman" w:hAnsi="Arial" w:cs="Arial"/>
          <w:i/>
          <w:color w:val="auto"/>
          <w:lang w:val="pl-PL"/>
        </w:rPr>
        <w:t xml:space="preserve">ą </w:t>
      </w:r>
      <w:r w:rsidRPr="00AB09E3">
        <w:rPr>
          <w:rFonts w:ascii="Arial" w:hAnsi="Arial" w:cs="Arial"/>
          <w:i/>
          <w:color w:val="auto"/>
          <w:lang w:val="pl-PL"/>
        </w:rPr>
        <w:t xml:space="preserve">praw człowieka i charakteryzuje działania jednej z nich; </w:t>
      </w:r>
    </w:p>
    <w:p w:rsidR="00AB09E3" w:rsidRDefault="00B95C0F" w:rsidP="00AB09E3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wykazuje różnice w przestrzeganiu praw człowieka w państwie demokratycznym i niedemokratycznym; przedstawia problem łamania praw człowieka w wybranym państwie niedemokratycznym. </w:t>
      </w:r>
    </w:p>
    <w:p w:rsidR="0051097E" w:rsidRPr="00AB09E3" w:rsidRDefault="004630A5" w:rsidP="0051097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/>
        <w:contextualSpacing/>
        <w:rPr>
          <w:rFonts w:ascii="Arial" w:hAnsi="Arial" w:cs="Arial"/>
          <w:i/>
          <w:color w:val="auto"/>
          <w:lang w:val="pl-PL"/>
        </w:rPr>
      </w:pPr>
    </w:p>
    <w:p w:rsidR="00AB09E3" w:rsidRPr="00AB09E3" w:rsidRDefault="004630A5" w:rsidP="00AB09E3">
      <w:pPr>
        <w:autoSpaceDE w:val="0"/>
        <w:autoSpaceDN w:val="0"/>
        <w:adjustRightInd w:val="0"/>
        <w:ind w:left="1418"/>
        <w:rPr>
          <w:rFonts w:eastAsiaTheme="minorHAnsi"/>
          <w:b/>
          <w:i/>
          <w:lang w:eastAsia="en-US"/>
        </w:rPr>
      </w:pPr>
    </w:p>
    <w:p w:rsidR="00AB09E3" w:rsidRPr="00AB09E3" w:rsidRDefault="00B95C0F" w:rsidP="00AB09E3">
      <w:pPr>
        <w:pStyle w:val="Akapitzlist1"/>
        <w:numPr>
          <w:ilvl w:val="0"/>
          <w:numId w:val="8"/>
        </w:numPr>
        <w:spacing w:line="276" w:lineRule="auto"/>
        <w:ind w:left="323" w:hanging="181"/>
        <w:rPr>
          <w:rFonts w:ascii="Arial" w:hAnsi="Arial" w:cs="Arial"/>
          <w:i/>
          <w:color w:val="auto"/>
          <w:lang w:val="pl-PL" w:eastAsia="en-US"/>
        </w:rPr>
      </w:pPr>
      <w:r w:rsidRPr="00AB09E3">
        <w:rPr>
          <w:rFonts w:ascii="Arial" w:hAnsi="Arial" w:cs="Arial"/>
          <w:i/>
          <w:color w:val="auto"/>
          <w:lang w:val="pl-PL" w:eastAsia="en-US"/>
        </w:rPr>
        <w:lastRenderedPageBreak/>
        <w:t>Prawo w Rzeczypospolitej Polskiej. Ucze</w:t>
      </w:r>
      <w:r w:rsidRPr="00AB09E3">
        <w:rPr>
          <w:rFonts w:ascii="Arial" w:eastAsia="TimesNewRoman" w:hAnsi="Arial" w:cs="Arial"/>
          <w:i/>
          <w:color w:val="auto"/>
          <w:lang w:val="pl-PL" w:eastAsia="en-US"/>
        </w:rPr>
        <w:t>ń</w:t>
      </w:r>
      <w:r w:rsidRPr="00AB09E3">
        <w:rPr>
          <w:rFonts w:ascii="Arial" w:hAnsi="Arial" w:cs="Arial"/>
          <w:i/>
          <w:color w:val="auto"/>
          <w:lang w:val="pl-PL" w:eastAsia="en-US"/>
        </w:rPr>
        <w:t>:</w:t>
      </w:r>
    </w:p>
    <w:p w:rsidR="00AB09E3" w:rsidRPr="00AB09E3" w:rsidRDefault="00B95C0F" w:rsidP="00AB09E3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425"/>
        <w:contextualSpacing/>
        <w:rPr>
          <w:rFonts w:ascii="Arial" w:eastAsia="Times New Roman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>wyjaśnia, czym różnią się normy prawne od innych typów norm; wymienia podstawowe zasady prawa (prawo nie działa wstecz, domniemanie niewinności, nie ma winy bez prawa, nieznajomość prawa szkodzi) i wyjaśnia konsekwencje ich łamania;</w:t>
      </w:r>
    </w:p>
    <w:p w:rsidR="00AB09E3" w:rsidRPr="00AB09E3" w:rsidRDefault="00B95C0F" w:rsidP="00AB09E3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425"/>
        <w:contextualSpacing/>
        <w:rPr>
          <w:rFonts w:ascii="Arial" w:eastAsia="Times New Roman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>przedstawia źródła prawa w Rzeczypospolitej Polskiej – wykazuje szczególną moc konstytucji; przedstawia procedurę ustawodawczą;</w:t>
      </w:r>
    </w:p>
    <w:p w:rsidR="00AB09E3" w:rsidRPr="00AB09E3" w:rsidRDefault="00B95C0F" w:rsidP="00AB09E3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rozpoznaje sprawy regulowane przez prawo cywilne, rodzinne, administracyjne i karne; </w:t>
      </w:r>
      <w:r w:rsidRPr="00AB09E3">
        <w:rPr>
          <w:rFonts w:ascii="Arial" w:hAnsi="Arial" w:cs="Arial"/>
          <w:i/>
          <w:color w:val="auto"/>
          <w:lang w:val="pl-PL"/>
        </w:rPr>
        <w:t>wskazuje, w jakim kodeksie obowiązującym w Rzeczypospolitej Polskiej można znaleźć przepisy dotyczące konkretnej sprawy; interpretuje przepisy prawne;</w:t>
      </w:r>
    </w:p>
    <w:p w:rsidR="00AB09E3" w:rsidRPr="00AB09E3" w:rsidRDefault="00B95C0F" w:rsidP="00AB09E3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wyjaśnia podstawowe instytucje prawne części ogólnej prawa cywilnego i prawa zobowiązaniowego w Rzeczypospolitej Polskiej 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(osoba fizyczna, zdolno</w:t>
      </w:r>
      <w:r w:rsidRPr="00AB09E3">
        <w:rPr>
          <w:rFonts w:ascii="Arial" w:eastAsia="TimesNewRoman" w:hAnsi="Arial" w:cs="Arial"/>
          <w:i/>
          <w:color w:val="auto"/>
          <w:lang w:val="pl-PL" w:eastAsia="en-US"/>
        </w:rPr>
        <w:t xml:space="preserve">ść 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prawna a zdolno</w:t>
      </w:r>
      <w:r w:rsidRPr="00AB09E3">
        <w:rPr>
          <w:rFonts w:ascii="Arial" w:eastAsia="TimesNewRoman" w:hAnsi="Arial" w:cs="Arial"/>
          <w:i/>
          <w:color w:val="auto"/>
          <w:lang w:val="pl-PL" w:eastAsia="en-US"/>
        </w:rPr>
        <w:t xml:space="preserve">ść 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do czynno</w:t>
      </w:r>
      <w:r w:rsidRPr="00AB09E3">
        <w:rPr>
          <w:rFonts w:ascii="Arial" w:eastAsia="TimesNewRoman" w:hAnsi="Arial" w:cs="Arial"/>
          <w:i/>
          <w:color w:val="auto"/>
          <w:lang w:val="pl-PL" w:eastAsia="en-US"/>
        </w:rPr>
        <w:t>ś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ci prawnych, przedstawicielstwo a pełnomocnictwo, zobowiązanie);</w:t>
      </w:r>
    </w:p>
    <w:p w:rsidR="00AB09E3" w:rsidRPr="00AB09E3" w:rsidRDefault="00B95C0F" w:rsidP="00AB09E3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wyjaśnia podstawowe instytucje prawne prawa rzeczowego i spadkowego w Rzeczypospolitej Polskiej (własność, formy nabycia własności, 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spadek, dziedziczenie ustawowe i testamentowe, zachowek);</w:t>
      </w:r>
    </w:p>
    <w:p w:rsidR="00AB09E3" w:rsidRPr="00AB09E3" w:rsidRDefault="00B95C0F" w:rsidP="00AB09E3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wyjaśnia podstawowe instytucje prawne prawa rodzinnego w Rzeczypospolitej Polskiej (małżeństwo, 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wspólnota maj</w:t>
      </w:r>
      <w:r w:rsidRPr="00AB09E3">
        <w:rPr>
          <w:rFonts w:ascii="Arial" w:eastAsia="TimesNewRoman" w:hAnsi="Arial" w:cs="Arial"/>
          <w:i/>
          <w:color w:val="auto"/>
          <w:lang w:val="pl-PL" w:eastAsia="en-US"/>
        </w:rPr>
        <w:t>ą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tkowa, prawa i obowiązki rodziców oraz dziecka, w tym pełnoletniego, obowiązek alimentacyjny); </w:t>
      </w:r>
    </w:p>
    <w:p w:rsidR="00AB09E3" w:rsidRPr="00AB09E3" w:rsidRDefault="00B95C0F" w:rsidP="00AB09E3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przedstawia przebieg post</w:t>
      </w:r>
      <w:r w:rsidRPr="00AB09E3">
        <w:rPr>
          <w:rFonts w:ascii="Arial" w:eastAsia="TimesNewRoman" w:hAnsi="Arial" w:cs="Arial"/>
          <w:i/>
          <w:color w:val="auto"/>
          <w:lang w:val="pl-PL" w:eastAsia="en-US"/>
        </w:rPr>
        <w:t>ę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powania cywilnego w </w:t>
      </w:r>
      <w:r w:rsidRPr="00AB09E3">
        <w:rPr>
          <w:rFonts w:ascii="Arial" w:hAnsi="Arial" w:cs="Arial"/>
          <w:i/>
          <w:color w:val="auto"/>
          <w:lang w:val="pl-PL"/>
        </w:rPr>
        <w:t>Rzeczypospolitej Polskiej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 oraz uczestnicz</w:t>
      </w:r>
      <w:r w:rsidRPr="00AB09E3">
        <w:rPr>
          <w:rFonts w:ascii="Arial" w:eastAsia="TimesNewRoman" w:hAnsi="Arial" w:cs="Arial"/>
          <w:i/>
          <w:color w:val="auto"/>
          <w:lang w:val="pl-PL" w:eastAsia="en-US"/>
        </w:rPr>
        <w:t>ą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ce w nim strony; analizuje kazus z zakresu prawa cywilnego lub rodzinnego, w tym pozew w takiej sprawie; </w:t>
      </w:r>
    </w:p>
    <w:p w:rsidR="00AB09E3" w:rsidRPr="00AB09E3" w:rsidRDefault="00B95C0F" w:rsidP="00AB09E3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odró</w:t>
      </w:r>
      <w:r w:rsidRPr="00AB09E3">
        <w:rPr>
          <w:rFonts w:ascii="Arial" w:eastAsia="TimesNewRoman" w:hAnsi="Arial" w:cs="Arial"/>
          <w:i/>
          <w:color w:val="auto"/>
          <w:lang w:val="pl-PL" w:eastAsia="en-US"/>
        </w:rPr>
        <w:t>ż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nia akty administracyjne od innego rodzaju dokumentów; rozpoznaje, kiedy decyzja administracyjna w </w:t>
      </w:r>
      <w:r w:rsidRPr="00AB09E3">
        <w:rPr>
          <w:rFonts w:ascii="Arial" w:hAnsi="Arial" w:cs="Arial"/>
          <w:i/>
          <w:color w:val="auto"/>
          <w:lang w:val="pl-PL"/>
        </w:rPr>
        <w:t>Rzeczypospolitej Polskiej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 jest ważna; </w:t>
      </w:r>
    </w:p>
    <w:p w:rsidR="00AB09E3" w:rsidRPr="00AB09E3" w:rsidRDefault="00B95C0F" w:rsidP="00AB09E3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wyja</w:t>
      </w:r>
      <w:r w:rsidRPr="00AB09E3">
        <w:rPr>
          <w:rFonts w:ascii="Arial" w:eastAsia="TimesNewRoman" w:hAnsi="Arial" w:cs="Arial"/>
          <w:i/>
          <w:color w:val="auto"/>
          <w:lang w:val="pl-PL" w:eastAsia="en-US"/>
        </w:rPr>
        <w:t>ś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nia, jak odwoła</w:t>
      </w:r>
      <w:r w:rsidRPr="00AB09E3">
        <w:rPr>
          <w:rFonts w:ascii="Arial" w:eastAsia="TimesNewRoman" w:hAnsi="Arial" w:cs="Arial"/>
          <w:i/>
          <w:color w:val="auto"/>
          <w:lang w:val="pl-PL" w:eastAsia="en-US"/>
        </w:rPr>
        <w:t xml:space="preserve">ć 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si</w:t>
      </w:r>
      <w:r w:rsidRPr="00AB09E3">
        <w:rPr>
          <w:rFonts w:ascii="Arial" w:eastAsia="TimesNewRoman" w:hAnsi="Arial" w:cs="Arial"/>
          <w:i/>
          <w:color w:val="auto"/>
          <w:lang w:val="pl-PL" w:eastAsia="en-US"/>
        </w:rPr>
        <w:t xml:space="preserve">ę 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od decyzji organów administracyjnych; pisze odwołanie od decyzji administracyjnej;</w:t>
      </w:r>
    </w:p>
    <w:p w:rsidR="00AB09E3" w:rsidRPr="00AB09E3" w:rsidRDefault="00B95C0F" w:rsidP="00AB09E3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przedstawia przebieg post</w:t>
      </w:r>
      <w:r w:rsidRPr="00AB09E3">
        <w:rPr>
          <w:rFonts w:ascii="Arial" w:eastAsia="TimesNewRoman" w:hAnsi="Arial" w:cs="Arial"/>
          <w:i/>
          <w:color w:val="auto"/>
          <w:lang w:val="pl-PL" w:eastAsia="en-US"/>
        </w:rPr>
        <w:t>ę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powania administracyjnego w </w:t>
      </w:r>
      <w:r w:rsidRPr="00AB09E3">
        <w:rPr>
          <w:rFonts w:ascii="Arial" w:hAnsi="Arial" w:cs="Arial"/>
          <w:i/>
          <w:color w:val="auto"/>
          <w:lang w:val="pl-PL"/>
        </w:rPr>
        <w:t>Rzeczypospolitej Polskiej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; analizuje wzory zażaleń na postanowienia organów administracji oraz wzory skarg do wojewódzkiego s</w:t>
      </w:r>
      <w:r w:rsidRPr="00AB09E3">
        <w:rPr>
          <w:rFonts w:ascii="Arial" w:eastAsia="TimesNewRoman" w:hAnsi="Arial" w:cs="Arial"/>
          <w:i/>
          <w:color w:val="auto"/>
          <w:lang w:val="pl-PL" w:eastAsia="en-US"/>
        </w:rPr>
        <w:t>ą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du administracyjnego;</w:t>
      </w:r>
    </w:p>
    <w:p w:rsidR="00AB09E3" w:rsidRPr="00AB09E3" w:rsidRDefault="00B95C0F" w:rsidP="00AB09E3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przedstawia przebieg post</w:t>
      </w:r>
      <w:r w:rsidRPr="00AB09E3">
        <w:rPr>
          <w:rFonts w:ascii="Arial" w:eastAsia="TimesNewRoman" w:hAnsi="Arial" w:cs="Arial"/>
          <w:i/>
          <w:color w:val="auto"/>
          <w:lang w:val="pl-PL" w:eastAsia="en-US"/>
        </w:rPr>
        <w:t>ę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powania karnego w </w:t>
      </w:r>
      <w:r w:rsidRPr="00AB09E3">
        <w:rPr>
          <w:rFonts w:ascii="Arial" w:hAnsi="Arial" w:cs="Arial"/>
          <w:i/>
          <w:color w:val="auto"/>
          <w:lang w:val="pl-PL"/>
        </w:rPr>
        <w:t>Rzeczypospolitej Polskiej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 oraz uczestnicz</w:t>
      </w:r>
      <w:r w:rsidRPr="00AB09E3">
        <w:rPr>
          <w:rFonts w:ascii="Arial" w:eastAsia="TimesNewRoman" w:hAnsi="Arial" w:cs="Arial"/>
          <w:i/>
          <w:color w:val="auto"/>
          <w:lang w:val="pl-PL" w:eastAsia="en-US"/>
        </w:rPr>
        <w:t>ą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ce w nim strony; </w:t>
      </w:r>
      <w:r w:rsidRPr="00AB09E3">
        <w:rPr>
          <w:rFonts w:ascii="Arial" w:hAnsi="Arial" w:cs="Arial"/>
          <w:i/>
          <w:color w:val="auto"/>
          <w:lang w:val="pl-PL"/>
        </w:rPr>
        <w:t xml:space="preserve">wymienia główne prawa, jakie przysługują ofierze, sprawcy i świadkowi przestępstwa; 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pisze zawiadomienie o popełnieniu przestępstwa;</w:t>
      </w:r>
    </w:p>
    <w:p w:rsidR="00AB09E3" w:rsidRPr="00AB09E3" w:rsidRDefault="00B95C0F" w:rsidP="00AB09E3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lastRenderedPageBreak/>
        <w:t>wskazuje, do jakich organów i instytucji można si</w:t>
      </w:r>
      <w:r w:rsidRPr="00AB09E3">
        <w:rPr>
          <w:rFonts w:ascii="Arial" w:eastAsia="TimesNewRoman" w:hAnsi="Arial" w:cs="Arial"/>
          <w:i/>
          <w:color w:val="auto"/>
          <w:lang w:val="pl-PL" w:eastAsia="en-US"/>
        </w:rPr>
        <w:t xml:space="preserve">ę 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zwróci</w:t>
      </w:r>
      <w:r w:rsidRPr="00AB09E3">
        <w:rPr>
          <w:rFonts w:ascii="Arial" w:eastAsia="TimesNewRoman" w:hAnsi="Arial" w:cs="Arial"/>
          <w:i/>
          <w:color w:val="auto"/>
          <w:lang w:val="pl-PL" w:eastAsia="en-US"/>
        </w:rPr>
        <w:t xml:space="preserve">ć w </w:t>
      </w:r>
      <w:r w:rsidRPr="00AB09E3">
        <w:rPr>
          <w:rFonts w:ascii="Arial" w:hAnsi="Arial" w:cs="Arial"/>
          <w:i/>
          <w:color w:val="auto"/>
          <w:lang w:val="pl-PL"/>
        </w:rPr>
        <w:t>Rzeczypospolitej Polskiej</w:t>
      </w:r>
      <w:r w:rsidRPr="00AB09E3">
        <w:rPr>
          <w:rFonts w:ascii="Arial" w:eastAsia="TimesNewRoman" w:hAnsi="Arial" w:cs="Arial"/>
          <w:i/>
          <w:color w:val="auto"/>
          <w:lang w:val="pl-PL" w:eastAsia="en-US"/>
        </w:rPr>
        <w:t xml:space="preserve"> 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o pomoc prawn</w:t>
      </w:r>
      <w:r w:rsidRPr="00AB09E3">
        <w:rPr>
          <w:rFonts w:ascii="Arial" w:eastAsia="TimesNewRoman" w:hAnsi="Arial" w:cs="Arial"/>
          <w:i/>
          <w:color w:val="auto"/>
          <w:lang w:val="pl-PL" w:eastAsia="en-US"/>
        </w:rPr>
        <w:t xml:space="preserve">ą 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w konkretnych sytuacjach; przedstawia zadania notariuszy, radców prawnych, adwokatów;</w:t>
      </w:r>
    </w:p>
    <w:p w:rsidR="00AB09E3" w:rsidRPr="00AB09E3" w:rsidRDefault="00B95C0F" w:rsidP="00AB09E3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wyjaśnia, jak można korzystać w </w:t>
      </w:r>
      <w:r w:rsidRPr="00AB09E3">
        <w:rPr>
          <w:rFonts w:ascii="Arial" w:hAnsi="Arial" w:cs="Arial"/>
          <w:i/>
          <w:color w:val="auto"/>
          <w:lang w:val="pl-PL"/>
        </w:rPr>
        <w:t>Rzeczypospolitej Polskiej z dokumentacji gromadzonej w urzędach (ze szczególnym uwzględnieniem e-administracji) i archiwach oraz jakie sprawy można dzięki temu załatwić; pisze wniosek o udzielenie informacji publicznej.</w:t>
      </w:r>
    </w:p>
    <w:p w:rsidR="00AB09E3" w:rsidRPr="00264843" w:rsidRDefault="00B95C0F" w:rsidP="00AB09E3">
      <w:pPr>
        <w:pStyle w:val="menfont"/>
        <w:spacing w:line="276" w:lineRule="auto"/>
        <w:jc w:val="both"/>
      </w:pPr>
      <w:r>
        <w:t xml:space="preserve"> </w:t>
      </w:r>
    </w:p>
    <w:p w:rsidR="00AB09E3" w:rsidRPr="00AB09E3" w:rsidRDefault="00B95C0F" w:rsidP="00AB09E3">
      <w:pPr>
        <w:contextualSpacing/>
        <w:jc w:val="both"/>
        <w:rPr>
          <w:rFonts w:cs="Times New Roman"/>
        </w:rPr>
      </w:pPr>
      <w:r>
        <w:rPr>
          <w:rFonts w:cs="Times New Roman"/>
        </w:rPr>
        <w:t xml:space="preserve">Odpowiednio szerszy zakres tych zagadnień przewidziany jest dla uczniów, którzy wybierają przedmiot </w:t>
      </w:r>
      <w:r w:rsidRPr="0051097E">
        <w:rPr>
          <w:rFonts w:cs="Times New Roman"/>
          <w:i/>
        </w:rPr>
        <w:t>wiedza o społeczeństwie</w:t>
      </w:r>
      <w:r>
        <w:rPr>
          <w:rFonts w:cs="Times New Roman"/>
        </w:rPr>
        <w:t xml:space="preserve"> również w zakresie rozszerzonym: </w:t>
      </w:r>
    </w:p>
    <w:p w:rsidR="00AB09E3" w:rsidRPr="009C2E29" w:rsidRDefault="004630A5" w:rsidP="00AB09E3">
      <w:pPr>
        <w:pStyle w:val="Akapitzlist1"/>
        <w:ind w:left="0"/>
        <w:rPr>
          <w:rFonts w:cs="Times New Roman"/>
          <w:color w:val="auto"/>
          <w:lang w:val="pl-PL"/>
        </w:rPr>
      </w:pPr>
    </w:p>
    <w:p w:rsidR="00AB09E3" w:rsidRPr="00AB09E3" w:rsidRDefault="00B95C0F" w:rsidP="00AB09E3">
      <w:pPr>
        <w:pStyle w:val="Akapitzlist1"/>
        <w:numPr>
          <w:ilvl w:val="0"/>
          <w:numId w:val="13"/>
        </w:numPr>
        <w:spacing w:line="276" w:lineRule="auto"/>
        <w:rPr>
          <w:rFonts w:ascii="Arial" w:hAnsi="Arial" w:cs="Arial"/>
          <w:i/>
          <w:color w:val="auto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System prawa w Rzeczypospolitej Polskiej. </w:t>
      </w:r>
      <w:proofErr w:type="spellStart"/>
      <w:r w:rsidRPr="00AB09E3">
        <w:rPr>
          <w:rFonts w:ascii="Arial" w:hAnsi="Arial" w:cs="Arial"/>
          <w:i/>
          <w:color w:val="auto"/>
        </w:rPr>
        <w:t>Ucze</w:t>
      </w:r>
      <w:r w:rsidRPr="00AB09E3">
        <w:rPr>
          <w:rFonts w:ascii="Arial" w:eastAsia="TimesNewRoman" w:hAnsi="Arial" w:cs="Arial"/>
          <w:i/>
          <w:color w:val="auto"/>
        </w:rPr>
        <w:t>ń</w:t>
      </w:r>
      <w:proofErr w:type="spellEnd"/>
      <w:r w:rsidRPr="00AB09E3">
        <w:rPr>
          <w:rFonts w:ascii="Arial" w:hAnsi="Arial" w:cs="Arial"/>
          <w:i/>
          <w:color w:val="auto"/>
        </w:rPr>
        <w:t>: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eastAsiaTheme="minorHAnsi" w:hAnsi="Arial" w:cs="Arial"/>
          <w:i/>
          <w:color w:val="auto"/>
          <w:lang w:val="pl-PL"/>
        </w:rPr>
        <w:t>rozró</w:t>
      </w:r>
      <w:r w:rsidRPr="00AB09E3">
        <w:rPr>
          <w:rFonts w:ascii="Arial" w:eastAsia="TimesNewRoman" w:hAnsi="Arial" w:cs="Arial"/>
          <w:i/>
          <w:color w:val="auto"/>
          <w:lang w:val="pl-PL"/>
        </w:rPr>
        <w:t>ż</w:t>
      </w:r>
      <w:r w:rsidRPr="00AB09E3">
        <w:rPr>
          <w:rFonts w:ascii="Arial" w:eastAsiaTheme="minorHAnsi" w:hAnsi="Arial" w:cs="Arial"/>
          <w:i/>
          <w:color w:val="auto"/>
          <w:lang w:val="pl-PL"/>
        </w:rPr>
        <w:t xml:space="preserve">nia </w:t>
      </w:r>
      <w:r w:rsidRPr="00AB09E3">
        <w:rPr>
          <w:rFonts w:ascii="Arial" w:eastAsia="TimesNewRoman" w:hAnsi="Arial" w:cs="Arial"/>
          <w:i/>
          <w:color w:val="auto"/>
          <w:lang w:val="pl-PL"/>
        </w:rPr>
        <w:t>ź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ródła, z których wywodz</w:t>
      </w:r>
      <w:r w:rsidRPr="00AB09E3">
        <w:rPr>
          <w:rFonts w:ascii="Arial" w:eastAsia="TimesNewRoman" w:hAnsi="Arial" w:cs="Arial"/>
          <w:i/>
          <w:color w:val="auto"/>
          <w:lang w:val="pl-PL"/>
        </w:rPr>
        <w:t xml:space="preserve">ą 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si</w:t>
      </w:r>
      <w:r w:rsidRPr="00AB09E3">
        <w:rPr>
          <w:rFonts w:ascii="Arial" w:eastAsia="TimesNewRoman" w:hAnsi="Arial" w:cs="Arial"/>
          <w:i/>
          <w:color w:val="auto"/>
          <w:lang w:val="pl-PL"/>
        </w:rPr>
        <w:t xml:space="preserve">ę 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normy w ró</w:t>
      </w:r>
      <w:r w:rsidRPr="00AB09E3">
        <w:rPr>
          <w:rFonts w:ascii="Arial" w:eastAsia="TimesNewRoman" w:hAnsi="Arial" w:cs="Arial"/>
          <w:i/>
          <w:color w:val="auto"/>
          <w:lang w:val="pl-PL"/>
        </w:rPr>
        <w:t>ż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nych systemach prawnych (prawo: zwyczajowe, precedensowe, religijne, pozytywne)</w:t>
      </w:r>
      <w:r w:rsidRPr="00AB09E3">
        <w:rPr>
          <w:rFonts w:ascii="Arial" w:hAnsi="Arial" w:cs="Arial"/>
          <w:i/>
          <w:color w:val="auto"/>
          <w:lang w:val="pl-PL"/>
        </w:rPr>
        <w:t>;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eastAsiaTheme="minorHAnsi" w:hAnsi="Arial" w:cs="Arial"/>
          <w:i/>
          <w:color w:val="auto"/>
          <w:lang w:val="pl-PL"/>
        </w:rPr>
        <w:t>wyja</w:t>
      </w:r>
      <w:r w:rsidRPr="00AB09E3">
        <w:rPr>
          <w:rFonts w:ascii="Arial" w:eastAsia="TimesNewRoman" w:hAnsi="Arial" w:cs="Arial"/>
          <w:i/>
          <w:color w:val="auto"/>
          <w:lang w:val="pl-PL"/>
        </w:rPr>
        <w:t>ś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nia zasady hierarchiczno</w:t>
      </w:r>
      <w:r w:rsidRPr="00AB09E3">
        <w:rPr>
          <w:rFonts w:ascii="Arial" w:eastAsia="TimesNewRoman" w:hAnsi="Arial" w:cs="Arial"/>
          <w:i/>
          <w:color w:val="auto"/>
          <w:lang w:val="pl-PL"/>
        </w:rPr>
        <w:t>ś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ci, spójno</w:t>
      </w:r>
      <w:r w:rsidRPr="00AB09E3">
        <w:rPr>
          <w:rFonts w:ascii="Arial" w:eastAsia="TimesNewRoman" w:hAnsi="Arial" w:cs="Arial"/>
          <w:i/>
          <w:color w:val="auto"/>
          <w:lang w:val="pl-PL"/>
        </w:rPr>
        <w:t>ś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ci i zupełno</w:t>
      </w:r>
      <w:r w:rsidRPr="00AB09E3">
        <w:rPr>
          <w:rFonts w:ascii="Arial" w:eastAsia="TimesNewRoman" w:hAnsi="Arial" w:cs="Arial"/>
          <w:i/>
          <w:color w:val="auto"/>
          <w:lang w:val="pl-PL"/>
        </w:rPr>
        <w:t>ś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ci w systemie prawnym oraz pojęcie luki prawnej; rozpoznaje rodzaje prawa (mi</w:t>
      </w:r>
      <w:r w:rsidRPr="00AB09E3">
        <w:rPr>
          <w:rFonts w:ascii="Arial" w:eastAsia="TimesNewRoman" w:hAnsi="Arial" w:cs="Arial"/>
          <w:i/>
          <w:color w:val="auto"/>
          <w:lang w:val="pl-PL"/>
        </w:rPr>
        <w:t>ę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dzynarodowe, krajowe, miejscowe; prywatne, publiczne; materialne, formalne; cywilne, karne, administracyjne</w:t>
      </w:r>
      <w:r w:rsidRPr="00AB09E3">
        <w:rPr>
          <w:rFonts w:ascii="Arial" w:hAnsi="Arial" w:cs="Arial"/>
          <w:i/>
          <w:color w:val="auto"/>
          <w:lang w:val="pl-PL"/>
        </w:rPr>
        <w:t>; pisane, niepisane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);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porównuje ścieżkę legislacyjną wymaganą do zmiany Konstytucji Rzeczypospolitej Polskiej, tworzenia ustaw, ustawy budżetowej i projektów uznanych za pilne; 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przedstawia różne procedury </w:t>
      </w:r>
      <w:proofErr w:type="spellStart"/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przedratyfikacyjne</w:t>
      </w:r>
      <w:proofErr w:type="spellEnd"/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 w przypadku ratyfikowanych umów międzynarodowych </w:t>
      </w:r>
      <w:r w:rsidRPr="00AB09E3">
        <w:rPr>
          <w:rFonts w:ascii="Arial" w:hAnsi="Arial" w:cs="Arial"/>
          <w:i/>
          <w:color w:val="auto"/>
          <w:lang w:val="pl-PL"/>
        </w:rPr>
        <w:t>w Rzeczypospolitej Polskiej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; wskazuje zależności między rozporządzeniami a ustawami oraz zarządzeniami a uchwałami (w przypadku aktów prawa miejscowego) </w:t>
      </w:r>
      <w:r w:rsidRPr="00AB09E3">
        <w:rPr>
          <w:rFonts w:ascii="Arial" w:hAnsi="Arial" w:cs="Arial"/>
          <w:i/>
          <w:color w:val="auto"/>
          <w:lang w:val="pl-PL"/>
        </w:rPr>
        <w:t>w Rzeczypospolitej Polskiej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; 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eastAsiaTheme="minorHAnsi" w:hAnsi="Arial" w:cs="Arial"/>
          <w:i/>
          <w:color w:val="auto"/>
          <w:lang w:val="pl-PL"/>
        </w:rPr>
        <w:t xml:space="preserve">wymienia obowiązujące w Rzeczypospolitej Polskiej akty prawne niebędące źródłami prawa i wyjaśnia ich specyfikę; 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wyjaśnia zależności między prawem unijnym i krajowym; </w:t>
      </w:r>
      <w:r w:rsidRPr="00AB09E3">
        <w:rPr>
          <w:rFonts w:ascii="Arial" w:hAnsi="Arial" w:cs="Arial"/>
          <w:i/>
          <w:color w:val="auto"/>
          <w:lang w:val="pl-PL"/>
        </w:rPr>
        <w:t>przedstawia formy prawa wtórnego Unii Europejskiej i ich miejsce w porządku prawnym</w:t>
      </w:r>
      <w:r w:rsidRPr="00AB09E3">
        <w:rPr>
          <w:rFonts w:ascii="Arial" w:eastAsiaTheme="minorHAnsi" w:hAnsi="Arial" w:cs="Arial"/>
          <w:i/>
          <w:color w:val="auto"/>
          <w:lang w:val="pl-PL"/>
        </w:rPr>
        <w:t xml:space="preserve"> Rzeczypospolitej Polskiej</w:t>
      </w:r>
      <w:r w:rsidRPr="00AB09E3">
        <w:rPr>
          <w:rFonts w:ascii="Arial" w:hAnsi="Arial" w:cs="Arial"/>
          <w:i/>
          <w:color w:val="auto"/>
          <w:lang w:val="pl-PL"/>
        </w:rPr>
        <w:t>;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eastAsiaTheme="minorHAnsi" w:hAnsi="Arial" w:cs="Arial"/>
          <w:i/>
          <w:color w:val="auto"/>
          <w:lang w:val="pl-PL"/>
        </w:rPr>
        <w:t xml:space="preserve">przedstawia strukturę właściwego ze względu na własne miejsce zamieszkania sądu rejonowego, okręgowego oraz apelacyjnego (na podstawie aktualnego informatora prawniczego); wykazuje specyfikę i dwuinstancyjność sądownictwa wojskowego; 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>wyjaśnia instytucje prawne części ogólnej prawa cywilnego w Rzeczypospolitej Polskiej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 (ograniczona i pełna zdolność do 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lastRenderedPageBreak/>
        <w:t>czynności prawnych osoby fizycznej; ubezwłasnowolnienie; oświadczenie woli; osoba prawna; czynności prawne i ich forma);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>wyjaśnia instytucje prawne prawa rzeczowego w Rzeczypospolitej Polskiej (współwłasność łączna i ułamkowa; ruchomość i nieruchomość; użytkowanie wieczyste, użytkowanie, posiadanie, służebność, zastaw, hipoteka);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>wyjaśnia instytucje prawne prawa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 spadkowego </w:t>
      </w:r>
      <w:r w:rsidRPr="00AB09E3">
        <w:rPr>
          <w:rFonts w:ascii="Arial" w:hAnsi="Arial" w:cs="Arial"/>
          <w:i/>
          <w:color w:val="auto"/>
          <w:lang w:val="pl-PL"/>
        </w:rPr>
        <w:t>w Rzeczypospolitej Polskiej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 (spadkobierca; formy testamentu; przyjęcie i odrzucenie spadku);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analizuje kazusy z zakresu prawa rzeczowego i spadkowego; 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wyjaśnia instytucje prawne prawa zobowiązaniowego w Rzeczypospolitej Polskiej (wierzytelność, dług; wykonanie zobowiązań i skutki ich niewykonania; odpowiedzialność kontraktowa i deliktowa); 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znajduje wzory umów najmu lokalu; przedstawia konieczne ich elementy i elementy korzystne dla wynajmującego i najemcy; 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znajduje wzory umów zlecenia i umów o dzieło; przedstawia konieczne ich elementy i elementy korzystne dla zleceniobiorcy i autora dzieła; 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>wyjaśnia instytucje prawne prawa pracy w Rzeczypospolitej Polskiej (umowa o pracę i jej rodzaje; rozwiązanie umowy o pracę i jego rodzaje; rodzaje urlopów; prawa i obowiązki pracownicze);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porównuje sytuację jednostki wynikającą z różnych form zatrudniania: umowa o pracę, umowy cywilnoprawne, prowadzenie działalności gospodarczej osoby fizycznej; 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wyjaśnia instytucje prawne prawa rodzinnego w Rzeczypospolitej Polskiej (intercyza; 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rozwód, separacja; pokrewieństwo i powinowactwo; przysposobienie); 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przedstawia podstawowe zasady post</w:t>
      </w:r>
      <w:r w:rsidRPr="00AB09E3">
        <w:rPr>
          <w:rFonts w:ascii="Arial" w:eastAsia="TimesNewRoman" w:hAnsi="Arial" w:cs="Arial"/>
          <w:i/>
          <w:color w:val="auto"/>
          <w:lang w:val="pl-PL" w:eastAsia="en-US"/>
        </w:rPr>
        <w:t>ę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 xml:space="preserve">powania cywilnego; pisze pozew w sprawie cywilnej; 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znajduje wzory apelacji i je analizuje; przedstawia</w:t>
      </w:r>
      <w:r w:rsidRPr="00AB09E3">
        <w:rPr>
          <w:rFonts w:ascii="Arial" w:eastAsiaTheme="minorHAnsi" w:hAnsi="Arial" w:cs="Arial"/>
          <w:i/>
          <w:color w:val="auto"/>
          <w:lang w:val="pl-PL"/>
        </w:rPr>
        <w:t xml:space="preserve">, w jakich sytuacjach Sąd Najwyższy </w:t>
      </w:r>
      <w:r w:rsidRPr="00AB09E3">
        <w:rPr>
          <w:rFonts w:ascii="Arial" w:hAnsi="Arial" w:cs="Arial"/>
          <w:i/>
          <w:color w:val="auto"/>
          <w:lang w:val="pl-PL"/>
        </w:rPr>
        <w:t>w Rzeczypospolitej Polskiej</w:t>
      </w:r>
      <w:r w:rsidRPr="00AB09E3">
        <w:rPr>
          <w:rFonts w:ascii="Arial" w:eastAsiaTheme="minorHAnsi" w:hAnsi="Arial" w:cs="Arial"/>
          <w:i/>
          <w:color w:val="auto"/>
          <w:lang w:val="pl-PL"/>
        </w:rPr>
        <w:t xml:space="preserve"> może rozpoznać pozytywnie skargę kasacyjną;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eastAsiaTheme="minorHAnsi" w:hAnsi="Arial" w:cs="Arial"/>
          <w:i/>
          <w:color w:val="auto"/>
          <w:lang w:val="pl-PL"/>
        </w:rPr>
        <w:t xml:space="preserve">stosuje w analizie przypadku podstawowe instytucje prawa karnego </w:t>
      </w:r>
      <w:r w:rsidRPr="00AB09E3">
        <w:rPr>
          <w:rFonts w:ascii="Arial" w:hAnsi="Arial" w:cs="Arial"/>
          <w:i/>
          <w:color w:val="auto"/>
          <w:lang w:val="pl-PL"/>
        </w:rPr>
        <w:t>w Rzeczypospolitej Polskiej</w:t>
      </w:r>
      <w:r w:rsidRPr="00AB09E3">
        <w:rPr>
          <w:rFonts w:ascii="Arial" w:eastAsiaTheme="minorHAnsi" w:hAnsi="Arial" w:cs="Arial"/>
          <w:i/>
          <w:color w:val="auto"/>
          <w:lang w:val="pl-PL"/>
        </w:rPr>
        <w:t xml:space="preserve"> (odpowiedzialno</w:t>
      </w:r>
      <w:r w:rsidRPr="00AB09E3">
        <w:rPr>
          <w:rFonts w:ascii="Arial" w:eastAsia="TimesNewRoman" w:hAnsi="Arial" w:cs="Arial"/>
          <w:i/>
          <w:color w:val="auto"/>
          <w:lang w:val="pl-PL"/>
        </w:rPr>
        <w:t xml:space="preserve">ść za wykroczenie i 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karna, wykroczenie a przest</w:t>
      </w:r>
      <w:r w:rsidRPr="00AB09E3">
        <w:rPr>
          <w:rFonts w:ascii="Arial" w:eastAsia="TimesNewRoman" w:hAnsi="Arial" w:cs="Arial"/>
          <w:i/>
          <w:color w:val="auto"/>
          <w:lang w:val="pl-PL"/>
        </w:rPr>
        <w:t>ę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pstwo, wyst</w:t>
      </w:r>
      <w:r w:rsidRPr="00AB09E3">
        <w:rPr>
          <w:rFonts w:ascii="Arial" w:eastAsia="TimesNewRoman" w:hAnsi="Arial" w:cs="Arial"/>
          <w:i/>
          <w:color w:val="auto"/>
          <w:lang w:val="pl-PL"/>
        </w:rPr>
        <w:t>ę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pek</w:t>
      </w:r>
      <w:r w:rsidRPr="00AB09E3">
        <w:rPr>
          <w:rFonts w:ascii="Arial" w:hAnsi="Arial" w:cs="Arial"/>
          <w:i/>
          <w:color w:val="auto"/>
          <w:lang w:val="pl-PL"/>
        </w:rPr>
        <w:t xml:space="preserve"> a </w:t>
      </w:r>
      <w:r w:rsidRPr="00AB09E3">
        <w:rPr>
          <w:rFonts w:ascii="Arial" w:eastAsiaTheme="minorHAnsi" w:hAnsi="Arial" w:cs="Arial"/>
          <w:i/>
          <w:color w:val="auto"/>
          <w:lang w:val="pl-PL"/>
        </w:rPr>
        <w:t xml:space="preserve">zbrodnia; </w:t>
      </w:r>
      <w:r w:rsidRPr="00AB09E3">
        <w:rPr>
          <w:rFonts w:ascii="Arial" w:hAnsi="Arial" w:cs="Arial"/>
          <w:i/>
          <w:color w:val="auto"/>
          <w:lang w:val="pl-PL"/>
        </w:rPr>
        <w:t xml:space="preserve">wina i kara; 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zasada domniemania niewinno</w:t>
      </w:r>
      <w:r w:rsidRPr="00AB09E3">
        <w:rPr>
          <w:rFonts w:ascii="Arial" w:eastAsia="TimesNewRoman" w:hAnsi="Arial" w:cs="Arial"/>
          <w:i/>
          <w:color w:val="auto"/>
          <w:lang w:val="pl-PL"/>
        </w:rPr>
        <w:t>ś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ci; prawo do obrony; wyłączenie odpowiedzialności karnej);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eastAsiaTheme="minorHAnsi" w:hAnsi="Arial" w:cs="Arial"/>
          <w:i/>
          <w:color w:val="auto"/>
          <w:lang w:val="pl-PL"/>
        </w:rPr>
        <w:t xml:space="preserve">przedstawia kary i </w:t>
      </w:r>
      <w:r w:rsidRPr="00AB09E3">
        <w:rPr>
          <w:rFonts w:ascii="Arial" w:eastAsia="TimesNewRoman" w:hAnsi="Arial" w:cs="Arial"/>
          <w:i/>
          <w:color w:val="auto"/>
          <w:lang w:val="pl-PL"/>
        </w:rPr>
        <w:t>ś</w:t>
      </w:r>
      <w:r w:rsidRPr="00AB09E3">
        <w:rPr>
          <w:rFonts w:ascii="Arial" w:eastAsiaTheme="minorHAnsi" w:hAnsi="Arial" w:cs="Arial"/>
          <w:i/>
          <w:color w:val="auto"/>
          <w:lang w:val="pl-PL"/>
        </w:rPr>
        <w:t xml:space="preserve">rodki karne unormowane w Kodeksie wykroczeń i Kodeksie karnym </w:t>
      </w:r>
      <w:r w:rsidRPr="00AB09E3">
        <w:rPr>
          <w:rFonts w:ascii="Arial" w:hAnsi="Arial" w:cs="Arial"/>
          <w:i/>
          <w:color w:val="auto"/>
          <w:lang w:val="pl-PL"/>
        </w:rPr>
        <w:t>w Rzeczypospolitej Polskiej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;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wskazuje specyfikę poszczególnych rodzajów wykroczeń w Rzeczypospolitej Polskiej (przeciwko: osobie, zdrowiu, mieniu oraz </w:t>
      </w:r>
      <w:r w:rsidRPr="00AB09E3">
        <w:rPr>
          <w:rFonts w:ascii="Arial" w:hAnsi="Arial" w:cs="Arial"/>
          <w:i/>
          <w:color w:val="auto"/>
          <w:lang w:val="pl-PL"/>
        </w:rPr>
        <w:lastRenderedPageBreak/>
        <w:t xml:space="preserve">bezpieczeństwu osób i mienia) oraz przestępstw (przeciwko: życiu i zdrowiu, wolnościom osobistym oraz mieniu); 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eastAsiaTheme="minorHAnsi" w:hAnsi="Arial" w:cs="Arial"/>
          <w:i/>
          <w:color w:val="auto"/>
          <w:lang w:val="pl-PL"/>
        </w:rPr>
        <w:t>podaje przykłady przest</w:t>
      </w:r>
      <w:r w:rsidRPr="00AB09E3">
        <w:rPr>
          <w:rFonts w:ascii="Arial" w:eastAsia="TimesNewRoman" w:hAnsi="Arial" w:cs="Arial"/>
          <w:i/>
          <w:color w:val="auto"/>
          <w:lang w:val="pl-PL"/>
        </w:rPr>
        <w:t>ę</w:t>
      </w:r>
      <w:r w:rsidRPr="00AB09E3">
        <w:rPr>
          <w:rFonts w:ascii="Arial" w:eastAsiaTheme="minorHAnsi" w:hAnsi="Arial" w:cs="Arial"/>
          <w:i/>
          <w:color w:val="auto"/>
          <w:lang w:val="pl-PL"/>
        </w:rPr>
        <w:t xml:space="preserve">pstw </w:t>
      </w:r>
      <w:r w:rsidRPr="00AB09E3">
        <w:rPr>
          <w:rFonts w:ascii="Arial" w:eastAsia="TimesNewRoman" w:hAnsi="Arial" w:cs="Arial"/>
          <w:i/>
          <w:color w:val="auto"/>
          <w:lang w:val="pl-PL"/>
        </w:rPr>
        <w:t>ś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ciganych z oskar</w:t>
      </w:r>
      <w:r w:rsidRPr="00AB09E3">
        <w:rPr>
          <w:rFonts w:ascii="Arial" w:eastAsia="TimesNewRoman" w:hAnsi="Arial" w:cs="Arial"/>
          <w:i/>
          <w:color w:val="auto"/>
          <w:lang w:val="pl-PL"/>
        </w:rPr>
        <w:t>ż</w:t>
      </w:r>
      <w:r w:rsidRPr="00AB09E3">
        <w:rPr>
          <w:rFonts w:ascii="Arial" w:eastAsiaTheme="minorHAnsi" w:hAnsi="Arial" w:cs="Arial"/>
          <w:i/>
          <w:color w:val="auto"/>
          <w:lang w:val="pl-PL"/>
        </w:rPr>
        <w:t xml:space="preserve">enia publicznego i prywatnego </w:t>
      </w:r>
      <w:r w:rsidRPr="00AB09E3">
        <w:rPr>
          <w:rFonts w:ascii="Arial" w:hAnsi="Arial" w:cs="Arial"/>
          <w:i/>
          <w:color w:val="auto"/>
          <w:lang w:val="pl-PL"/>
        </w:rPr>
        <w:t>w Rzeczypospolitej Polskiej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; wyja</w:t>
      </w:r>
      <w:r w:rsidRPr="00AB09E3">
        <w:rPr>
          <w:rFonts w:ascii="Arial" w:eastAsia="TimesNewRoman" w:hAnsi="Arial" w:cs="Arial"/>
          <w:i/>
          <w:color w:val="auto"/>
          <w:lang w:val="pl-PL"/>
        </w:rPr>
        <w:t>ś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nia rol</w:t>
      </w:r>
      <w:r w:rsidRPr="00AB09E3">
        <w:rPr>
          <w:rFonts w:ascii="Arial" w:eastAsia="TimesNewRoman" w:hAnsi="Arial" w:cs="Arial"/>
          <w:i/>
          <w:color w:val="auto"/>
          <w:lang w:val="pl-PL"/>
        </w:rPr>
        <w:t xml:space="preserve">ę prokuratora i </w:t>
      </w:r>
      <w:r w:rsidRPr="00AB09E3">
        <w:rPr>
          <w:rFonts w:ascii="Arial" w:eastAsiaTheme="minorHAnsi" w:hAnsi="Arial" w:cs="Arial"/>
          <w:i/>
          <w:color w:val="auto"/>
          <w:lang w:val="pl-PL"/>
        </w:rPr>
        <w:t>oskar</w:t>
      </w:r>
      <w:r w:rsidRPr="00AB09E3">
        <w:rPr>
          <w:rFonts w:ascii="Arial" w:eastAsia="TimesNewRoman" w:hAnsi="Arial" w:cs="Arial"/>
          <w:i/>
          <w:color w:val="auto"/>
          <w:lang w:val="pl-PL"/>
        </w:rPr>
        <w:t>ż</w:t>
      </w:r>
      <w:r w:rsidRPr="00AB09E3">
        <w:rPr>
          <w:rFonts w:ascii="Arial" w:eastAsiaTheme="minorHAnsi" w:hAnsi="Arial" w:cs="Arial"/>
          <w:i/>
          <w:color w:val="auto"/>
          <w:lang w:val="pl-PL"/>
        </w:rPr>
        <w:t xml:space="preserve">yciela posiłkowego; </w:t>
      </w:r>
      <w:r w:rsidRPr="00AB09E3">
        <w:rPr>
          <w:rFonts w:ascii="Arial" w:eastAsiaTheme="minorHAnsi" w:hAnsi="Arial" w:cs="Arial"/>
          <w:i/>
          <w:color w:val="auto"/>
          <w:lang w:val="pl-PL" w:eastAsia="en-US"/>
        </w:rPr>
        <w:t>pisze akt oskarżenia prywatnego;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>rozważa traktowanie kary jako odpłaty, sposobu resocjalizacji i oddziaływania na społeczeństwo;</w:t>
      </w:r>
    </w:p>
    <w:p w:rsidR="00AB09E3" w:rsidRPr="00AB09E3" w:rsidRDefault="00B95C0F" w:rsidP="00AB09E3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>przedstawia specyfikę alternatywnych metod rozwiązywania sporów w Rzeczypospolitej Polskiej – arbitrażu w postępowaniu cywilnym oraz mediacji w postępowaniu administracyjnym, cywilnym i karnym.</w:t>
      </w:r>
    </w:p>
    <w:p w:rsidR="00AB09E3" w:rsidRPr="00AB09E3" w:rsidRDefault="004630A5" w:rsidP="00AB09E3">
      <w:pPr>
        <w:autoSpaceDE w:val="0"/>
        <w:autoSpaceDN w:val="0"/>
        <w:adjustRightInd w:val="0"/>
        <w:rPr>
          <w:b/>
          <w:i/>
        </w:rPr>
      </w:pPr>
    </w:p>
    <w:p w:rsidR="00AB09E3" w:rsidRPr="00AB09E3" w:rsidRDefault="00B95C0F" w:rsidP="00AB09E3">
      <w:pPr>
        <w:pStyle w:val="Akapitzlist1"/>
        <w:numPr>
          <w:ilvl w:val="0"/>
          <w:numId w:val="13"/>
        </w:numPr>
        <w:spacing w:line="276" w:lineRule="auto"/>
        <w:ind w:left="323" w:hanging="181"/>
        <w:rPr>
          <w:rFonts w:ascii="Arial" w:hAnsi="Arial" w:cs="Arial"/>
          <w:i/>
          <w:color w:val="auto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Prawa człowieka i ich ochrona międzynarodowa. </w:t>
      </w:r>
      <w:proofErr w:type="spellStart"/>
      <w:r w:rsidRPr="00AB09E3">
        <w:rPr>
          <w:rFonts w:ascii="Arial" w:hAnsi="Arial" w:cs="Arial"/>
          <w:i/>
          <w:color w:val="auto"/>
        </w:rPr>
        <w:t>Ucze</w:t>
      </w:r>
      <w:r w:rsidRPr="00AB09E3">
        <w:rPr>
          <w:rFonts w:ascii="Arial" w:eastAsia="TimesNewRoman" w:hAnsi="Arial" w:cs="Arial"/>
          <w:i/>
          <w:color w:val="auto"/>
        </w:rPr>
        <w:t>ń</w:t>
      </w:r>
      <w:proofErr w:type="spellEnd"/>
      <w:r w:rsidRPr="00AB09E3">
        <w:rPr>
          <w:rFonts w:ascii="Arial" w:hAnsi="Arial" w:cs="Arial"/>
          <w:i/>
          <w:color w:val="auto"/>
        </w:rPr>
        <w:t>:</w:t>
      </w:r>
    </w:p>
    <w:p w:rsidR="00AB09E3" w:rsidRPr="00AB09E3" w:rsidRDefault="00B95C0F" w:rsidP="00AB09E3">
      <w:pPr>
        <w:pStyle w:val="Akapitzlist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>przedstawia ide</w:t>
      </w:r>
      <w:r w:rsidRPr="00AB09E3">
        <w:rPr>
          <w:rFonts w:ascii="Arial" w:eastAsia="TimesNewRoman" w:hAnsi="Arial" w:cs="Arial"/>
          <w:i/>
          <w:color w:val="auto"/>
          <w:lang w:val="pl-PL"/>
        </w:rPr>
        <w:t xml:space="preserve">ę </w:t>
      </w:r>
      <w:r w:rsidRPr="00AB09E3">
        <w:rPr>
          <w:rFonts w:ascii="Arial" w:hAnsi="Arial" w:cs="Arial"/>
          <w:i/>
          <w:color w:val="auto"/>
          <w:lang w:val="pl-PL"/>
        </w:rPr>
        <w:t>oraz historyczny rozwój praw człowieka; rozróżnia generacje praw człowieka, stosując pojęcia praw negatywnych i pozytywnych oraz wskazując na inny stopień ich ochrony;</w:t>
      </w:r>
    </w:p>
    <w:p w:rsidR="00AB09E3" w:rsidRPr="00AB09E3" w:rsidRDefault="00B95C0F" w:rsidP="00AB09E3">
      <w:pPr>
        <w:pStyle w:val="Akapitzlist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>przedstawia kwestie urzeczywistnienia wybranej wolności człowieka i stopnia jej ograniczenia związanego z prawami innych osób lub porządkiem publicznym;</w:t>
      </w:r>
    </w:p>
    <w:p w:rsidR="00AB09E3" w:rsidRPr="00AB09E3" w:rsidRDefault="00B95C0F" w:rsidP="00AB09E3">
      <w:pPr>
        <w:pStyle w:val="Akapitzlist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wymienia katalog praw i wolności z Konwencji o ochronie praw człowieka i podstawowych wolności oraz z protokołów do niej przyjętych; pisze skargę do Europejskiego Trybunału Praw Człowieka; </w:t>
      </w:r>
    </w:p>
    <w:p w:rsidR="00AB09E3" w:rsidRPr="00AB09E3" w:rsidRDefault="00B95C0F" w:rsidP="00AB09E3">
      <w:pPr>
        <w:pStyle w:val="Akapitzlist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>wymienia katalog praw i wolności z Europejskiej karty socjalnej; rozwa</w:t>
      </w:r>
      <w:r w:rsidRPr="00AB09E3">
        <w:rPr>
          <w:rFonts w:ascii="Arial" w:eastAsia="TimesNewRoman" w:hAnsi="Arial" w:cs="Arial"/>
          <w:i/>
          <w:color w:val="auto"/>
          <w:lang w:val="pl-PL"/>
        </w:rPr>
        <w:t>ż</w:t>
      </w:r>
      <w:r w:rsidRPr="00AB09E3">
        <w:rPr>
          <w:rFonts w:ascii="Arial" w:hAnsi="Arial" w:cs="Arial"/>
          <w:i/>
          <w:color w:val="auto"/>
          <w:lang w:val="pl-PL"/>
        </w:rPr>
        <w:t>a dylematy zwi</w:t>
      </w:r>
      <w:r w:rsidRPr="00AB09E3">
        <w:rPr>
          <w:rFonts w:ascii="Arial" w:eastAsia="TimesNewRoman" w:hAnsi="Arial" w:cs="Arial"/>
          <w:i/>
          <w:color w:val="auto"/>
          <w:lang w:val="pl-PL"/>
        </w:rPr>
        <w:t>ą</w:t>
      </w:r>
      <w:r w:rsidRPr="00AB09E3">
        <w:rPr>
          <w:rFonts w:ascii="Arial" w:hAnsi="Arial" w:cs="Arial"/>
          <w:i/>
          <w:color w:val="auto"/>
          <w:lang w:val="pl-PL"/>
        </w:rPr>
        <w:t>zane z prawami socjalnymi i sposobem ich realizacji przez pa</w:t>
      </w:r>
      <w:r w:rsidRPr="00AB09E3">
        <w:rPr>
          <w:rFonts w:ascii="Arial" w:eastAsia="TimesNewRoman" w:hAnsi="Arial" w:cs="Arial"/>
          <w:i/>
          <w:color w:val="auto"/>
          <w:lang w:val="pl-PL"/>
        </w:rPr>
        <w:t>ń</w:t>
      </w:r>
      <w:r w:rsidRPr="00AB09E3">
        <w:rPr>
          <w:rFonts w:ascii="Arial" w:hAnsi="Arial" w:cs="Arial"/>
          <w:i/>
          <w:color w:val="auto"/>
          <w:lang w:val="pl-PL"/>
        </w:rPr>
        <w:t xml:space="preserve">stwo; </w:t>
      </w:r>
    </w:p>
    <w:p w:rsidR="00AB09E3" w:rsidRPr="00AB09E3" w:rsidRDefault="00B95C0F" w:rsidP="00AB09E3">
      <w:pPr>
        <w:pStyle w:val="Akapitzlist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charakteryzuje system ochrony praw człowieka Organizacji Narodów Zjednoczonych; wykazuje różnice w ochronie praw na podstawie przepisów Międzynarodowego paktu praw obywatelskich i politycznych oraz Międzynarodowego paktu praw socjalnych, gospodarczych i kulturalnych; </w:t>
      </w:r>
    </w:p>
    <w:p w:rsidR="00AB09E3" w:rsidRPr="00AB09E3" w:rsidRDefault="00B95C0F" w:rsidP="00AB09E3">
      <w:pPr>
        <w:pStyle w:val="Akapitzlist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 xml:space="preserve">charakteryzuje system ochrony praw człowieka Unii Europejskiej (Karta praw podstawowych, działania Europejskiego Rzecznika Praw Obywatelskich) oraz Organizacji Bezpieczeństwa i Współpracy w Europie; </w:t>
      </w:r>
    </w:p>
    <w:p w:rsidR="00AB09E3" w:rsidRPr="00AB09E3" w:rsidRDefault="00B95C0F" w:rsidP="00AB09E3">
      <w:pPr>
        <w:pStyle w:val="Akapitzlist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>przedstawia argumenty na rzecz uniwersalno</w:t>
      </w:r>
      <w:r w:rsidRPr="00AB09E3">
        <w:rPr>
          <w:rFonts w:ascii="Arial" w:eastAsia="TimesNewRoman" w:hAnsi="Arial" w:cs="Arial"/>
          <w:i/>
          <w:color w:val="auto"/>
          <w:lang w:val="pl-PL"/>
        </w:rPr>
        <w:t>ś</w:t>
      </w:r>
      <w:r w:rsidRPr="00AB09E3">
        <w:rPr>
          <w:rFonts w:ascii="Arial" w:hAnsi="Arial" w:cs="Arial"/>
          <w:i/>
          <w:color w:val="auto"/>
          <w:lang w:val="pl-PL"/>
        </w:rPr>
        <w:t>ci praw człowieka i analizuje zastrze</w:t>
      </w:r>
      <w:r w:rsidRPr="00AB09E3">
        <w:rPr>
          <w:rFonts w:ascii="Arial" w:eastAsia="TimesNewRoman" w:hAnsi="Arial" w:cs="Arial"/>
          <w:i/>
          <w:color w:val="auto"/>
          <w:lang w:val="pl-PL"/>
        </w:rPr>
        <w:t>ż</w:t>
      </w:r>
      <w:r w:rsidRPr="00AB09E3">
        <w:rPr>
          <w:rFonts w:ascii="Arial" w:hAnsi="Arial" w:cs="Arial"/>
          <w:i/>
          <w:color w:val="auto"/>
          <w:lang w:val="pl-PL"/>
        </w:rPr>
        <w:t xml:space="preserve">enia formułowane przez jej przeciwników; </w:t>
      </w:r>
    </w:p>
    <w:p w:rsidR="00AB09E3" w:rsidRPr="00AB09E3" w:rsidRDefault="00B95C0F" w:rsidP="00AB09E3">
      <w:pPr>
        <w:pStyle w:val="Akapitzlist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>pozyskuje informacje o przypadkach potwierdzonego naruszenia praw lub wolno</w:t>
      </w:r>
      <w:r w:rsidRPr="00AB09E3">
        <w:rPr>
          <w:rFonts w:ascii="Arial" w:eastAsia="TimesNewRoman" w:hAnsi="Arial" w:cs="Arial"/>
          <w:i/>
          <w:color w:val="auto"/>
          <w:lang w:val="pl-PL"/>
        </w:rPr>
        <w:t>ś</w:t>
      </w:r>
      <w:r w:rsidRPr="00AB09E3">
        <w:rPr>
          <w:rFonts w:ascii="Arial" w:hAnsi="Arial" w:cs="Arial"/>
          <w:i/>
          <w:color w:val="auto"/>
          <w:lang w:val="pl-PL"/>
        </w:rPr>
        <w:t xml:space="preserve">ci człowieka w Rzeczypospolitej Polskiej; pisze wystąpienie publiczne w tej sprawie; </w:t>
      </w:r>
    </w:p>
    <w:p w:rsidR="00AB09E3" w:rsidRPr="00AB09E3" w:rsidRDefault="00B95C0F" w:rsidP="00AB09E3">
      <w:pPr>
        <w:pStyle w:val="Akapitzlist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>wyjaśnia znaczenie Mi</w:t>
      </w:r>
      <w:r w:rsidRPr="00AB09E3">
        <w:rPr>
          <w:rFonts w:ascii="Arial" w:eastAsia="TimesNewRoman" w:hAnsi="Arial" w:cs="Arial"/>
          <w:i/>
          <w:color w:val="auto"/>
          <w:lang w:val="pl-PL"/>
        </w:rPr>
        <w:t>ę</w:t>
      </w:r>
      <w:r w:rsidRPr="00AB09E3">
        <w:rPr>
          <w:rFonts w:ascii="Arial" w:hAnsi="Arial" w:cs="Arial"/>
          <w:i/>
          <w:color w:val="auto"/>
          <w:lang w:val="pl-PL"/>
        </w:rPr>
        <w:t xml:space="preserve">dzynarodowego Trybunału Karnego oraz Wysokiego Komisarza Narodów Zjednoczonych do Spraw </w:t>
      </w:r>
      <w:r w:rsidRPr="00AB09E3">
        <w:rPr>
          <w:rFonts w:ascii="Arial" w:hAnsi="Arial" w:cs="Arial"/>
          <w:i/>
          <w:color w:val="auto"/>
          <w:lang w:val="pl-PL"/>
        </w:rPr>
        <w:lastRenderedPageBreak/>
        <w:t>Uchod</w:t>
      </w:r>
      <w:r w:rsidRPr="00AB09E3">
        <w:rPr>
          <w:rFonts w:ascii="Arial" w:eastAsia="TimesNewRoman" w:hAnsi="Arial" w:cs="Arial"/>
          <w:i/>
          <w:color w:val="auto"/>
          <w:lang w:val="pl-PL"/>
        </w:rPr>
        <w:t>ź</w:t>
      </w:r>
      <w:r w:rsidRPr="00AB09E3">
        <w:rPr>
          <w:rFonts w:ascii="Arial" w:hAnsi="Arial" w:cs="Arial"/>
          <w:i/>
          <w:color w:val="auto"/>
          <w:lang w:val="pl-PL"/>
        </w:rPr>
        <w:t xml:space="preserve">ców dla systemu ochrony praw człowieka na </w:t>
      </w:r>
      <w:r w:rsidRPr="00AB09E3">
        <w:rPr>
          <w:rFonts w:ascii="Arial" w:eastAsia="TimesNewRoman" w:hAnsi="Arial" w:cs="Arial"/>
          <w:i/>
          <w:color w:val="auto"/>
          <w:lang w:val="pl-PL"/>
        </w:rPr>
        <w:t>ś</w:t>
      </w:r>
      <w:r w:rsidRPr="00AB09E3">
        <w:rPr>
          <w:rFonts w:ascii="Arial" w:hAnsi="Arial" w:cs="Arial"/>
          <w:i/>
          <w:color w:val="auto"/>
          <w:lang w:val="pl-PL"/>
        </w:rPr>
        <w:t>wiecie; przedstawia sytuację uchodźców we współczesnym świecie;</w:t>
      </w:r>
    </w:p>
    <w:p w:rsidR="00AB09E3" w:rsidRPr="00AB09E3" w:rsidRDefault="00B95C0F" w:rsidP="00AB09E3">
      <w:pPr>
        <w:pStyle w:val="Akapitzlist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8" w:hanging="425"/>
        <w:contextualSpacing/>
        <w:rPr>
          <w:rFonts w:ascii="Arial" w:hAnsi="Arial" w:cs="Arial"/>
          <w:i/>
          <w:color w:val="auto"/>
          <w:lang w:val="pl-PL"/>
        </w:rPr>
      </w:pPr>
      <w:r w:rsidRPr="00AB09E3">
        <w:rPr>
          <w:rFonts w:ascii="Arial" w:hAnsi="Arial" w:cs="Arial"/>
          <w:i/>
          <w:color w:val="auto"/>
          <w:lang w:val="pl-PL"/>
        </w:rPr>
        <w:t>charakteryzuje działania organizacji pozarz</w:t>
      </w:r>
      <w:r w:rsidRPr="00AB09E3">
        <w:rPr>
          <w:rFonts w:ascii="Arial" w:eastAsia="TimesNewRoman" w:hAnsi="Arial" w:cs="Arial"/>
          <w:i/>
          <w:color w:val="auto"/>
          <w:lang w:val="pl-PL"/>
        </w:rPr>
        <w:t>ą</w:t>
      </w:r>
      <w:r w:rsidRPr="00AB09E3">
        <w:rPr>
          <w:rFonts w:ascii="Arial" w:hAnsi="Arial" w:cs="Arial"/>
          <w:i/>
          <w:color w:val="auto"/>
          <w:lang w:val="pl-PL"/>
        </w:rPr>
        <w:t>dowych zajmuj</w:t>
      </w:r>
      <w:r w:rsidRPr="00AB09E3">
        <w:rPr>
          <w:rFonts w:ascii="Arial" w:eastAsia="TimesNewRoman" w:hAnsi="Arial" w:cs="Arial"/>
          <w:i/>
          <w:color w:val="auto"/>
          <w:lang w:val="pl-PL"/>
        </w:rPr>
        <w:t>ą</w:t>
      </w:r>
      <w:r w:rsidRPr="00AB09E3">
        <w:rPr>
          <w:rFonts w:ascii="Arial" w:hAnsi="Arial" w:cs="Arial"/>
          <w:i/>
          <w:color w:val="auto"/>
          <w:lang w:val="pl-PL"/>
        </w:rPr>
        <w:t>cych si</w:t>
      </w:r>
      <w:r w:rsidRPr="00AB09E3">
        <w:rPr>
          <w:rFonts w:ascii="Arial" w:eastAsia="TimesNewRoman" w:hAnsi="Arial" w:cs="Arial"/>
          <w:i/>
          <w:color w:val="auto"/>
          <w:lang w:val="pl-PL"/>
        </w:rPr>
        <w:t xml:space="preserve">ę </w:t>
      </w:r>
      <w:r w:rsidRPr="00AB09E3">
        <w:rPr>
          <w:rFonts w:ascii="Arial" w:hAnsi="Arial" w:cs="Arial"/>
          <w:i/>
          <w:color w:val="auto"/>
          <w:lang w:val="pl-PL"/>
        </w:rPr>
        <w:t>ochron</w:t>
      </w:r>
      <w:r w:rsidRPr="00AB09E3">
        <w:rPr>
          <w:rFonts w:ascii="Arial" w:eastAsia="TimesNewRoman" w:hAnsi="Arial" w:cs="Arial"/>
          <w:i/>
          <w:color w:val="auto"/>
          <w:lang w:val="pl-PL"/>
        </w:rPr>
        <w:t xml:space="preserve">ą </w:t>
      </w:r>
      <w:r w:rsidRPr="00AB09E3">
        <w:rPr>
          <w:rFonts w:ascii="Arial" w:hAnsi="Arial" w:cs="Arial"/>
          <w:i/>
          <w:color w:val="auto"/>
          <w:lang w:val="pl-PL"/>
        </w:rPr>
        <w:t>praw człowieka, odnosząc się do przykładów aktywności kilku z nich.</w:t>
      </w:r>
    </w:p>
    <w:p w:rsidR="00AB09E3" w:rsidRPr="00AB09E3" w:rsidRDefault="004630A5" w:rsidP="006C2BD3">
      <w:pPr>
        <w:pStyle w:val="menfont"/>
        <w:rPr>
          <w:i/>
        </w:rPr>
      </w:pPr>
    </w:p>
    <w:p w:rsidR="006C2BD3" w:rsidRDefault="00B95C0F" w:rsidP="00BD14AD">
      <w:pPr>
        <w:pStyle w:val="menfont"/>
        <w:spacing w:line="276" w:lineRule="auto"/>
        <w:jc w:val="both"/>
        <w:rPr>
          <w:i/>
        </w:rPr>
      </w:pPr>
      <w:r>
        <w:t xml:space="preserve">Wybrane elementy edukacji prawnej są również obecne w podstawie programowej innych przedmiotów np. </w:t>
      </w:r>
      <w:r w:rsidRPr="0051097E">
        <w:rPr>
          <w:i/>
        </w:rPr>
        <w:t>informatyk</w:t>
      </w:r>
      <w:r>
        <w:rPr>
          <w:i/>
        </w:rPr>
        <w:t>a</w:t>
      </w:r>
      <w:r>
        <w:t xml:space="preserve">, </w:t>
      </w:r>
      <w:r w:rsidRPr="0051097E">
        <w:rPr>
          <w:i/>
        </w:rPr>
        <w:t>podstawy przedsiębiorczości</w:t>
      </w:r>
      <w:r>
        <w:t xml:space="preserve">,  </w:t>
      </w:r>
      <w:r w:rsidRPr="0051097E">
        <w:rPr>
          <w:i/>
        </w:rPr>
        <w:t>edukacja dla bezpieczeństwa</w:t>
      </w:r>
      <w:r>
        <w:rPr>
          <w:i/>
        </w:rPr>
        <w:t xml:space="preserve">, wychowanie fizyczne, etyka. </w:t>
      </w:r>
    </w:p>
    <w:p w:rsidR="0051097E" w:rsidRDefault="004630A5" w:rsidP="00BD14AD">
      <w:pPr>
        <w:pStyle w:val="menfont"/>
        <w:spacing w:line="276" w:lineRule="auto"/>
        <w:jc w:val="both"/>
        <w:rPr>
          <w:i/>
        </w:rPr>
      </w:pPr>
    </w:p>
    <w:p w:rsidR="0051097E" w:rsidRDefault="00B95C0F" w:rsidP="00BD14AD">
      <w:pPr>
        <w:pStyle w:val="menfont"/>
        <w:spacing w:line="276" w:lineRule="auto"/>
        <w:jc w:val="both"/>
      </w:pPr>
      <w:r>
        <w:t>Informuję również, że tekst Konstytucji RP jest publicznie dostępny w szczególności:</w:t>
      </w:r>
    </w:p>
    <w:p w:rsidR="0051097E" w:rsidRDefault="00B95C0F" w:rsidP="00BD14AD">
      <w:pPr>
        <w:pStyle w:val="menfont"/>
        <w:numPr>
          <w:ilvl w:val="0"/>
          <w:numId w:val="16"/>
        </w:numPr>
        <w:spacing w:line="276" w:lineRule="auto"/>
        <w:jc w:val="both"/>
      </w:pPr>
      <w:r>
        <w:t xml:space="preserve">w internetowym systemie aktów prawnych Sejmu RP </w:t>
      </w:r>
      <w:hyperlink r:id="rId8" w:history="1">
        <w:r>
          <w:rPr>
            <w:rStyle w:val="Hipercze"/>
          </w:rPr>
          <w:t>http://prawo.sejm.gov.pl/</w:t>
        </w:r>
      </w:hyperlink>
    </w:p>
    <w:p w:rsidR="00BD14AD" w:rsidRPr="0051097E" w:rsidRDefault="00B95C0F" w:rsidP="00BD14AD">
      <w:pPr>
        <w:pStyle w:val="menfont"/>
        <w:numPr>
          <w:ilvl w:val="0"/>
          <w:numId w:val="16"/>
        </w:numPr>
        <w:spacing w:line="276" w:lineRule="auto"/>
        <w:jc w:val="both"/>
      </w:pPr>
      <w:r>
        <w:t xml:space="preserve">na stronie internatowej Rządowego Centrum Legislacji </w:t>
      </w:r>
      <w:hyperlink r:id="rId9" w:history="1">
        <w:r>
          <w:rPr>
            <w:rStyle w:val="Hipercze"/>
          </w:rPr>
          <w:t>https://dziennikiurzedowe.gov.pl/dzienniki.html</w:t>
        </w:r>
      </w:hyperlink>
    </w:p>
    <w:p w:rsidR="006C2BD3" w:rsidRDefault="004630A5" w:rsidP="00BD14AD">
      <w:pPr>
        <w:pStyle w:val="menfont"/>
        <w:spacing w:line="276" w:lineRule="auto"/>
      </w:pPr>
    </w:p>
    <w:p w:rsidR="00BD14AD" w:rsidRDefault="004630A5" w:rsidP="006C2BD3">
      <w:pPr>
        <w:pStyle w:val="menfont"/>
      </w:pPr>
    </w:p>
    <w:p w:rsidR="00BD14AD" w:rsidRDefault="004630A5" w:rsidP="006C2BD3">
      <w:pPr>
        <w:pStyle w:val="menfont"/>
      </w:pPr>
    </w:p>
    <w:p w:rsidR="006C2BD3" w:rsidRDefault="00B95C0F" w:rsidP="006C2BD3">
      <w:pPr>
        <w:pStyle w:val="menfont"/>
      </w:pPr>
      <w:r>
        <w:t xml:space="preserve">            Z wyrazami szacunku, </w:t>
      </w:r>
    </w:p>
    <w:p w:rsidR="006C2BD3" w:rsidRPr="00157E02" w:rsidRDefault="00B95C0F" w:rsidP="006C2BD3">
      <w:pPr>
        <w:pStyle w:val="menfont"/>
      </w:pPr>
      <w:r>
        <w:rPr>
          <w:rFonts w:ascii="Times New Roman" w:hAnsi="Times New Roman" w:cs="Times New Roman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2609850" cy="9144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2BD3" w:rsidRDefault="00B95C0F" w:rsidP="006C2BD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Alina Teresa Sarnecka</w:t>
                            </w:r>
                            <w:bookmarkEnd w:id="4"/>
                          </w:p>
                          <w:p w:rsidR="006C2BD3" w:rsidRDefault="00B95C0F" w:rsidP="006C2BD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Dyrektor</w:t>
                            </w:r>
                            <w:bookmarkEnd w:id="5"/>
                          </w:p>
                          <w:p w:rsidR="006C2BD3" w:rsidRPr="006C626F" w:rsidRDefault="00B95C0F" w:rsidP="006C2BD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6" w:name="ezdPracownikWydzial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Departament Podręczników, Programów i Innowacji</w:t>
                            </w:r>
                            <w:bookmarkEnd w:id="6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5" type="#_x0000_t202" style="height:1in;margin-left:0;margin-top:21.9pt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6C2BD3" w:rsidP="006C2BD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Alina Teresa Sarnecka</w:t>
                      </w:r>
                      <w:bookmarkEnd w:id="6"/>
                    </w:p>
                    <w:p w:rsidR="006C2BD3" w:rsidP="006C2BD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7" w:name="ezdPracownikStanowisko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Dyrektor</w:t>
                      </w:r>
                      <w:bookmarkEnd w:id="7"/>
                    </w:p>
                    <w:p w:rsidR="006C2BD3" w:rsidRPr="006C626F" w:rsidP="006C2BD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8" w:name="ezdPracownikWydzial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Departament Podręczników, Programów i Innowacji</w:t>
                      </w:r>
                      <w:bookmarkEnd w:id="8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182B" w:rsidRPr="006C2BD3" w:rsidRDefault="004630A5" w:rsidP="006C2BD3"/>
    <w:sectPr w:rsidR="00C1182B" w:rsidRPr="006C2BD3" w:rsidSect="005D040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0A5" w:rsidRDefault="004630A5">
      <w:r>
        <w:separator/>
      </w:r>
    </w:p>
  </w:endnote>
  <w:endnote w:type="continuationSeparator" w:id="0">
    <w:p w:rsidR="004630A5" w:rsidRDefault="0046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82B" w:rsidRPr="00A3676F" w:rsidRDefault="00B95C0F" w:rsidP="00C1182B">
    <w:pPr>
      <w:pStyle w:val="Nagwek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M</w:t>
    </w:r>
    <w:r w:rsidRPr="00A3676F">
      <w:rPr>
        <w:rFonts w:asciiTheme="majorHAnsi" w:hAnsiTheme="majorHAnsi"/>
        <w:sz w:val="20"/>
        <w:szCs w:val="20"/>
      </w:rPr>
      <w:t xml:space="preserve">INISTERSTWO EDUKACJI NARODOWEJ </w:t>
    </w:r>
  </w:p>
  <w:p w:rsidR="00C1182B" w:rsidRPr="00A3676F" w:rsidRDefault="00B95C0F" w:rsidP="00C1182B">
    <w:pPr>
      <w:pStyle w:val="Nagwek"/>
      <w:jc w:val="center"/>
      <w:rPr>
        <w:rFonts w:asciiTheme="majorHAnsi" w:hAnsiTheme="majorHAnsi"/>
        <w:sz w:val="18"/>
        <w:szCs w:val="18"/>
      </w:rPr>
    </w:pPr>
    <w:r w:rsidRPr="00A3676F">
      <w:rPr>
        <w:rFonts w:asciiTheme="majorHAnsi" w:hAnsiTheme="majorHAnsi"/>
        <w:sz w:val="18"/>
        <w:szCs w:val="18"/>
      </w:rPr>
      <w:t xml:space="preserve">DEPARTAMENT PODRĘCZNIKÓW, PROGRAMÓW I INNOWACJI </w:t>
    </w:r>
  </w:p>
  <w:p w:rsidR="00C1182B" w:rsidRPr="0051097E" w:rsidRDefault="00B95C0F" w:rsidP="00C1182B">
    <w:pPr>
      <w:pStyle w:val="Nagwek"/>
      <w:jc w:val="center"/>
      <w:rPr>
        <w:rFonts w:asciiTheme="majorHAnsi" w:hAnsiTheme="majorHAnsi"/>
        <w:sz w:val="16"/>
        <w:szCs w:val="16"/>
      </w:rPr>
    </w:pPr>
    <w:r w:rsidRPr="00A3676F">
      <w:rPr>
        <w:rFonts w:asciiTheme="majorHAnsi" w:hAnsiTheme="majorHAnsi"/>
        <w:sz w:val="16"/>
        <w:szCs w:val="16"/>
      </w:rPr>
      <w:t xml:space="preserve">Al. Szucha 25, 00-918 Warszawa, </w:t>
    </w:r>
    <w:r w:rsidRPr="00A3676F">
      <w:rPr>
        <w:rFonts w:ascii="Cambria" w:hAnsi="Cambria"/>
        <w:sz w:val="16"/>
        <w:szCs w:val="16"/>
      </w:rPr>
      <w:t xml:space="preserve">tel. </w:t>
    </w:r>
    <w:r w:rsidRPr="0051097E">
      <w:rPr>
        <w:rFonts w:ascii="Cambria" w:hAnsi="Cambria"/>
        <w:sz w:val="16"/>
        <w:szCs w:val="16"/>
      </w:rPr>
      <w:t xml:space="preserve">+ 48 22 34 792, fax +48 22 34 74 160, e-mail: </w:t>
    </w:r>
    <w:hyperlink r:id="rId1" w:history="1">
      <w:r w:rsidRPr="0051097E">
        <w:rPr>
          <w:rFonts w:asciiTheme="majorHAnsi" w:hAnsiTheme="majorHAnsi"/>
          <w:sz w:val="16"/>
          <w:szCs w:val="16"/>
        </w:rPr>
        <w:t>Sekretariat.DPPI@men.gov.pl</w:t>
      </w:r>
    </w:hyperlink>
    <w:r w:rsidRPr="0051097E">
      <w:rPr>
        <w:rFonts w:asciiTheme="majorHAnsi" w:hAnsiTheme="majorHAnsi"/>
        <w:sz w:val="16"/>
        <w:szCs w:val="16"/>
      </w:rPr>
      <w:t>, www.men.gov.pl</w:t>
    </w:r>
  </w:p>
  <w:p w:rsidR="007C2E1F" w:rsidRPr="0051097E" w:rsidRDefault="004630A5" w:rsidP="00C118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82B" w:rsidRPr="00A3676F" w:rsidRDefault="00B95C0F" w:rsidP="00C1182B">
    <w:pPr>
      <w:pStyle w:val="Nagwek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M</w:t>
    </w:r>
    <w:r w:rsidRPr="00A3676F">
      <w:rPr>
        <w:rFonts w:asciiTheme="majorHAnsi" w:hAnsiTheme="majorHAnsi"/>
        <w:sz w:val="20"/>
        <w:szCs w:val="20"/>
      </w:rPr>
      <w:t xml:space="preserve">INISTERSTWO EDUKACJI NARODOWEJ </w:t>
    </w:r>
  </w:p>
  <w:p w:rsidR="00C1182B" w:rsidRPr="00A3676F" w:rsidRDefault="00B95C0F" w:rsidP="00C1182B">
    <w:pPr>
      <w:pStyle w:val="Nagwek"/>
      <w:jc w:val="center"/>
      <w:rPr>
        <w:rFonts w:asciiTheme="majorHAnsi" w:hAnsiTheme="majorHAnsi"/>
        <w:sz w:val="18"/>
        <w:szCs w:val="18"/>
      </w:rPr>
    </w:pPr>
    <w:r w:rsidRPr="00A3676F">
      <w:rPr>
        <w:rFonts w:asciiTheme="majorHAnsi" w:hAnsiTheme="majorHAnsi"/>
        <w:sz w:val="18"/>
        <w:szCs w:val="18"/>
      </w:rPr>
      <w:t xml:space="preserve">DEPARTAMENT PODRĘCZNIKÓW, PROGRAMÓW I INNOWACJI </w:t>
    </w:r>
  </w:p>
  <w:p w:rsidR="00C1182B" w:rsidRPr="0051097E" w:rsidRDefault="00B95C0F" w:rsidP="00C1182B">
    <w:pPr>
      <w:pStyle w:val="Nagwek"/>
      <w:jc w:val="center"/>
      <w:rPr>
        <w:rFonts w:asciiTheme="majorHAnsi" w:hAnsiTheme="majorHAnsi"/>
        <w:sz w:val="16"/>
        <w:szCs w:val="16"/>
      </w:rPr>
    </w:pPr>
    <w:r w:rsidRPr="00A3676F">
      <w:rPr>
        <w:rFonts w:asciiTheme="majorHAnsi" w:hAnsiTheme="majorHAnsi"/>
        <w:sz w:val="16"/>
        <w:szCs w:val="16"/>
      </w:rPr>
      <w:t xml:space="preserve">Al. Szucha 25, 00-918 Warszawa, </w:t>
    </w:r>
    <w:r w:rsidRPr="00A3676F">
      <w:rPr>
        <w:rFonts w:ascii="Cambria" w:hAnsi="Cambria"/>
        <w:sz w:val="16"/>
        <w:szCs w:val="16"/>
      </w:rPr>
      <w:t xml:space="preserve">tel. </w:t>
    </w:r>
    <w:r w:rsidRPr="0051097E">
      <w:rPr>
        <w:rFonts w:ascii="Cambria" w:hAnsi="Cambria"/>
        <w:sz w:val="16"/>
        <w:szCs w:val="16"/>
      </w:rPr>
      <w:t xml:space="preserve">+ 48 22 34 74 792, fax +48 22 34 74 160, e-mail: </w:t>
    </w:r>
    <w:hyperlink r:id="rId1" w:history="1">
      <w:r w:rsidRPr="0051097E">
        <w:rPr>
          <w:rFonts w:asciiTheme="majorHAnsi" w:hAnsiTheme="majorHAnsi"/>
          <w:sz w:val="16"/>
          <w:szCs w:val="16"/>
        </w:rPr>
        <w:t>Sekretariat.DPPI@men.gov.pl</w:t>
      </w:r>
    </w:hyperlink>
    <w:r w:rsidRPr="0051097E">
      <w:rPr>
        <w:rFonts w:asciiTheme="majorHAnsi" w:hAnsiTheme="majorHAnsi"/>
        <w:sz w:val="16"/>
        <w:szCs w:val="16"/>
      </w:rPr>
      <w:t>, www.men.gov.pl</w:t>
    </w:r>
  </w:p>
  <w:p w:rsidR="007C2E1F" w:rsidRPr="0051097E" w:rsidRDefault="004630A5" w:rsidP="00C118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0A5" w:rsidRDefault="004630A5">
      <w:r>
        <w:separator/>
      </w:r>
    </w:p>
  </w:footnote>
  <w:footnote w:type="continuationSeparator" w:id="0">
    <w:p w:rsidR="004630A5" w:rsidRDefault="004630A5">
      <w:r>
        <w:continuationSeparator/>
      </w:r>
    </w:p>
  </w:footnote>
  <w:footnote w:id="1">
    <w:p w:rsidR="003970AA" w:rsidRPr="00AB09E3" w:rsidRDefault="00B95C0F" w:rsidP="00AB09E3">
      <w:pPr>
        <w:pStyle w:val="menfont"/>
        <w:jc w:val="both"/>
        <w:rPr>
          <w:sz w:val="20"/>
          <w:szCs w:val="20"/>
        </w:rPr>
      </w:pPr>
      <w:r w:rsidRPr="00264843">
        <w:rPr>
          <w:rStyle w:val="Odwoanieprzypisudolnego"/>
          <w:sz w:val="20"/>
          <w:szCs w:val="20"/>
        </w:rPr>
        <w:footnoteRef/>
      </w:r>
      <w:r w:rsidRPr="00264843">
        <w:rPr>
          <w:sz w:val="20"/>
          <w:szCs w:val="20"/>
        </w:rPr>
        <w:t xml:space="preserve"> Rozporządzenie Ministra Edukacji Narodowej z dnia 14 lutego 2017 r.</w:t>
      </w:r>
      <w:r w:rsidRPr="00264843">
        <w:rPr>
          <w:b/>
          <w:sz w:val="20"/>
          <w:szCs w:val="20"/>
        </w:rPr>
        <w:t xml:space="preserve"> </w:t>
      </w:r>
      <w:r w:rsidRPr="00264843">
        <w:rPr>
          <w:sz w:val="20"/>
          <w:szCs w:val="20"/>
        </w:rPr>
        <w:t xml:space="preserve">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</w:t>
      </w:r>
      <w:hyperlink r:id="rId1" w:history="1">
        <w:r w:rsidRPr="00264843">
          <w:rPr>
            <w:sz w:val="20"/>
            <w:szCs w:val="20"/>
            <w:u w:val="single"/>
          </w:rPr>
          <w:t>Dz.U. z 2017. poz. 356</w:t>
        </w:r>
      </w:hyperlink>
      <w:r>
        <w:rPr>
          <w:sz w:val="20"/>
          <w:szCs w:val="20"/>
          <w:u w:val="single"/>
        </w:rPr>
        <w:t>, ze zm.</w:t>
      </w:r>
      <w:r w:rsidRPr="00264843">
        <w:rPr>
          <w:sz w:val="20"/>
          <w:szCs w:val="20"/>
          <w:u w:val="single"/>
        </w:rPr>
        <w:t>)</w:t>
      </w:r>
    </w:p>
  </w:footnote>
  <w:footnote w:id="2">
    <w:p w:rsidR="00264843" w:rsidRPr="00264843" w:rsidRDefault="00B95C0F" w:rsidP="00264843">
      <w:pPr>
        <w:pStyle w:val="menfont"/>
        <w:jc w:val="both"/>
        <w:rPr>
          <w:sz w:val="20"/>
          <w:szCs w:val="20"/>
        </w:rPr>
      </w:pPr>
      <w:r w:rsidRPr="00AB09E3">
        <w:rPr>
          <w:sz w:val="20"/>
          <w:szCs w:val="20"/>
          <w:vertAlign w:val="superscript"/>
        </w:rPr>
        <w:footnoteRef/>
      </w:r>
      <w:r w:rsidRPr="00AB09E3">
        <w:rPr>
          <w:sz w:val="20"/>
          <w:szCs w:val="20"/>
          <w:vertAlign w:val="superscript"/>
        </w:rPr>
        <w:t xml:space="preserve"> </w:t>
      </w:r>
      <w:r w:rsidRPr="00264843">
        <w:rPr>
          <w:sz w:val="20"/>
          <w:szCs w:val="20"/>
        </w:rPr>
        <w:t>Rozporządzenie Ministra Edukacji Narodowej z dnia 30 stycznia 2018 r.</w:t>
      </w:r>
      <w:r>
        <w:rPr>
          <w:sz w:val="20"/>
          <w:szCs w:val="20"/>
        </w:rPr>
        <w:t xml:space="preserve"> </w:t>
      </w:r>
      <w:r w:rsidRPr="00264843">
        <w:rPr>
          <w:sz w:val="20"/>
          <w:szCs w:val="20"/>
        </w:rPr>
        <w:t xml:space="preserve">w sprawie podstawy programowej kształcenia ogólnego dla liceum ogólnokształcącego, technikum oraz branżowej szkoły II stopnia </w:t>
      </w:r>
      <w:hyperlink r:id="rId2" w:history="1">
        <w:r w:rsidRPr="00264843">
          <w:rPr>
            <w:sz w:val="20"/>
            <w:szCs w:val="20"/>
          </w:rPr>
          <w:t>(Dz.U. z 2018 r. poz. 467)</w:t>
        </w:r>
      </w:hyperlink>
      <w:r w:rsidRPr="00264843">
        <w:rPr>
          <w:sz w:val="20"/>
          <w:szCs w:val="20"/>
        </w:rPr>
        <w:t xml:space="preserve">. </w:t>
      </w:r>
    </w:p>
    <w:p w:rsidR="00264843" w:rsidRPr="00264843" w:rsidRDefault="004630A5" w:rsidP="00264843">
      <w:pPr>
        <w:pStyle w:val="menfont"/>
        <w:jc w:val="both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1F" w:rsidRDefault="00B95C0F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A0" w:rsidRPr="000B0CA0" w:rsidRDefault="00B95C0F" w:rsidP="000E5C21">
    <w:pPr>
      <w:pStyle w:val="Nagwek"/>
      <w:jc w:val="center"/>
      <w:rPr>
        <w:rFonts w:ascii="Cambria" w:hAnsi="Cambria"/>
        <w:color w:val="7F7F7F" w:themeColor="text1" w:themeTint="80"/>
        <w:sz w:val="32"/>
        <w:szCs w:val="26"/>
      </w:rPr>
    </w:pPr>
    <w:r w:rsidRPr="000B0CA0">
      <w:rPr>
        <w:rFonts w:ascii="Cambria" w:hAnsi="Cambria"/>
        <w:color w:val="7F7F7F" w:themeColor="text1" w:themeTint="80"/>
        <w:sz w:val="32"/>
        <w:szCs w:val="26"/>
      </w:rPr>
      <w:t>MINISTERSTWO EDUKACJI NARODOWEJ</w:t>
    </w:r>
  </w:p>
  <w:p w:rsidR="000B0CA0" w:rsidRDefault="00B95C0F" w:rsidP="000E5C21">
    <w:pPr>
      <w:pStyle w:val="Nagwek"/>
      <w:jc w:val="center"/>
      <w:rPr>
        <w:noProof/>
      </w:rPr>
    </w:pPr>
    <w:r>
      <w:rPr>
        <w:rFonts w:asciiTheme="majorHAnsi" w:hAnsiTheme="majorHAnsi"/>
        <w:color w:val="7F7F7F" w:themeColor="text1" w:themeTint="80"/>
        <w:sz w:val="26"/>
        <w:szCs w:val="26"/>
      </w:rPr>
      <w:t>DEPARTAMENT PODRĘCZNIKÓW, PROGRAMÓW I INNOWACJI</w:t>
    </w:r>
  </w:p>
  <w:p w:rsidR="0021200D" w:rsidRDefault="00B95C0F" w:rsidP="000B0CA0">
    <w:pPr>
      <w:pStyle w:val="Nagwek"/>
      <w:spacing w:after="240"/>
      <w:jc w:val="center"/>
      <w:rPr>
        <w:noProof/>
      </w:rPr>
    </w:pPr>
    <w:r w:rsidRPr="00053F41">
      <w:rPr>
        <w:rFonts w:ascii="Cambria" w:hAnsi="Cambria"/>
        <w:sz w:val="20"/>
        <w:szCs w:val="20"/>
      </w:rPr>
      <w:t>______________________________________________</w:t>
    </w:r>
  </w:p>
  <w:p w:rsidR="007C2E1F" w:rsidRDefault="00B95C0F" w:rsidP="000B0CA0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1" layoutInCell="0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1B06"/>
    <w:multiLevelType w:val="hybridMultilevel"/>
    <w:tmpl w:val="D3EC9F26"/>
    <w:lvl w:ilvl="0" w:tplc="3EF8FE5A">
      <w:start w:val="1"/>
      <w:numFmt w:val="decimal"/>
      <w:lvlText w:val="%1)"/>
      <w:lvlJc w:val="left"/>
      <w:pPr>
        <w:ind w:left="720" w:hanging="360"/>
      </w:pPr>
    </w:lvl>
    <w:lvl w:ilvl="1" w:tplc="723E56C2">
      <w:start w:val="1"/>
      <w:numFmt w:val="lowerLetter"/>
      <w:lvlText w:val="%2."/>
      <w:lvlJc w:val="left"/>
      <w:pPr>
        <w:ind w:left="1440" w:hanging="360"/>
      </w:pPr>
    </w:lvl>
    <w:lvl w:ilvl="2" w:tplc="A9B8934A">
      <w:start w:val="1"/>
      <w:numFmt w:val="lowerRoman"/>
      <w:lvlText w:val="%3."/>
      <w:lvlJc w:val="right"/>
      <w:pPr>
        <w:ind w:left="2160" w:hanging="180"/>
      </w:pPr>
    </w:lvl>
    <w:lvl w:ilvl="3" w:tplc="21C6F4A6">
      <w:start w:val="1"/>
      <w:numFmt w:val="decimal"/>
      <w:lvlText w:val="%4."/>
      <w:lvlJc w:val="left"/>
      <w:pPr>
        <w:ind w:left="2880" w:hanging="360"/>
      </w:pPr>
    </w:lvl>
    <w:lvl w:ilvl="4" w:tplc="0DFA84E6">
      <w:start w:val="1"/>
      <w:numFmt w:val="lowerLetter"/>
      <w:lvlText w:val="%5."/>
      <w:lvlJc w:val="left"/>
      <w:pPr>
        <w:ind w:left="3600" w:hanging="360"/>
      </w:pPr>
    </w:lvl>
    <w:lvl w:ilvl="5" w:tplc="F3B61EEE">
      <w:start w:val="1"/>
      <w:numFmt w:val="lowerRoman"/>
      <w:lvlText w:val="%6."/>
      <w:lvlJc w:val="right"/>
      <w:pPr>
        <w:ind w:left="4320" w:hanging="180"/>
      </w:pPr>
    </w:lvl>
    <w:lvl w:ilvl="6" w:tplc="16CE1A88">
      <w:start w:val="1"/>
      <w:numFmt w:val="decimal"/>
      <w:lvlText w:val="%7."/>
      <w:lvlJc w:val="left"/>
      <w:pPr>
        <w:ind w:left="5040" w:hanging="360"/>
      </w:pPr>
    </w:lvl>
    <w:lvl w:ilvl="7" w:tplc="55C4CB10">
      <w:start w:val="1"/>
      <w:numFmt w:val="lowerLetter"/>
      <w:lvlText w:val="%8."/>
      <w:lvlJc w:val="left"/>
      <w:pPr>
        <w:ind w:left="5760" w:hanging="360"/>
      </w:pPr>
    </w:lvl>
    <w:lvl w:ilvl="8" w:tplc="BC04A0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293A"/>
    <w:multiLevelType w:val="hybridMultilevel"/>
    <w:tmpl w:val="9B0A4C26"/>
    <w:lvl w:ilvl="0" w:tplc="7C9E3416">
      <w:start w:val="1"/>
      <w:numFmt w:val="upperRoman"/>
      <w:lvlText w:val="%1."/>
      <w:lvlJc w:val="right"/>
      <w:pPr>
        <w:ind w:left="1440" w:hanging="360"/>
      </w:pPr>
    </w:lvl>
    <w:lvl w:ilvl="1" w:tplc="7B6C7D72" w:tentative="1">
      <w:start w:val="1"/>
      <w:numFmt w:val="lowerLetter"/>
      <w:lvlText w:val="%2."/>
      <w:lvlJc w:val="left"/>
      <w:pPr>
        <w:ind w:left="2160" w:hanging="360"/>
      </w:pPr>
    </w:lvl>
    <w:lvl w:ilvl="2" w:tplc="E6D89102" w:tentative="1">
      <w:start w:val="1"/>
      <w:numFmt w:val="lowerRoman"/>
      <w:lvlText w:val="%3."/>
      <w:lvlJc w:val="right"/>
      <w:pPr>
        <w:ind w:left="2880" w:hanging="180"/>
      </w:pPr>
    </w:lvl>
    <w:lvl w:ilvl="3" w:tplc="9A96DF54" w:tentative="1">
      <w:start w:val="1"/>
      <w:numFmt w:val="decimal"/>
      <w:lvlText w:val="%4."/>
      <w:lvlJc w:val="left"/>
      <w:pPr>
        <w:ind w:left="3600" w:hanging="360"/>
      </w:pPr>
    </w:lvl>
    <w:lvl w:ilvl="4" w:tplc="311694B8" w:tentative="1">
      <w:start w:val="1"/>
      <w:numFmt w:val="lowerLetter"/>
      <w:lvlText w:val="%5."/>
      <w:lvlJc w:val="left"/>
      <w:pPr>
        <w:ind w:left="4320" w:hanging="360"/>
      </w:pPr>
    </w:lvl>
    <w:lvl w:ilvl="5" w:tplc="DBE6C42A" w:tentative="1">
      <w:start w:val="1"/>
      <w:numFmt w:val="lowerRoman"/>
      <w:lvlText w:val="%6."/>
      <w:lvlJc w:val="right"/>
      <w:pPr>
        <w:ind w:left="5040" w:hanging="180"/>
      </w:pPr>
    </w:lvl>
    <w:lvl w:ilvl="6" w:tplc="179E791C" w:tentative="1">
      <w:start w:val="1"/>
      <w:numFmt w:val="decimal"/>
      <w:lvlText w:val="%7."/>
      <w:lvlJc w:val="left"/>
      <w:pPr>
        <w:ind w:left="5760" w:hanging="360"/>
      </w:pPr>
    </w:lvl>
    <w:lvl w:ilvl="7" w:tplc="931291AC" w:tentative="1">
      <w:start w:val="1"/>
      <w:numFmt w:val="lowerLetter"/>
      <w:lvlText w:val="%8."/>
      <w:lvlJc w:val="left"/>
      <w:pPr>
        <w:ind w:left="6480" w:hanging="360"/>
      </w:pPr>
    </w:lvl>
    <w:lvl w:ilvl="8" w:tplc="F070A4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CC2A23"/>
    <w:multiLevelType w:val="hybridMultilevel"/>
    <w:tmpl w:val="774ACB0A"/>
    <w:lvl w:ilvl="0" w:tplc="E146FFE2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28A7A78" w:tentative="1">
      <w:start w:val="1"/>
      <w:numFmt w:val="lowerLetter"/>
      <w:lvlText w:val="%2."/>
      <w:lvlJc w:val="left"/>
      <w:pPr>
        <w:ind w:left="1440" w:hanging="360"/>
      </w:pPr>
    </w:lvl>
    <w:lvl w:ilvl="2" w:tplc="C1B6FC78" w:tentative="1">
      <w:start w:val="1"/>
      <w:numFmt w:val="lowerRoman"/>
      <w:lvlText w:val="%3."/>
      <w:lvlJc w:val="right"/>
      <w:pPr>
        <w:ind w:left="2160" w:hanging="180"/>
      </w:pPr>
    </w:lvl>
    <w:lvl w:ilvl="3" w:tplc="34EE1BB8" w:tentative="1">
      <w:start w:val="1"/>
      <w:numFmt w:val="decimal"/>
      <w:lvlText w:val="%4."/>
      <w:lvlJc w:val="left"/>
      <w:pPr>
        <w:ind w:left="2880" w:hanging="360"/>
      </w:pPr>
    </w:lvl>
    <w:lvl w:ilvl="4" w:tplc="B59C90AC" w:tentative="1">
      <w:start w:val="1"/>
      <w:numFmt w:val="lowerLetter"/>
      <w:lvlText w:val="%5."/>
      <w:lvlJc w:val="left"/>
      <w:pPr>
        <w:ind w:left="3600" w:hanging="360"/>
      </w:pPr>
    </w:lvl>
    <w:lvl w:ilvl="5" w:tplc="B46C4450" w:tentative="1">
      <w:start w:val="1"/>
      <w:numFmt w:val="lowerRoman"/>
      <w:lvlText w:val="%6."/>
      <w:lvlJc w:val="right"/>
      <w:pPr>
        <w:ind w:left="4320" w:hanging="180"/>
      </w:pPr>
    </w:lvl>
    <w:lvl w:ilvl="6" w:tplc="353C9884" w:tentative="1">
      <w:start w:val="1"/>
      <w:numFmt w:val="decimal"/>
      <w:lvlText w:val="%7."/>
      <w:lvlJc w:val="left"/>
      <w:pPr>
        <w:ind w:left="5040" w:hanging="360"/>
      </w:pPr>
    </w:lvl>
    <w:lvl w:ilvl="7" w:tplc="87C896B6" w:tentative="1">
      <w:start w:val="1"/>
      <w:numFmt w:val="lowerLetter"/>
      <w:lvlText w:val="%8."/>
      <w:lvlJc w:val="left"/>
      <w:pPr>
        <w:ind w:left="5760" w:hanging="360"/>
      </w:pPr>
    </w:lvl>
    <w:lvl w:ilvl="8" w:tplc="3482B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0A87"/>
    <w:multiLevelType w:val="hybridMultilevel"/>
    <w:tmpl w:val="D040D174"/>
    <w:lvl w:ilvl="0" w:tplc="6AC20B48">
      <w:start w:val="1"/>
      <w:numFmt w:val="decimal"/>
      <w:lvlText w:val="%1)"/>
      <w:lvlJc w:val="left"/>
      <w:pPr>
        <w:ind w:left="495" w:hanging="360"/>
      </w:pPr>
      <w:rPr>
        <w:b w:val="0"/>
      </w:rPr>
    </w:lvl>
    <w:lvl w:ilvl="1" w:tplc="1D5CAE4C">
      <w:start w:val="1"/>
      <w:numFmt w:val="lowerLetter"/>
      <w:lvlText w:val="%2."/>
      <w:lvlJc w:val="left"/>
      <w:pPr>
        <w:ind w:left="1215" w:hanging="360"/>
      </w:pPr>
    </w:lvl>
    <w:lvl w:ilvl="2" w:tplc="396EB766">
      <w:start w:val="1"/>
      <w:numFmt w:val="lowerRoman"/>
      <w:lvlText w:val="%3."/>
      <w:lvlJc w:val="right"/>
      <w:pPr>
        <w:ind w:left="1935" w:hanging="180"/>
      </w:pPr>
    </w:lvl>
    <w:lvl w:ilvl="3" w:tplc="5AF84DA8">
      <w:start w:val="1"/>
      <w:numFmt w:val="decimal"/>
      <w:lvlText w:val="%4."/>
      <w:lvlJc w:val="left"/>
      <w:pPr>
        <w:ind w:left="2655" w:hanging="360"/>
      </w:pPr>
    </w:lvl>
    <w:lvl w:ilvl="4" w:tplc="B1C2131A">
      <w:start w:val="1"/>
      <w:numFmt w:val="lowerLetter"/>
      <w:lvlText w:val="%5."/>
      <w:lvlJc w:val="left"/>
      <w:pPr>
        <w:ind w:left="3375" w:hanging="360"/>
      </w:pPr>
    </w:lvl>
    <w:lvl w:ilvl="5" w:tplc="4FAE2758">
      <w:start w:val="1"/>
      <w:numFmt w:val="lowerRoman"/>
      <w:lvlText w:val="%6."/>
      <w:lvlJc w:val="right"/>
      <w:pPr>
        <w:ind w:left="4095" w:hanging="180"/>
      </w:pPr>
    </w:lvl>
    <w:lvl w:ilvl="6" w:tplc="CBFC2C20">
      <w:start w:val="1"/>
      <w:numFmt w:val="decimal"/>
      <w:lvlText w:val="%7."/>
      <w:lvlJc w:val="left"/>
      <w:pPr>
        <w:ind w:left="4815" w:hanging="360"/>
      </w:pPr>
    </w:lvl>
    <w:lvl w:ilvl="7" w:tplc="437EB096">
      <w:start w:val="1"/>
      <w:numFmt w:val="lowerLetter"/>
      <w:lvlText w:val="%8."/>
      <w:lvlJc w:val="left"/>
      <w:pPr>
        <w:ind w:left="5535" w:hanging="360"/>
      </w:pPr>
    </w:lvl>
    <w:lvl w:ilvl="8" w:tplc="09CE7894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34073D66"/>
    <w:multiLevelType w:val="hybridMultilevel"/>
    <w:tmpl w:val="BA587716"/>
    <w:lvl w:ilvl="0" w:tplc="891A35AE">
      <w:start w:val="1"/>
      <w:numFmt w:val="decimal"/>
      <w:lvlText w:val="%1)"/>
      <w:lvlJc w:val="left"/>
      <w:pPr>
        <w:ind w:left="720" w:hanging="360"/>
      </w:pPr>
    </w:lvl>
    <w:lvl w:ilvl="1" w:tplc="B4DAA408">
      <w:start w:val="1"/>
      <w:numFmt w:val="decimal"/>
      <w:lvlText w:val="%2)"/>
      <w:lvlJc w:val="left"/>
      <w:pPr>
        <w:ind w:left="3054" w:hanging="360"/>
      </w:pPr>
    </w:lvl>
    <w:lvl w:ilvl="2" w:tplc="3B520548" w:tentative="1">
      <w:start w:val="1"/>
      <w:numFmt w:val="lowerRoman"/>
      <w:lvlText w:val="%3."/>
      <w:lvlJc w:val="right"/>
      <w:pPr>
        <w:ind w:left="2160" w:hanging="180"/>
      </w:pPr>
    </w:lvl>
    <w:lvl w:ilvl="3" w:tplc="069C0E6C" w:tentative="1">
      <w:start w:val="1"/>
      <w:numFmt w:val="decimal"/>
      <w:lvlText w:val="%4."/>
      <w:lvlJc w:val="left"/>
      <w:pPr>
        <w:ind w:left="2880" w:hanging="360"/>
      </w:pPr>
    </w:lvl>
    <w:lvl w:ilvl="4" w:tplc="C8BEA41C" w:tentative="1">
      <w:start w:val="1"/>
      <w:numFmt w:val="lowerLetter"/>
      <w:lvlText w:val="%5."/>
      <w:lvlJc w:val="left"/>
      <w:pPr>
        <w:ind w:left="3600" w:hanging="360"/>
      </w:pPr>
    </w:lvl>
    <w:lvl w:ilvl="5" w:tplc="38DCB6CA" w:tentative="1">
      <w:start w:val="1"/>
      <w:numFmt w:val="lowerRoman"/>
      <w:lvlText w:val="%6."/>
      <w:lvlJc w:val="right"/>
      <w:pPr>
        <w:ind w:left="4320" w:hanging="180"/>
      </w:pPr>
    </w:lvl>
    <w:lvl w:ilvl="6" w:tplc="FCFC08F6" w:tentative="1">
      <w:start w:val="1"/>
      <w:numFmt w:val="decimal"/>
      <w:lvlText w:val="%7."/>
      <w:lvlJc w:val="left"/>
      <w:pPr>
        <w:ind w:left="5040" w:hanging="360"/>
      </w:pPr>
    </w:lvl>
    <w:lvl w:ilvl="7" w:tplc="48C2C496" w:tentative="1">
      <w:start w:val="1"/>
      <w:numFmt w:val="lowerLetter"/>
      <w:lvlText w:val="%8."/>
      <w:lvlJc w:val="left"/>
      <w:pPr>
        <w:ind w:left="5760" w:hanging="360"/>
      </w:pPr>
    </w:lvl>
    <w:lvl w:ilvl="8" w:tplc="671C1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B4303"/>
    <w:multiLevelType w:val="hybridMultilevel"/>
    <w:tmpl w:val="BF6073D2"/>
    <w:lvl w:ilvl="0" w:tplc="044AE5B0">
      <w:start w:val="4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4FB090FC" w:tentative="1">
      <w:start w:val="1"/>
      <w:numFmt w:val="lowerLetter"/>
      <w:lvlText w:val="%2."/>
      <w:lvlJc w:val="left"/>
      <w:pPr>
        <w:ind w:left="1788" w:hanging="360"/>
      </w:pPr>
    </w:lvl>
    <w:lvl w:ilvl="2" w:tplc="928A2A3E" w:tentative="1">
      <w:start w:val="1"/>
      <w:numFmt w:val="lowerRoman"/>
      <w:lvlText w:val="%3."/>
      <w:lvlJc w:val="right"/>
      <w:pPr>
        <w:ind w:left="2508" w:hanging="180"/>
      </w:pPr>
    </w:lvl>
    <w:lvl w:ilvl="3" w:tplc="03F62C3C" w:tentative="1">
      <w:start w:val="1"/>
      <w:numFmt w:val="decimal"/>
      <w:lvlText w:val="%4."/>
      <w:lvlJc w:val="left"/>
      <w:pPr>
        <w:ind w:left="3228" w:hanging="360"/>
      </w:pPr>
    </w:lvl>
    <w:lvl w:ilvl="4" w:tplc="78B8A5F8" w:tentative="1">
      <w:start w:val="1"/>
      <w:numFmt w:val="lowerLetter"/>
      <w:lvlText w:val="%5."/>
      <w:lvlJc w:val="left"/>
      <w:pPr>
        <w:ind w:left="3948" w:hanging="360"/>
      </w:pPr>
    </w:lvl>
    <w:lvl w:ilvl="5" w:tplc="8C7632F6" w:tentative="1">
      <w:start w:val="1"/>
      <w:numFmt w:val="lowerRoman"/>
      <w:lvlText w:val="%6."/>
      <w:lvlJc w:val="right"/>
      <w:pPr>
        <w:ind w:left="4668" w:hanging="180"/>
      </w:pPr>
    </w:lvl>
    <w:lvl w:ilvl="6" w:tplc="958A3F76" w:tentative="1">
      <w:start w:val="1"/>
      <w:numFmt w:val="decimal"/>
      <w:lvlText w:val="%7."/>
      <w:lvlJc w:val="left"/>
      <w:pPr>
        <w:ind w:left="5388" w:hanging="360"/>
      </w:pPr>
    </w:lvl>
    <w:lvl w:ilvl="7" w:tplc="E740008C" w:tentative="1">
      <w:start w:val="1"/>
      <w:numFmt w:val="lowerLetter"/>
      <w:lvlText w:val="%8."/>
      <w:lvlJc w:val="left"/>
      <w:pPr>
        <w:ind w:left="6108" w:hanging="360"/>
      </w:pPr>
    </w:lvl>
    <w:lvl w:ilvl="8" w:tplc="38E65CE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0322AF"/>
    <w:multiLevelType w:val="hybridMultilevel"/>
    <w:tmpl w:val="AB7AE54E"/>
    <w:lvl w:ilvl="0" w:tplc="E5D23A1C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B9BC0E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E89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22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03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0C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0A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2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65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44AFA"/>
    <w:multiLevelType w:val="hybridMultilevel"/>
    <w:tmpl w:val="1706C59C"/>
    <w:lvl w:ilvl="0" w:tplc="04E03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92A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165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8D9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03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AF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A3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CA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4A5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E453F"/>
    <w:multiLevelType w:val="hybridMultilevel"/>
    <w:tmpl w:val="84261806"/>
    <w:lvl w:ilvl="0" w:tplc="C64A78F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E190D04C">
      <w:start w:val="1"/>
      <w:numFmt w:val="decimal"/>
      <w:lvlText w:val="%2)"/>
      <w:lvlJc w:val="left"/>
      <w:pPr>
        <w:ind w:left="3621" w:hanging="360"/>
      </w:pPr>
      <w:rPr>
        <w:rFonts w:hint="default"/>
      </w:rPr>
    </w:lvl>
    <w:lvl w:ilvl="2" w:tplc="845C5E12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5AC48C70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378ECAA6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DC2E7FC0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6832C3A4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E2E4F23A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3A2E871C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521F3E11"/>
    <w:multiLevelType w:val="hybridMultilevel"/>
    <w:tmpl w:val="A96C21C4"/>
    <w:lvl w:ilvl="0" w:tplc="53648D5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C478E588">
      <w:start w:val="1"/>
      <w:numFmt w:val="lowerLetter"/>
      <w:lvlText w:val="%2."/>
      <w:lvlJc w:val="left"/>
      <w:pPr>
        <w:ind w:left="1440" w:hanging="360"/>
      </w:pPr>
    </w:lvl>
    <w:lvl w:ilvl="2" w:tplc="2D28DB4A">
      <w:start w:val="1"/>
      <w:numFmt w:val="lowerRoman"/>
      <w:lvlText w:val="%3."/>
      <w:lvlJc w:val="right"/>
      <w:pPr>
        <w:ind w:left="2160" w:hanging="180"/>
      </w:pPr>
    </w:lvl>
    <w:lvl w:ilvl="3" w:tplc="31CA9832">
      <w:start w:val="1"/>
      <w:numFmt w:val="decimal"/>
      <w:lvlText w:val="%4."/>
      <w:lvlJc w:val="left"/>
      <w:pPr>
        <w:ind w:left="2880" w:hanging="360"/>
      </w:pPr>
    </w:lvl>
    <w:lvl w:ilvl="4" w:tplc="66182CC2">
      <w:start w:val="1"/>
      <w:numFmt w:val="lowerLetter"/>
      <w:lvlText w:val="%5."/>
      <w:lvlJc w:val="left"/>
      <w:pPr>
        <w:ind w:left="3600" w:hanging="360"/>
      </w:pPr>
    </w:lvl>
    <w:lvl w:ilvl="5" w:tplc="7F8A5FA4">
      <w:start w:val="1"/>
      <w:numFmt w:val="lowerRoman"/>
      <w:lvlText w:val="%6."/>
      <w:lvlJc w:val="right"/>
      <w:pPr>
        <w:ind w:left="4320" w:hanging="180"/>
      </w:pPr>
    </w:lvl>
    <w:lvl w:ilvl="6" w:tplc="6C52E52A">
      <w:start w:val="1"/>
      <w:numFmt w:val="decimal"/>
      <w:lvlText w:val="%7."/>
      <w:lvlJc w:val="left"/>
      <w:pPr>
        <w:ind w:left="5040" w:hanging="360"/>
      </w:pPr>
    </w:lvl>
    <w:lvl w:ilvl="7" w:tplc="0140363C">
      <w:start w:val="1"/>
      <w:numFmt w:val="lowerLetter"/>
      <w:lvlText w:val="%8."/>
      <w:lvlJc w:val="left"/>
      <w:pPr>
        <w:ind w:left="5760" w:hanging="360"/>
      </w:pPr>
    </w:lvl>
    <w:lvl w:ilvl="8" w:tplc="0172E63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2240"/>
    <w:multiLevelType w:val="hybridMultilevel"/>
    <w:tmpl w:val="51FEE682"/>
    <w:lvl w:ilvl="0" w:tplc="13062F8E">
      <w:start w:val="1"/>
      <w:numFmt w:val="decimal"/>
      <w:lvlText w:val="%1)"/>
      <w:lvlJc w:val="left"/>
      <w:pPr>
        <w:ind w:left="495" w:hanging="360"/>
      </w:pPr>
    </w:lvl>
    <w:lvl w:ilvl="1" w:tplc="DE2A931A" w:tentative="1">
      <w:start w:val="1"/>
      <w:numFmt w:val="lowerLetter"/>
      <w:lvlText w:val="%2."/>
      <w:lvlJc w:val="left"/>
      <w:pPr>
        <w:ind w:left="1215" w:hanging="360"/>
      </w:pPr>
    </w:lvl>
    <w:lvl w:ilvl="2" w:tplc="C52CCB7A" w:tentative="1">
      <w:start w:val="1"/>
      <w:numFmt w:val="lowerRoman"/>
      <w:lvlText w:val="%3."/>
      <w:lvlJc w:val="right"/>
      <w:pPr>
        <w:ind w:left="1935" w:hanging="180"/>
      </w:pPr>
    </w:lvl>
    <w:lvl w:ilvl="3" w:tplc="816CA228" w:tentative="1">
      <w:start w:val="1"/>
      <w:numFmt w:val="decimal"/>
      <w:lvlText w:val="%4."/>
      <w:lvlJc w:val="left"/>
      <w:pPr>
        <w:ind w:left="2655" w:hanging="360"/>
      </w:pPr>
    </w:lvl>
    <w:lvl w:ilvl="4" w:tplc="6666C164" w:tentative="1">
      <w:start w:val="1"/>
      <w:numFmt w:val="lowerLetter"/>
      <w:lvlText w:val="%5."/>
      <w:lvlJc w:val="left"/>
      <w:pPr>
        <w:ind w:left="3375" w:hanging="360"/>
      </w:pPr>
    </w:lvl>
    <w:lvl w:ilvl="5" w:tplc="A44EB9A2" w:tentative="1">
      <w:start w:val="1"/>
      <w:numFmt w:val="lowerRoman"/>
      <w:lvlText w:val="%6."/>
      <w:lvlJc w:val="right"/>
      <w:pPr>
        <w:ind w:left="4095" w:hanging="180"/>
      </w:pPr>
    </w:lvl>
    <w:lvl w:ilvl="6" w:tplc="102A8E24" w:tentative="1">
      <w:start w:val="1"/>
      <w:numFmt w:val="decimal"/>
      <w:lvlText w:val="%7."/>
      <w:lvlJc w:val="left"/>
      <w:pPr>
        <w:ind w:left="4815" w:hanging="360"/>
      </w:pPr>
    </w:lvl>
    <w:lvl w:ilvl="7" w:tplc="A1CA6890" w:tentative="1">
      <w:start w:val="1"/>
      <w:numFmt w:val="lowerLetter"/>
      <w:lvlText w:val="%8."/>
      <w:lvlJc w:val="left"/>
      <w:pPr>
        <w:ind w:left="5535" w:hanging="360"/>
      </w:pPr>
    </w:lvl>
    <w:lvl w:ilvl="8" w:tplc="F998E84C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6F9C0CEE"/>
    <w:multiLevelType w:val="hybridMultilevel"/>
    <w:tmpl w:val="8D2674F2"/>
    <w:lvl w:ilvl="0" w:tplc="75FEEF38">
      <w:start w:val="1"/>
      <w:numFmt w:val="decimal"/>
      <w:lvlText w:val="%1)"/>
      <w:lvlJc w:val="left"/>
      <w:pPr>
        <w:ind w:left="720" w:hanging="360"/>
      </w:pPr>
    </w:lvl>
    <w:lvl w:ilvl="1" w:tplc="EF646E08">
      <w:start w:val="1"/>
      <w:numFmt w:val="lowerLetter"/>
      <w:lvlText w:val="%2."/>
      <w:lvlJc w:val="left"/>
      <w:pPr>
        <w:ind w:left="1440" w:hanging="360"/>
      </w:pPr>
    </w:lvl>
    <w:lvl w:ilvl="2" w:tplc="913AEB04">
      <w:start w:val="1"/>
      <w:numFmt w:val="lowerRoman"/>
      <w:lvlText w:val="%3."/>
      <w:lvlJc w:val="right"/>
      <w:pPr>
        <w:ind w:left="2160" w:hanging="180"/>
      </w:pPr>
    </w:lvl>
    <w:lvl w:ilvl="3" w:tplc="9EA819D8">
      <w:start w:val="1"/>
      <w:numFmt w:val="decimal"/>
      <w:lvlText w:val="%4."/>
      <w:lvlJc w:val="left"/>
      <w:pPr>
        <w:ind w:left="2880" w:hanging="360"/>
      </w:pPr>
    </w:lvl>
    <w:lvl w:ilvl="4" w:tplc="E2628BDE">
      <w:start w:val="1"/>
      <w:numFmt w:val="lowerLetter"/>
      <w:lvlText w:val="%5."/>
      <w:lvlJc w:val="left"/>
      <w:pPr>
        <w:ind w:left="3600" w:hanging="360"/>
      </w:pPr>
    </w:lvl>
    <w:lvl w:ilvl="5" w:tplc="64E87DFE">
      <w:start w:val="1"/>
      <w:numFmt w:val="lowerRoman"/>
      <w:lvlText w:val="%6."/>
      <w:lvlJc w:val="right"/>
      <w:pPr>
        <w:ind w:left="4320" w:hanging="180"/>
      </w:pPr>
    </w:lvl>
    <w:lvl w:ilvl="6" w:tplc="EBFA8B32">
      <w:start w:val="1"/>
      <w:numFmt w:val="decimal"/>
      <w:lvlText w:val="%7."/>
      <w:lvlJc w:val="left"/>
      <w:pPr>
        <w:ind w:left="5040" w:hanging="360"/>
      </w:pPr>
    </w:lvl>
    <w:lvl w:ilvl="7" w:tplc="7C74FC98">
      <w:start w:val="1"/>
      <w:numFmt w:val="lowerLetter"/>
      <w:lvlText w:val="%8."/>
      <w:lvlJc w:val="left"/>
      <w:pPr>
        <w:ind w:left="5760" w:hanging="360"/>
      </w:pPr>
    </w:lvl>
    <w:lvl w:ilvl="8" w:tplc="D61EF7A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B33A8"/>
    <w:multiLevelType w:val="hybridMultilevel"/>
    <w:tmpl w:val="CF1CF592"/>
    <w:lvl w:ilvl="0" w:tplc="CB3096B4">
      <w:start w:val="1"/>
      <w:numFmt w:val="decimal"/>
      <w:lvlText w:val="%1)"/>
      <w:lvlJc w:val="left"/>
      <w:pPr>
        <w:ind w:left="360" w:hanging="360"/>
      </w:pPr>
    </w:lvl>
    <w:lvl w:ilvl="1" w:tplc="23F6E404" w:tentative="1">
      <w:start w:val="1"/>
      <w:numFmt w:val="lowerLetter"/>
      <w:lvlText w:val="%2."/>
      <w:lvlJc w:val="left"/>
      <w:pPr>
        <w:ind w:left="1080" w:hanging="360"/>
      </w:pPr>
    </w:lvl>
    <w:lvl w:ilvl="2" w:tplc="FD50A93C" w:tentative="1">
      <w:start w:val="1"/>
      <w:numFmt w:val="lowerRoman"/>
      <w:lvlText w:val="%3."/>
      <w:lvlJc w:val="right"/>
      <w:pPr>
        <w:ind w:left="1800" w:hanging="180"/>
      </w:pPr>
    </w:lvl>
    <w:lvl w:ilvl="3" w:tplc="00C879D8" w:tentative="1">
      <w:start w:val="1"/>
      <w:numFmt w:val="decimal"/>
      <w:lvlText w:val="%4."/>
      <w:lvlJc w:val="left"/>
      <w:pPr>
        <w:ind w:left="2520" w:hanging="360"/>
      </w:pPr>
    </w:lvl>
    <w:lvl w:ilvl="4" w:tplc="CBD8D670" w:tentative="1">
      <w:start w:val="1"/>
      <w:numFmt w:val="lowerLetter"/>
      <w:lvlText w:val="%5."/>
      <w:lvlJc w:val="left"/>
      <w:pPr>
        <w:ind w:left="3240" w:hanging="360"/>
      </w:pPr>
    </w:lvl>
    <w:lvl w:ilvl="5" w:tplc="24E0281A" w:tentative="1">
      <w:start w:val="1"/>
      <w:numFmt w:val="lowerRoman"/>
      <w:lvlText w:val="%6."/>
      <w:lvlJc w:val="right"/>
      <w:pPr>
        <w:ind w:left="3960" w:hanging="180"/>
      </w:pPr>
    </w:lvl>
    <w:lvl w:ilvl="6" w:tplc="C65A286A" w:tentative="1">
      <w:start w:val="1"/>
      <w:numFmt w:val="decimal"/>
      <w:lvlText w:val="%7."/>
      <w:lvlJc w:val="left"/>
      <w:pPr>
        <w:ind w:left="4680" w:hanging="360"/>
      </w:pPr>
    </w:lvl>
    <w:lvl w:ilvl="7" w:tplc="BD982586" w:tentative="1">
      <w:start w:val="1"/>
      <w:numFmt w:val="lowerLetter"/>
      <w:lvlText w:val="%8."/>
      <w:lvlJc w:val="left"/>
      <w:pPr>
        <w:ind w:left="5400" w:hanging="360"/>
      </w:pPr>
    </w:lvl>
    <w:lvl w:ilvl="8" w:tplc="C9DEFD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3A550B"/>
    <w:multiLevelType w:val="hybridMultilevel"/>
    <w:tmpl w:val="AA783C72"/>
    <w:lvl w:ilvl="0" w:tplc="145EA412">
      <w:start w:val="1"/>
      <w:numFmt w:val="upperRoman"/>
      <w:lvlText w:val="%1."/>
      <w:lvlJc w:val="right"/>
      <w:pPr>
        <w:ind w:left="1440" w:hanging="360"/>
      </w:pPr>
    </w:lvl>
    <w:lvl w:ilvl="1" w:tplc="E6643DC4" w:tentative="1">
      <w:start w:val="1"/>
      <w:numFmt w:val="lowerLetter"/>
      <w:lvlText w:val="%2."/>
      <w:lvlJc w:val="left"/>
      <w:pPr>
        <w:ind w:left="2160" w:hanging="360"/>
      </w:pPr>
    </w:lvl>
    <w:lvl w:ilvl="2" w:tplc="EC0060BE" w:tentative="1">
      <w:start w:val="1"/>
      <w:numFmt w:val="lowerRoman"/>
      <w:lvlText w:val="%3."/>
      <w:lvlJc w:val="right"/>
      <w:pPr>
        <w:ind w:left="2880" w:hanging="180"/>
      </w:pPr>
    </w:lvl>
    <w:lvl w:ilvl="3" w:tplc="F11C411C" w:tentative="1">
      <w:start w:val="1"/>
      <w:numFmt w:val="decimal"/>
      <w:lvlText w:val="%4."/>
      <w:lvlJc w:val="left"/>
      <w:pPr>
        <w:ind w:left="3600" w:hanging="360"/>
      </w:pPr>
    </w:lvl>
    <w:lvl w:ilvl="4" w:tplc="299C89EC" w:tentative="1">
      <w:start w:val="1"/>
      <w:numFmt w:val="lowerLetter"/>
      <w:lvlText w:val="%5."/>
      <w:lvlJc w:val="left"/>
      <w:pPr>
        <w:ind w:left="4320" w:hanging="360"/>
      </w:pPr>
    </w:lvl>
    <w:lvl w:ilvl="5" w:tplc="B426916C" w:tentative="1">
      <w:start w:val="1"/>
      <w:numFmt w:val="lowerRoman"/>
      <w:lvlText w:val="%6."/>
      <w:lvlJc w:val="right"/>
      <w:pPr>
        <w:ind w:left="5040" w:hanging="180"/>
      </w:pPr>
    </w:lvl>
    <w:lvl w:ilvl="6" w:tplc="54C0D346" w:tentative="1">
      <w:start w:val="1"/>
      <w:numFmt w:val="decimal"/>
      <w:lvlText w:val="%7."/>
      <w:lvlJc w:val="left"/>
      <w:pPr>
        <w:ind w:left="5760" w:hanging="360"/>
      </w:pPr>
    </w:lvl>
    <w:lvl w:ilvl="7" w:tplc="AB14B418" w:tentative="1">
      <w:start w:val="1"/>
      <w:numFmt w:val="lowerLetter"/>
      <w:lvlText w:val="%8."/>
      <w:lvlJc w:val="left"/>
      <w:pPr>
        <w:ind w:left="6480" w:hanging="360"/>
      </w:pPr>
    </w:lvl>
    <w:lvl w:ilvl="8" w:tplc="8EB2DC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8122D0"/>
    <w:multiLevelType w:val="hybridMultilevel"/>
    <w:tmpl w:val="6DACBAB4"/>
    <w:lvl w:ilvl="0" w:tplc="410234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86D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FCC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8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049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52E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A1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AE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7C7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B9"/>
    <w:rsid w:val="00445435"/>
    <w:rsid w:val="004630A5"/>
    <w:rsid w:val="00B95C0F"/>
    <w:rsid w:val="00D6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character" w:customStyle="1" w:styleId="StopkaZnak">
    <w:name w:val="Stopka Znak"/>
    <w:basedOn w:val="Domylnaczcionkaakapitu"/>
    <w:link w:val="Stopka"/>
    <w:rsid w:val="0021200D"/>
    <w:rPr>
      <w:rFonts w:ascii="Arial" w:hAnsi="Arial" w:cs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C1182B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0E5C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E5C2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397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70AA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3970AA"/>
    <w:rPr>
      <w:vertAlign w:val="superscript"/>
    </w:rPr>
  </w:style>
  <w:style w:type="paragraph" w:styleId="Akapitzlist">
    <w:name w:val="List Paragraph"/>
    <w:uiPriority w:val="99"/>
    <w:qFormat/>
    <w:rsid w:val="00AB09E3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ind w:left="720"/>
      <w:jc w:val="both"/>
    </w:pPr>
    <w:rPr>
      <w:rFonts w:eastAsia="Calibri" w:cs="Calibri"/>
      <w:color w:val="000000"/>
      <w:sz w:val="24"/>
      <w:szCs w:val="24"/>
      <w:u w:color="000000"/>
      <w:bdr w:val="nil"/>
      <w:lang w:val="en-US"/>
    </w:rPr>
  </w:style>
  <w:style w:type="paragraph" w:customStyle="1" w:styleId="Akapitzlist1">
    <w:name w:val="Akapit z listą1"/>
    <w:uiPriority w:val="99"/>
    <w:qFormat/>
    <w:rsid w:val="00AB09E3"/>
    <w:pPr>
      <w:suppressAutoHyphens/>
      <w:ind w:left="720"/>
      <w:jc w:val="both"/>
    </w:pPr>
    <w:rPr>
      <w:rFonts w:eastAsia="Arial Unicode MS" w:cs="Arial Unicode MS"/>
      <w:color w:val="000000"/>
      <w:kern w:val="2"/>
      <w:sz w:val="24"/>
      <w:szCs w:val="24"/>
      <w:u w:color="000000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BD1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ziennikiurzedowe.gov.pl/dzienniki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DPPI@men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DPPI@men.gov.p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ip.legalis.pl/document-view.seam?documentId=mfrxilrtg4ytembshaydg" TargetMode="External"/><Relationship Id="rId1" Type="http://schemas.openxmlformats.org/officeDocument/2006/relationships/hyperlink" Target="http://sip.legalis.pl/document-view.seam?documentId=mfrxilrtg4ytaojqga3t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3D63-7F7D-40D1-9864-FBD3DEDA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1824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2020-01-27T10:02:00Z</dcterms:created>
  <dcterms:modified xsi:type="dcterms:W3CDTF">2020-01-27T10:46:00Z</dcterms:modified>
</cp:coreProperties>
</file>