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B8AC1F" w14:textId="3E716CA7" w:rsidR="004E0D67" w:rsidRPr="002B255D" w:rsidRDefault="004E0D67" w:rsidP="007B3A89">
      <w:pPr>
        <w:spacing w:before="120"/>
        <w:rPr>
          <w:rFonts w:ascii="Open Sans" w:hAnsi="Open Sans" w:cs="Open Sans"/>
          <w:sz w:val="28"/>
          <w:szCs w:val="28"/>
        </w:rPr>
      </w:pPr>
      <w:r w:rsidRPr="002B255D">
        <w:rPr>
          <w:rFonts w:ascii="Open Sans" w:hAnsi="Open Sans" w:cs="Open Sans"/>
          <w:sz w:val="28"/>
          <w:szCs w:val="28"/>
        </w:rPr>
        <w:t xml:space="preserve">Data ogłoszenia naboru: </w:t>
      </w:r>
      <w:r w:rsidR="00255707" w:rsidRPr="002B255D">
        <w:rPr>
          <w:rFonts w:ascii="Open Sans" w:hAnsi="Open Sans" w:cs="Open Sans"/>
          <w:sz w:val="28"/>
          <w:szCs w:val="28"/>
        </w:rPr>
        <w:t>2</w:t>
      </w:r>
      <w:r w:rsidR="00A23FF9">
        <w:rPr>
          <w:rFonts w:ascii="Open Sans" w:hAnsi="Open Sans" w:cs="Open Sans"/>
          <w:sz w:val="28"/>
          <w:szCs w:val="28"/>
        </w:rPr>
        <w:t>8</w:t>
      </w:r>
      <w:r w:rsidR="00CA5DC9" w:rsidRPr="002B255D">
        <w:rPr>
          <w:rFonts w:ascii="Open Sans" w:hAnsi="Open Sans" w:cs="Open Sans"/>
          <w:sz w:val="28"/>
          <w:szCs w:val="28"/>
        </w:rPr>
        <w:t>.02.2024</w:t>
      </w:r>
      <w:r w:rsidRPr="002B255D">
        <w:rPr>
          <w:rFonts w:ascii="Open Sans" w:hAnsi="Open Sans" w:cs="Open Sans"/>
          <w:sz w:val="28"/>
          <w:szCs w:val="28"/>
        </w:rPr>
        <w:t xml:space="preserve"> r.</w:t>
      </w:r>
    </w:p>
    <w:p w14:paraId="2136F753" w14:textId="48902CCF" w:rsidR="00E44D82" w:rsidRPr="002B255D" w:rsidRDefault="00E44D82" w:rsidP="002B255D">
      <w:pPr>
        <w:pStyle w:val="Nagwek1"/>
        <w:rPr>
          <w:rFonts w:cs="Open Sans"/>
        </w:rPr>
      </w:pPr>
      <w:r w:rsidRPr="002B255D">
        <w:rPr>
          <w:rFonts w:cs="Open Sans"/>
        </w:rPr>
        <w:t xml:space="preserve">NABÓR NR </w:t>
      </w:r>
      <w:r w:rsidR="00B71C8E" w:rsidRPr="002B255D">
        <w:rPr>
          <w:rFonts w:cs="Open Sans"/>
        </w:rPr>
        <w:t>FENX.01.01-IW.01-003/24</w:t>
      </w:r>
    </w:p>
    <w:p w14:paraId="237F66B0" w14:textId="4BBA3CBC" w:rsidR="00E44D82" w:rsidRPr="002B255D" w:rsidRDefault="00E44D82" w:rsidP="00303C70">
      <w:pPr>
        <w:spacing w:line="276" w:lineRule="auto"/>
        <w:jc w:val="both"/>
        <w:rPr>
          <w:rFonts w:ascii="Open Sans" w:hAnsi="Open Sans" w:cs="Open Sans"/>
          <w:sz w:val="24"/>
          <w:szCs w:val="24"/>
        </w:rPr>
      </w:pPr>
      <w:r w:rsidRPr="002B255D">
        <w:rPr>
          <w:rFonts w:ascii="Open Sans" w:hAnsi="Open Sans" w:cs="Open Sans"/>
          <w:sz w:val="24"/>
          <w:szCs w:val="24"/>
        </w:rPr>
        <w:t>Narodowy Fundusz Ochrony Środowiska i Gospodarki Wodnej pełniący rolę Instytucji Wdrażającej Programu Fundusze Europejskie na Infrastrukturę, Klimat, Środowisko 2021 – 2027 ogłasza niekonkurencyjny nabór projektów do dofinansowania w ramach działania 1.1 Efektywność energetyczna, Typ projektu: Poprawa efektywności energetycznej w budynkach mieszkalnych (wraz z</w:t>
      </w:r>
      <w:r w:rsidR="00C91E72" w:rsidRPr="002B255D">
        <w:rPr>
          <w:rFonts w:ascii="Open Sans" w:hAnsi="Open Sans" w:cs="Open Sans"/>
          <w:sz w:val="24"/>
          <w:szCs w:val="24"/>
        </w:rPr>
        <w:t> </w:t>
      </w:r>
      <w:r w:rsidRPr="002B255D">
        <w:rPr>
          <w:rFonts w:ascii="Open Sans" w:hAnsi="Open Sans" w:cs="Open Sans"/>
          <w:sz w:val="24"/>
          <w:szCs w:val="24"/>
        </w:rPr>
        <w:t>instalacją OZE) - wkład w Program Czyste Powietrze.</w:t>
      </w:r>
    </w:p>
    <w:p w14:paraId="6993265B" w14:textId="77777777" w:rsidR="00E44D82" w:rsidRPr="002B255D" w:rsidRDefault="00E44D82" w:rsidP="00303C70">
      <w:pPr>
        <w:pStyle w:val="Nagwek2"/>
        <w:rPr>
          <w:rFonts w:cs="Open Sans"/>
        </w:rPr>
      </w:pPr>
      <w:r w:rsidRPr="002B255D">
        <w:rPr>
          <w:rFonts w:cs="Open Sans"/>
        </w:rPr>
        <w:t>Krótki opis działania</w:t>
      </w:r>
    </w:p>
    <w:p w14:paraId="484257E2" w14:textId="1D229B12" w:rsidR="00E44D82" w:rsidRPr="002B255D" w:rsidRDefault="00E44D82" w:rsidP="00303C70">
      <w:pPr>
        <w:spacing w:line="276" w:lineRule="auto"/>
        <w:jc w:val="both"/>
        <w:rPr>
          <w:rFonts w:ascii="Open Sans" w:hAnsi="Open Sans" w:cs="Open Sans"/>
          <w:sz w:val="24"/>
          <w:szCs w:val="24"/>
        </w:rPr>
      </w:pPr>
      <w:r w:rsidRPr="002B255D">
        <w:rPr>
          <w:rFonts w:ascii="Open Sans" w:hAnsi="Open Sans" w:cs="Open Sans"/>
          <w:sz w:val="24"/>
          <w:szCs w:val="24"/>
        </w:rPr>
        <w:t>W ramach działania 1.1 przewidziano wsparcie poprawy efektywności energetycznej budynków mieszkalnych, poprzez m.in. ocieplenie obiektu, wykorzystanie technologii odzysku ciepła, przyłączenie do sieci ciepłowniczej, instalację nowych niskoemisyjnych lub odnawialnych źródeł ciepła lub energii elektrycznej na potrzeby własne, a także modernizację systemów wentylacji.</w:t>
      </w:r>
    </w:p>
    <w:p w14:paraId="3432600E" w14:textId="77777777" w:rsidR="00E44D82" w:rsidRPr="002B255D" w:rsidRDefault="00E44D82" w:rsidP="002B255D">
      <w:pPr>
        <w:pStyle w:val="Nagwek2"/>
        <w:rPr>
          <w:rFonts w:cs="Open Sans"/>
        </w:rPr>
      </w:pPr>
      <w:r w:rsidRPr="002B255D">
        <w:rPr>
          <w:rFonts w:cs="Open Sans"/>
        </w:rPr>
        <w:t>Termin oraz sposób składania wniosków</w:t>
      </w:r>
    </w:p>
    <w:p w14:paraId="7184FBF6" w14:textId="6B7160FD" w:rsidR="00E44D82" w:rsidRPr="002B255D" w:rsidRDefault="00E44D82" w:rsidP="00303C70">
      <w:pPr>
        <w:spacing w:line="276" w:lineRule="auto"/>
        <w:jc w:val="both"/>
        <w:rPr>
          <w:rFonts w:ascii="Open Sans" w:hAnsi="Open Sans" w:cs="Open Sans"/>
          <w:sz w:val="24"/>
          <w:szCs w:val="24"/>
        </w:rPr>
      </w:pPr>
      <w:r w:rsidRPr="002B255D">
        <w:rPr>
          <w:rFonts w:ascii="Open Sans" w:hAnsi="Open Sans" w:cs="Open Sans"/>
          <w:sz w:val="24"/>
          <w:szCs w:val="24"/>
        </w:rPr>
        <w:t xml:space="preserve">Nabór wniosków trwa od </w:t>
      </w:r>
      <w:r w:rsidR="00255707" w:rsidRPr="002B255D">
        <w:rPr>
          <w:rFonts w:ascii="Open Sans" w:hAnsi="Open Sans" w:cs="Open Sans"/>
          <w:sz w:val="24"/>
          <w:szCs w:val="24"/>
        </w:rPr>
        <w:t>2</w:t>
      </w:r>
      <w:r w:rsidR="00A23FF9">
        <w:rPr>
          <w:rFonts w:ascii="Open Sans" w:hAnsi="Open Sans" w:cs="Open Sans"/>
          <w:sz w:val="24"/>
          <w:szCs w:val="24"/>
        </w:rPr>
        <w:t>8</w:t>
      </w:r>
      <w:r w:rsidRPr="002B255D">
        <w:rPr>
          <w:rFonts w:ascii="Open Sans" w:hAnsi="Open Sans" w:cs="Open Sans"/>
          <w:sz w:val="24"/>
          <w:szCs w:val="24"/>
        </w:rPr>
        <w:t xml:space="preserve"> lutego 2024 r. do wyczerpania alokacji, jednak nie dłużej niż do 1 marca 2024 r. (w ostatnim dniu naboru do godz. 23:59).</w:t>
      </w:r>
    </w:p>
    <w:p w14:paraId="735C3619" w14:textId="455A5433" w:rsidR="00E44D82" w:rsidRPr="002B255D" w:rsidRDefault="00E44D82" w:rsidP="00303C70">
      <w:pPr>
        <w:spacing w:line="276" w:lineRule="auto"/>
        <w:jc w:val="both"/>
        <w:rPr>
          <w:rFonts w:ascii="Open Sans" w:hAnsi="Open Sans" w:cs="Open Sans"/>
          <w:sz w:val="24"/>
          <w:szCs w:val="24"/>
        </w:rPr>
      </w:pPr>
      <w:r w:rsidRPr="002B255D">
        <w:rPr>
          <w:rFonts w:ascii="Open Sans" w:hAnsi="Open Sans" w:cs="Open Sans"/>
          <w:sz w:val="24"/>
          <w:szCs w:val="24"/>
        </w:rPr>
        <w:t>Wnioskodawcy składają wnioski wyłącznie za pośrednictwem Centralnego Systemu Teleinformatycznego (CST2021), przy użyciu aplikacji WOD2021. Link do aplikacji jest dostępny w sekcji "Materiały".</w:t>
      </w:r>
    </w:p>
    <w:p w14:paraId="0E329FAA" w14:textId="77777777" w:rsidR="00E44D82" w:rsidRPr="002B255D" w:rsidRDefault="00E44D82" w:rsidP="002B255D">
      <w:pPr>
        <w:pStyle w:val="Nagwek2"/>
        <w:rPr>
          <w:rFonts w:cs="Open Sans"/>
        </w:rPr>
      </w:pPr>
      <w:r w:rsidRPr="002B255D">
        <w:rPr>
          <w:rFonts w:cs="Open Sans"/>
        </w:rPr>
        <w:t>Kto może ubiegać się o dofinansowanie</w:t>
      </w:r>
    </w:p>
    <w:p w14:paraId="472407C3" w14:textId="15342CEF" w:rsidR="00E44D82" w:rsidRPr="002B255D" w:rsidRDefault="00E44D82" w:rsidP="00303C70">
      <w:pPr>
        <w:spacing w:line="276" w:lineRule="auto"/>
        <w:jc w:val="both"/>
        <w:rPr>
          <w:rFonts w:ascii="Open Sans" w:hAnsi="Open Sans" w:cs="Open Sans"/>
          <w:sz w:val="24"/>
          <w:szCs w:val="24"/>
        </w:rPr>
      </w:pPr>
      <w:r w:rsidRPr="002B255D">
        <w:rPr>
          <w:rFonts w:ascii="Open Sans" w:hAnsi="Open Sans" w:cs="Open Sans"/>
          <w:sz w:val="24"/>
          <w:szCs w:val="24"/>
        </w:rPr>
        <w:t>W ramach niekonkurencyjnego sposobu wyboru wniosków o dofinansowanie o</w:t>
      </w:r>
      <w:r w:rsidR="00BA41E6">
        <w:rPr>
          <w:rFonts w:ascii="Open Sans" w:hAnsi="Open Sans" w:cs="Open Sans"/>
          <w:sz w:val="24"/>
          <w:szCs w:val="24"/>
        </w:rPr>
        <w:t> </w:t>
      </w:r>
      <w:r w:rsidRPr="002B255D">
        <w:rPr>
          <w:rFonts w:ascii="Open Sans" w:hAnsi="Open Sans" w:cs="Open Sans"/>
          <w:sz w:val="24"/>
          <w:szCs w:val="24"/>
        </w:rPr>
        <w:t>wsparcie mogą ubiegać się:</w:t>
      </w:r>
    </w:p>
    <w:p w14:paraId="584764CC" w14:textId="43AE062B" w:rsidR="00E44D82" w:rsidRPr="002B255D" w:rsidRDefault="00E44D82" w:rsidP="00303C70">
      <w:pPr>
        <w:pStyle w:val="Akapitzlist"/>
        <w:spacing w:line="276" w:lineRule="auto"/>
        <w:ind w:left="426"/>
        <w:jc w:val="both"/>
        <w:rPr>
          <w:rFonts w:ascii="Open Sans" w:hAnsi="Open Sans" w:cs="Open Sans"/>
          <w:color w:val="000000"/>
          <w:sz w:val="24"/>
          <w:szCs w:val="24"/>
        </w:rPr>
      </w:pPr>
      <w:bookmarkStart w:id="0" w:name="_Hlk157447157"/>
      <w:r w:rsidRPr="002B255D">
        <w:rPr>
          <w:rFonts w:ascii="Open Sans" w:hAnsi="Open Sans" w:cs="Open Sans"/>
          <w:color w:val="000000"/>
          <w:sz w:val="24"/>
          <w:szCs w:val="24"/>
        </w:rPr>
        <w:t>Wojewódzki Fundusz Ochrony Środowiska i Gospodarki Wodnej w</w:t>
      </w:r>
      <w:bookmarkEnd w:id="0"/>
      <w:r w:rsidRPr="002B255D">
        <w:rPr>
          <w:rFonts w:ascii="Open Sans" w:hAnsi="Open Sans" w:cs="Open Sans"/>
          <w:color w:val="000000"/>
          <w:sz w:val="24"/>
          <w:szCs w:val="24"/>
        </w:rPr>
        <w:t>e Wrocławiu,</w:t>
      </w:r>
    </w:p>
    <w:p w14:paraId="45F2BAC7" w14:textId="77777777" w:rsidR="00E44D82" w:rsidRPr="002B255D" w:rsidRDefault="00E44D82" w:rsidP="00303C70">
      <w:pPr>
        <w:pStyle w:val="Akapitzlist"/>
        <w:spacing w:line="276" w:lineRule="auto"/>
        <w:ind w:left="426"/>
        <w:jc w:val="both"/>
        <w:rPr>
          <w:rFonts w:ascii="Open Sans" w:hAnsi="Open Sans" w:cs="Open Sans"/>
          <w:color w:val="000000"/>
          <w:sz w:val="24"/>
          <w:szCs w:val="24"/>
        </w:rPr>
      </w:pPr>
      <w:r w:rsidRPr="002B255D">
        <w:rPr>
          <w:rFonts w:ascii="Open Sans" w:hAnsi="Open Sans" w:cs="Open Sans"/>
          <w:color w:val="000000"/>
          <w:sz w:val="24"/>
          <w:szCs w:val="24"/>
        </w:rPr>
        <w:t>Wojewódzki Fundusz Ochrony Środowiska i Gospodarki Wodnej w Toruniu,</w:t>
      </w:r>
    </w:p>
    <w:p w14:paraId="0BF447E0" w14:textId="6BA654C9" w:rsidR="00E44D82" w:rsidRPr="002B255D" w:rsidRDefault="00E44D82" w:rsidP="00303C70">
      <w:pPr>
        <w:pStyle w:val="Akapitzlist"/>
        <w:spacing w:line="276" w:lineRule="auto"/>
        <w:ind w:left="426"/>
        <w:jc w:val="both"/>
        <w:rPr>
          <w:rFonts w:ascii="Open Sans" w:hAnsi="Open Sans" w:cs="Open Sans"/>
          <w:color w:val="000000"/>
          <w:sz w:val="24"/>
          <w:szCs w:val="24"/>
        </w:rPr>
      </w:pPr>
      <w:r w:rsidRPr="002B255D">
        <w:rPr>
          <w:rFonts w:ascii="Open Sans" w:hAnsi="Open Sans" w:cs="Open Sans"/>
          <w:color w:val="000000"/>
          <w:sz w:val="24"/>
          <w:szCs w:val="24"/>
        </w:rPr>
        <w:t>Wojewódzki Fundusz Ochrony Środowiska i Gospodarki Wodnej w Lublinie</w:t>
      </w:r>
      <w:r w:rsidR="00C91E72" w:rsidRPr="002B255D">
        <w:rPr>
          <w:rFonts w:ascii="Open Sans" w:hAnsi="Open Sans" w:cs="Open Sans"/>
          <w:color w:val="000000"/>
          <w:sz w:val="24"/>
          <w:szCs w:val="24"/>
        </w:rPr>
        <w:t>,</w:t>
      </w:r>
    </w:p>
    <w:p w14:paraId="35761F36" w14:textId="77777777" w:rsidR="00E44D82" w:rsidRPr="002B255D" w:rsidRDefault="00E44D82" w:rsidP="00303C70">
      <w:pPr>
        <w:pStyle w:val="Akapitzlist"/>
        <w:spacing w:line="276" w:lineRule="auto"/>
        <w:ind w:left="426"/>
        <w:jc w:val="both"/>
        <w:rPr>
          <w:rFonts w:ascii="Open Sans" w:hAnsi="Open Sans" w:cs="Open Sans"/>
          <w:color w:val="000000"/>
          <w:sz w:val="24"/>
          <w:szCs w:val="24"/>
        </w:rPr>
      </w:pPr>
      <w:r w:rsidRPr="002B255D">
        <w:rPr>
          <w:rFonts w:ascii="Open Sans" w:hAnsi="Open Sans" w:cs="Open Sans"/>
          <w:color w:val="000000"/>
          <w:sz w:val="24"/>
          <w:szCs w:val="24"/>
        </w:rPr>
        <w:t>Wojewódzki Fundusz Ochrony Środowiska i Gospodarki Wodnej w Zielonej Górze,</w:t>
      </w:r>
    </w:p>
    <w:p w14:paraId="0F98355C" w14:textId="77777777" w:rsidR="00E44D82" w:rsidRPr="002B255D" w:rsidRDefault="00E44D82" w:rsidP="00303C70">
      <w:pPr>
        <w:pStyle w:val="Akapitzlist"/>
        <w:spacing w:line="276" w:lineRule="auto"/>
        <w:ind w:left="426"/>
        <w:jc w:val="both"/>
        <w:rPr>
          <w:rFonts w:ascii="Open Sans" w:hAnsi="Open Sans" w:cs="Open Sans"/>
          <w:color w:val="000000"/>
          <w:sz w:val="24"/>
          <w:szCs w:val="24"/>
        </w:rPr>
      </w:pPr>
      <w:r w:rsidRPr="002B255D">
        <w:rPr>
          <w:rFonts w:ascii="Open Sans" w:hAnsi="Open Sans" w:cs="Open Sans"/>
          <w:color w:val="000000"/>
          <w:sz w:val="24"/>
          <w:szCs w:val="24"/>
        </w:rPr>
        <w:lastRenderedPageBreak/>
        <w:t>Wojewódzki Fundusz Ochrony Środowiska i Gospodarki Wodnej w Łodzi,</w:t>
      </w:r>
    </w:p>
    <w:p w14:paraId="5D43BC9F" w14:textId="77777777" w:rsidR="00E44D82" w:rsidRPr="002B255D" w:rsidRDefault="00E44D82" w:rsidP="00303C70">
      <w:pPr>
        <w:pStyle w:val="Akapitzlist"/>
        <w:spacing w:line="276" w:lineRule="auto"/>
        <w:ind w:left="426"/>
        <w:jc w:val="both"/>
        <w:rPr>
          <w:rFonts w:ascii="Open Sans" w:hAnsi="Open Sans" w:cs="Open Sans"/>
          <w:color w:val="000000"/>
          <w:sz w:val="24"/>
          <w:szCs w:val="24"/>
        </w:rPr>
      </w:pPr>
      <w:r w:rsidRPr="002B255D">
        <w:rPr>
          <w:rFonts w:ascii="Open Sans" w:hAnsi="Open Sans" w:cs="Open Sans"/>
          <w:color w:val="000000"/>
          <w:sz w:val="24"/>
          <w:szCs w:val="24"/>
        </w:rPr>
        <w:t>Wojewódzki Fundusz Ochrony Środowiska i Gospodarki Wodnej w Krakowie,</w:t>
      </w:r>
    </w:p>
    <w:p w14:paraId="0AA8146E" w14:textId="77777777" w:rsidR="00E44D82" w:rsidRPr="002B255D" w:rsidRDefault="00E44D82" w:rsidP="00303C70">
      <w:pPr>
        <w:pStyle w:val="Akapitzlist"/>
        <w:spacing w:line="276" w:lineRule="auto"/>
        <w:ind w:left="426"/>
        <w:jc w:val="both"/>
        <w:rPr>
          <w:rFonts w:ascii="Open Sans" w:hAnsi="Open Sans" w:cs="Open Sans"/>
          <w:color w:val="000000"/>
          <w:sz w:val="24"/>
          <w:szCs w:val="24"/>
        </w:rPr>
      </w:pPr>
      <w:r w:rsidRPr="002B255D">
        <w:rPr>
          <w:rFonts w:ascii="Open Sans" w:hAnsi="Open Sans" w:cs="Open Sans"/>
          <w:color w:val="000000"/>
          <w:sz w:val="24"/>
          <w:szCs w:val="24"/>
        </w:rPr>
        <w:t>Wojewódzki Fundusz Ochrony Środowiska i Gospodarki Wodnej w Warszawie,</w:t>
      </w:r>
    </w:p>
    <w:p w14:paraId="6D246C51" w14:textId="77777777" w:rsidR="00E44D82" w:rsidRPr="002B255D" w:rsidRDefault="00E44D82" w:rsidP="00303C70">
      <w:pPr>
        <w:pStyle w:val="Akapitzlist"/>
        <w:spacing w:line="276" w:lineRule="auto"/>
        <w:ind w:left="426"/>
        <w:jc w:val="both"/>
        <w:rPr>
          <w:rFonts w:ascii="Open Sans" w:hAnsi="Open Sans" w:cs="Open Sans"/>
          <w:color w:val="000000"/>
          <w:sz w:val="24"/>
          <w:szCs w:val="24"/>
        </w:rPr>
      </w:pPr>
      <w:r w:rsidRPr="002B255D">
        <w:rPr>
          <w:rFonts w:ascii="Open Sans" w:hAnsi="Open Sans" w:cs="Open Sans"/>
          <w:color w:val="000000"/>
          <w:sz w:val="24"/>
          <w:szCs w:val="24"/>
        </w:rPr>
        <w:t>Wojewódzki Fundusz Ochrony Środowiska i Gospodarki Wodnej w Opolu,</w:t>
      </w:r>
    </w:p>
    <w:p w14:paraId="295C4DA6" w14:textId="77777777" w:rsidR="00E44D82" w:rsidRPr="002B255D" w:rsidRDefault="00E44D82" w:rsidP="00303C70">
      <w:pPr>
        <w:pStyle w:val="Akapitzlist"/>
        <w:spacing w:line="276" w:lineRule="auto"/>
        <w:ind w:left="426"/>
        <w:jc w:val="both"/>
        <w:rPr>
          <w:rFonts w:ascii="Open Sans" w:hAnsi="Open Sans" w:cs="Open Sans"/>
          <w:color w:val="000000"/>
          <w:sz w:val="24"/>
          <w:szCs w:val="24"/>
        </w:rPr>
      </w:pPr>
      <w:r w:rsidRPr="002B255D">
        <w:rPr>
          <w:rFonts w:ascii="Open Sans" w:hAnsi="Open Sans" w:cs="Open Sans"/>
          <w:color w:val="000000"/>
          <w:sz w:val="24"/>
          <w:szCs w:val="24"/>
        </w:rPr>
        <w:t>Wojewódzki Fundusz Ochrony Środowiska i Gospodarki Wodnej w Rzeszowie,</w:t>
      </w:r>
    </w:p>
    <w:p w14:paraId="551B9446" w14:textId="2D38E1DB" w:rsidR="00E44D82" w:rsidRPr="002B255D" w:rsidRDefault="00E44D82" w:rsidP="00303C70">
      <w:pPr>
        <w:pStyle w:val="Akapitzlist"/>
        <w:spacing w:line="276" w:lineRule="auto"/>
        <w:ind w:left="426"/>
        <w:jc w:val="both"/>
        <w:rPr>
          <w:rFonts w:ascii="Open Sans" w:hAnsi="Open Sans" w:cs="Open Sans"/>
          <w:color w:val="000000"/>
          <w:sz w:val="24"/>
          <w:szCs w:val="24"/>
        </w:rPr>
      </w:pPr>
      <w:r w:rsidRPr="002B255D">
        <w:rPr>
          <w:rFonts w:ascii="Open Sans" w:hAnsi="Open Sans" w:cs="Open Sans"/>
          <w:color w:val="000000"/>
          <w:sz w:val="24"/>
          <w:szCs w:val="24"/>
        </w:rPr>
        <w:t>Wojewódzki Fundusz Ochrony Środowiska i Gospodarki Wodnej w</w:t>
      </w:r>
      <w:r w:rsidR="00BA41E6">
        <w:rPr>
          <w:rFonts w:ascii="Open Sans" w:hAnsi="Open Sans" w:cs="Open Sans"/>
          <w:color w:val="000000"/>
          <w:sz w:val="24"/>
          <w:szCs w:val="24"/>
        </w:rPr>
        <w:t> </w:t>
      </w:r>
      <w:r w:rsidRPr="002B255D">
        <w:rPr>
          <w:rFonts w:ascii="Open Sans" w:hAnsi="Open Sans" w:cs="Open Sans"/>
          <w:color w:val="000000"/>
          <w:sz w:val="24"/>
          <w:szCs w:val="24"/>
        </w:rPr>
        <w:t>Białymstoku,</w:t>
      </w:r>
    </w:p>
    <w:p w14:paraId="1E141966" w14:textId="77777777" w:rsidR="00E44D82" w:rsidRPr="002B255D" w:rsidRDefault="00E44D82" w:rsidP="00303C70">
      <w:pPr>
        <w:pStyle w:val="Akapitzlist"/>
        <w:spacing w:line="276" w:lineRule="auto"/>
        <w:ind w:left="426"/>
        <w:jc w:val="both"/>
        <w:rPr>
          <w:rFonts w:ascii="Open Sans" w:hAnsi="Open Sans" w:cs="Open Sans"/>
          <w:color w:val="000000"/>
          <w:sz w:val="24"/>
          <w:szCs w:val="24"/>
        </w:rPr>
      </w:pPr>
      <w:r w:rsidRPr="002B255D">
        <w:rPr>
          <w:rFonts w:ascii="Open Sans" w:hAnsi="Open Sans" w:cs="Open Sans"/>
          <w:color w:val="000000"/>
          <w:sz w:val="24"/>
          <w:szCs w:val="24"/>
        </w:rPr>
        <w:t>Wojewódzki Fundusz Ochrony Środowiska i Gospodarki Wodnej w Gdańsku,</w:t>
      </w:r>
    </w:p>
    <w:p w14:paraId="041F1AFA" w14:textId="77777777" w:rsidR="00E44D82" w:rsidRPr="002B255D" w:rsidRDefault="00E44D82" w:rsidP="00303C70">
      <w:pPr>
        <w:pStyle w:val="Akapitzlist"/>
        <w:spacing w:line="276" w:lineRule="auto"/>
        <w:ind w:left="426"/>
        <w:jc w:val="both"/>
        <w:rPr>
          <w:rFonts w:ascii="Open Sans" w:hAnsi="Open Sans" w:cs="Open Sans"/>
          <w:color w:val="000000"/>
          <w:sz w:val="24"/>
          <w:szCs w:val="24"/>
        </w:rPr>
      </w:pPr>
      <w:r w:rsidRPr="002B255D">
        <w:rPr>
          <w:rFonts w:ascii="Open Sans" w:hAnsi="Open Sans" w:cs="Open Sans"/>
          <w:color w:val="000000"/>
          <w:sz w:val="24"/>
          <w:szCs w:val="24"/>
        </w:rPr>
        <w:t>Wojewódzki Fundusz Ochrony Środowiska i Gospodarki Wodnej w Katowicach,</w:t>
      </w:r>
    </w:p>
    <w:p w14:paraId="385A8FC9" w14:textId="77777777" w:rsidR="00E44D82" w:rsidRPr="002B255D" w:rsidRDefault="00E44D82" w:rsidP="00303C70">
      <w:pPr>
        <w:pStyle w:val="Akapitzlist"/>
        <w:spacing w:line="276" w:lineRule="auto"/>
        <w:ind w:left="426"/>
        <w:jc w:val="both"/>
        <w:rPr>
          <w:rFonts w:ascii="Open Sans" w:hAnsi="Open Sans" w:cs="Open Sans"/>
          <w:color w:val="000000"/>
          <w:sz w:val="24"/>
          <w:szCs w:val="24"/>
        </w:rPr>
      </w:pPr>
      <w:r w:rsidRPr="002B255D">
        <w:rPr>
          <w:rFonts w:ascii="Open Sans" w:hAnsi="Open Sans" w:cs="Open Sans"/>
          <w:color w:val="000000"/>
          <w:sz w:val="24"/>
          <w:szCs w:val="24"/>
        </w:rPr>
        <w:t>Wojewódzki Fundusz Ochrony Środowiska i Gospodarki Wodnej w Kielcach,</w:t>
      </w:r>
    </w:p>
    <w:p w14:paraId="054AD6E2" w14:textId="77777777" w:rsidR="00E44D82" w:rsidRPr="002B255D" w:rsidRDefault="00E44D82" w:rsidP="00303C70">
      <w:pPr>
        <w:pStyle w:val="Akapitzlist"/>
        <w:spacing w:line="276" w:lineRule="auto"/>
        <w:ind w:left="426"/>
        <w:jc w:val="both"/>
        <w:rPr>
          <w:rFonts w:ascii="Open Sans" w:hAnsi="Open Sans" w:cs="Open Sans"/>
          <w:color w:val="000000"/>
          <w:sz w:val="24"/>
          <w:szCs w:val="24"/>
        </w:rPr>
      </w:pPr>
      <w:r w:rsidRPr="002B255D">
        <w:rPr>
          <w:rFonts w:ascii="Open Sans" w:hAnsi="Open Sans" w:cs="Open Sans"/>
          <w:color w:val="000000"/>
          <w:sz w:val="24"/>
          <w:szCs w:val="24"/>
        </w:rPr>
        <w:t>Wojewódzki Fundusz Ochrony Środowiska i Gospodarki Wodnej w Olsztynie,</w:t>
      </w:r>
    </w:p>
    <w:p w14:paraId="23224CCF" w14:textId="77777777" w:rsidR="00E44D82" w:rsidRPr="002B255D" w:rsidRDefault="00E44D82" w:rsidP="00303C70">
      <w:pPr>
        <w:pStyle w:val="Akapitzlist"/>
        <w:spacing w:after="0" w:line="276" w:lineRule="auto"/>
        <w:ind w:left="426"/>
        <w:jc w:val="both"/>
        <w:rPr>
          <w:rFonts w:ascii="Open Sans" w:hAnsi="Open Sans" w:cs="Open Sans"/>
          <w:color w:val="000000"/>
          <w:sz w:val="24"/>
          <w:szCs w:val="24"/>
        </w:rPr>
      </w:pPr>
      <w:r w:rsidRPr="002B255D">
        <w:rPr>
          <w:rFonts w:ascii="Open Sans" w:hAnsi="Open Sans" w:cs="Open Sans"/>
          <w:color w:val="000000"/>
          <w:sz w:val="24"/>
          <w:szCs w:val="24"/>
        </w:rPr>
        <w:t>Wojewódzki Fundusz Ochrony Środowiska i Gospodarki Wodnej w Poznaniu,</w:t>
      </w:r>
    </w:p>
    <w:p w14:paraId="4C4A96DC" w14:textId="41F7ABA5" w:rsidR="00E44D82" w:rsidRPr="002B255D" w:rsidRDefault="00E44D82" w:rsidP="00303C70">
      <w:pPr>
        <w:spacing w:after="0" w:line="276" w:lineRule="auto"/>
        <w:ind w:firstLine="426"/>
        <w:jc w:val="both"/>
        <w:rPr>
          <w:rFonts w:ascii="Open Sans" w:hAnsi="Open Sans" w:cs="Open Sans"/>
          <w:sz w:val="24"/>
          <w:szCs w:val="24"/>
        </w:rPr>
      </w:pPr>
      <w:r w:rsidRPr="002B255D">
        <w:rPr>
          <w:rFonts w:ascii="Open Sans" w:hAnsi="Open Sans" w:cs="Open Sans"/>
          <w:color w:val="000000"/>
          <w:sz w:val="24"/>
          <w:szCs w:val="24"/>
        </w:rPr>
        <w:t>Wojewódzki Fundusz Ochrony Środowiska i Gospodarki Wodnej w Szczecinie</w:t>
      </w:r>
      <w:r w:rsidR="00C91E72" w:rsidRPr="002B255D">
        <w:rPr>
          <w:rFonts w:ascii="Open Sans" w:hAnsi="Open Sans" w:cs="Open Sans"/>
          <w:color w:val="000000"/>
          <w:sz w:val="24"/>
          <w:szCs w:val="24"/>
        </w:rPr>
        <w:t>.</w:t>
      </w:r>
    </w:p>
    <w:p w14:paraId="648A59A6" w14:textId="77777777" w:rsidR="00E44D82" w:rsidRPr="002B255D" w:rsidRDefault="00E44D82" w:rsidP="002B255D">
      <w:pPr>
        <w:pStyle w:val="Nagwek2"/>
        <w:rPr>
          <w:rFonts w:cs="Open Sans"/>
        </w:rPr>
      </w:pPr>
      <w:r w:rsidRPr="002B255D">
        <w:rPr>
          <w:rFonts w:cs="Open Sans"/>
        </w:rPr>
        <w:t>Na co można otrzymać dofinansowanie</w:t>
      </w:r>
    </w:p>
    <w:p w14:paraId="111BBD8D" w14:textId="79796A3A" w:rsidR="00E44D82" w:rsidRPr="002B255D" w:rsidRDefault="00E44D82" w:rsidP="00303C70">
      <w:pPr>
        <w:spacing w:line="276" w:lineRule="auto"/>
        <w:jc w:val="both"/>
        <w:rPr>
          <w:rFonts w:ascii="Open Sans" w:hAnsi="Open Sans" w:cs="Open Sans"/>
          <w:sz w:val="24"/>
          <w:szCs w:val="24"/>
        </w:rPr>
      </w:pPr>
      <w:r w:rsidRPr="002B255D">
        <w:rPr>
          <w:rFonts w:ascii="Open Sans" w:hAnsi="Open Sans" w:cs="Open Sans"/>
          <w:sz w:val="24"/>
          <w:szCs w:val="24"/>
        </w:rPr>
        <w:t xml:space="preserve">Wsparciem objęte będą działania związane z realizacją Programu „Czyste Powietrze”, w ramach którego będzie przyznawane dofinansowanie dla projektów realizowanych przez 16 </w:t>
      </w:r>
      <w:proofErr w:type="spellStart"/>
      <w:r w:rsidRPr="002B255D">
        <w:rPr>
          <w:rFonts w:ascii="Open Sans" w:hAnsi="Open Sans" w:cs="Open Sans"/>
          <w:sz w:val="24"/>
          <w:szCs w:val="24"/>
        </w:rPr>
        <w:t>wfośigw</w:t>
      </w:r>
      <w:proofErr w:type="spellEnd"/>
      <w:r w:rsidRPr="002B255D">
        <w:rPr>
          <w:rFonts w:ascii="Open Sans" w:hAnsi="Open Sans" w:cs="Open Sans"/>
          <w:sz w:val="24"/>
          <w:szCs w:val="24"/>
        </w:rPr>
        <w:t xml:space="preserve"> na terenie poszczególnych województw, polegających na wymianie nieefektywnych źródeł służących do ogrzewania pomieszczeń i przygotowania ciepłej wody użytkowej, termomodernizacji budynków mieszkalnych i instalacji OZE (w tym przede wszystkim paneli fotowoltaicznych i kolektorów słonecznych), przez osoby fizyczne będące właścicielami/współwłaścicielami budynków mieszkalnych jednorodzinnych</w:t>
      </w:r>
      <w:r w:rsidR="00187F27" w:rsidRPr="002B255D">
        <w:rPr>
          <w:rFonts w:ascii="Open Sans" w:hAnsi="Open Sans" w:cs="Open Sans"/>
          <w:sz w:val="24"/>
          <w:szCs w:val="24"/>
        </w:rPr>
        <w:t xml:space="preserve"> lub lokali mieszkalnych wydzielonych w budynkach jednorodzinnych posiadających wyodrębnioną Księgą Wieczystą.</w:t>
      </w:r>
      <w:r w:rsidRPr="002B255D">
        <w:rPr>
          <w:rFonts w:ascii="Open Sans" w:hAnsi="Open Sans" w:cs="Open Sans"/>
          <w:sz w:val="24"/>
          <w:szCs w:val="24"/>
        </w:rPr>
        <w:t xml:space="preserve"> Projekt</w:t>
      </w:r>
      <w:r w:rsidR="00561EAE" w:rsidRPr="002B255D">
        <w:rPr>
          <w:rFonts w:ascii="Open Sans" w:hAnsi="Open Sans" w:cs="Open Sans"/>
          <w:sz w:val="24"/>
          <w:szCs w:val="24"/>
        </w:rPr>
        <w:t>y</w:t>
      </w:r>
      <w:r w:rsidRPr="002B255D">
        <w:rPr>
          <w:rFonts w:ascii="Open Sans" w:hAnsi="Open Sans" w:cs="Open Sans"/>
          <w:sz w:val="24"/>
          <w:szCs w:val="24"/>
        </w:rPr>
        <w:t xml:space="preserve"> realizowan</w:t>
      </w:r>
      <w:r w:rsidR="00561EAE" w:rsidRPr="002B255D">
        <w:rPr>
          <w:rFonts w:ascii="Open Sans" w:hAnsi="Open Sans" w:cs="Open Sans"/>
          <w:sz w:val="24"/>
          <w:szCs w:val="24"/>
        </w:rPr>
        <w:t>e</w:t>
      </w:r>
      <w:r w:rsidRPr="002B255D">
        <w:rPr>
          <w:rFonts w:ascii="Open Sans" w:hAnsi="Open Sans" w:cs="Open Sans"/>
          <w:sz w:val="24"/>
          <w:szCs w:val="24"/>
        </w:rPr>
        <w:t xml:space="preserve"> bę</w:t>
      </w:r>
      <w:r w:rsidR="00561EAE" w:rsidRPr="002B255D">
        <w:rPr>
          <w:rFonts w:ascii="Open Sans" w:hAnsi="Open Sans" w:cs="Open Sans"/>
          <w:sz w:val="24"/>
          <w:szCs w:val="24"/>
        </w:rPr>
        <w:t>dą</w:t>
      </w:r>
      <w:r w:rsidRPr="002B255D">
        <w:rPr>
          <w:rFonts w:ascii="Open Sans" w:hAnsi="Open Sans" w:cs="Open Sans"/>
          <w:sz w:val="24"/>
          <w:szCs w:val="24"/>
        </w:rPr>
        <w:t xml:space="preserve"> jako projekt</w:t>
      </w:r>
      <w:r w:rsidR="00561EAE" w:rsidRPr="002B255D">
        <w:rPr>
          <w:rFonts w:ascii="Open Sans" w:hAnsi="Open Sans" w:cs="Open Sans"/>
          <w:sz w:val="24"/>
          <w:szCs w:val="24"/>
        </w:rPr>
        <w:t>y</w:t>
      </w:r>
      <w:r w:rsidRPr="002B255D">
        <w:rPr>
          <w:rFonts w:ascii="Open Sans" w:hAnsi="Open Sans" w:cs="Open Sans"/>
          <w:sz w:val="24"/>
          <w:szCs w:val="24"/>
        </w:rPr>
        <w:t xml:space="preserve"> grantow</w:t>
      </w:r>
      <w:r w:rsidR="00561EAE" w:rsidRPr="002B255D">
        <w:rPr>
          <w:rFonts w:ascii="Open Sans" w:hAnsi="Open Sans" w:cs="Open Sans"/>
          <w:sz w:val="24"/>
          <w:szCs w:val="24"/>
        </w:rPr>
        <w:t>e</w:t>
      </w:r>
      <w:r w:rsidRPr="002B255D">
        <w:rPr>
          <w:rFonts w:ascii="Open Sans" w:hAnsi="Open Sans" w:cs="Open Sans"/>
          <w:sz w:val="24"/>
          <w:szCs w:val="24"/>
        </w:rPr>
        <w:t>.</w:t>
      </w:r>
    </w:p>
    <w:p w14:paraId="70437D2C" w14:textId="77777777" w:rsidR="00E44D82" w:rsidRPr="002B255D" w:rsidRDefault="00E44D82" w:rsidP="00303C70">
      <w:pPr>
        <w:pStyle w:val="Nagwek2"/>
        <w:rPr>
          <w:rFonts w:cs="Open Sans"/>
        </w:rPr>
      </w:pPr>
      <w:r w:rsidRPr="002B255D">
        <w:rPr>
          <w:rFonts w:cs="Open Sans"/>
        </w:rPr>
        <w:t>Wysokość dofinansowania</w:t>
      </w:r>
    </w:p>
    <w:p w14:paraId="123F8043" w14:textId="293CBB5A" w:rsidR="00E44D82" w:rsidRPr="002B255D" w:rsidRDefault="00E44D82" w:rsidP="002B255D">
      <w:pPr>
        <w:spacing w:after="240" w:line="276" w:lineRule="auto"/>
        <w:jc w:val="both"/>
        <w:rPr>
          <w:rFonts w:ascii="Open Sans" w:hAnsi="Open Sans" w:cs="Open Sans"/>
          <w:sz w:val="24"/>
          <w:szCs w:val="24"/>
        </w:rPr>
      </w:pPr>
      <w:r w:rsidRPr="002B255D">
        <w:rPr>
          <w:rFonts w:ascii="Open Sans" w:hAnsi="Open Sans" w:cs="Open Sans"/>
          <w:sz w:val="24"/>
          <w:szCs w:val="24"/>
        </w:rPr>
        <w:t xml:space="preserve">Maksymalny procentowy poziom dofinansowania całkowitego wydatków kwalifikowanych na poziomie </w:t>
      </w:r>
      <w:r w:rsidR="00561EAE" w:rsidRPr="002B255D">
        <w:rPr>
          <w:rFonts w:ascii="Open Sans" w:hAnsi="Open Sans" w:cs="Open Sans"/>
          <w:sz w:val="24"/>
          <w:szCs w:val="24"/>
        </w:rPr>
        <w:t xml:space="preserve">każdego </w:t>
      </w:r>
      <w:r w:rsidRPr="002B255D">
        <w:rPr>
          <w:rFonts w:ascii="Open Sans" w:hAnsi="Open Sans" w:cs="Open Sans"/>
          <w:sz w:val="24"/>
          <w:szCs w:val="24"/>
        </w:rPr>
        <w:t>projektu wynosi 100%.</w:t>
      </w:r>
    </w:p>
    <w:p w14:paraId="06C17925" w14:textId="688FE277" w:rsidR="00E44D82" w:rsidRPr="002B255D" w:rsidRDefault="00E44D82" w:rsidP="00303C70">
      <w:pPr>
        <w:spacing w:line="276" w:lineRule="auto"/>
        <w:jc w:val="both"/>
        <w:rPr>
          <w:rFonts w:ascii="Open Sans" w:hAnsi="Open Sans" w:cs="Open Sans"/>
          <w:sz w:val="24"/>
          <w:szCs w:val="24"/>
        </w:rPr>
      </w:pPr>
      <w:r w:rsidRPr="002B255D">
        <w:rPr>
          <w:rFonts w:ascii="Open Sans" w:hAnsi="Open Sans" w:cs="Open Sans"/>
          <w:sz w:val="24"/>
          <w:szCs w:val="24"/>
        </w:rPr>
        <w:t xml:space="preserve">Alokacja finansowa ze środków Funduszu Spójności wynosi ogółem </w:t>
      </w:r>
      <w:r w:rsidR="00561EAE" w:rsidRPr="002B255D">
        <w:rPr>
          <w:rFonts w:ascii="Open Sans" w:hAnsi="Open Sans" w:cs="Open Sans"/>
          <w:sz w:val="24"/>
          <w:szCs w:val="24"/>
        </w:rPr>
        <w:t>6 400</w:t>
      </w:r>
      <w:r w:rsidRPr="002B255D">
        <w:rPr>
          <w:rFonts w:ascii="Open Sans" w:hAnsi="Open Sans" w:cs="Open Sans"/>
          <w:sz w:val="24"/>
          <w:szCs w:val="24"/>
        </w:rPr>
        <w:t xml:space="preserve"> 000 000 PLN (słownie: </w:t>
      </w:r>
      <w:r w:rsidR="00561EAE" w:rsidRPr="002B255D">
        <w:rPr>
          <w:rFonts w:ascii="Open Sans" w:hAnsi="Open Sans" w:cs="Open Sans"/>
          <w:sz w:val="24"/>
          <w:szCs w:val="24"/>
        </w:rPr>
        <w:t>sześć</w:t>
      </w:r>
      <w:r w:rsidRPr="002B255D">
        <w:rPr>
          <w:rFonts w:ascii="Open Sans" w:hAnsi="Open Sans" w:cs="Open Sans"/>
          <w:sz w:val="24"/>
          <w:szCs w:val="24"/>
        </w:rPr>
        <w:t xml:space="preserve"> miliardów czterysta milionów złotych).</w:t>
      </w:r>
    </w:p>
    <w:p w14:paraId="47514394" w14:textId="77777777" w:rsidR="00E44D82" w:rsidRPr="002B255D" w:rsidRDefault="00E44D82" w:rsidP="002B255D">
      <w:pPr>
        <w:pStyle w:val="Nagwek2"/>
        <w:rPr>
          <w:rFonts w:cs="Open Sans"/>
        </w:rPr>
      </w:pPr>
      <w:r w:rsidRPr="002B255D">
        <w:rPr>
          <w:rFonts w:cs="Open Sans"/>
        </w:rPr>
        <w:lastRenderedPageBreak/>
        <w:t>Finansowanie</w:t>
      </w:r>
    </w:p>
    <w:p w14:paraId="22BC4289" w14:textId="49716AE2" w:rsidR="00E44D82" w:rsidRPr="002B255D" w:rsidRDefault="00E44D82" w:rsidP="00303C70">
      <w:pPr>
        <w:spacing w:line="276" w:lineRule="auto"/>
        <w:jc w:val="both"/>
        <w:rPr>
          <w:rFonts w:ascii="Open Sans" w:hAnsi="Open Sans" w:cs="Open Sans"/>
          <w:sz w:val="24"/>
          <w:szCs w:val="24"/>
        </w:rPr>
      </w:pPr>
      <w:r w:rsidRPr="002B255D">
        <w:rPr>
          <w:rFonts w:ascii="Open Sans" w:hAnsi="Open Sans" w:cs="Open Sans"/>
          <w:sz w:val="24"/>
          <w:szCs w:val="24"/>
        </w:rPr>
        <w:t>Program Fundusze Europejskie na Infrastrukturę, Klimat, Środowisko 2021 – 2027</w:t>
      </w:r>
    </w:p>
    <w:p w14:paraId="2B515192" w14:textId="77777777" w:rsidR="00E44D82" w:rsidRPr="002B255D" w:rsidRDefault="00E44D82" w:rsidP="002B255D">
      <w:pPr>
        <w:pStyle w:val="Nagwek2"/>
        <w:rPr>
          <w:rFonts w:cs="Open Sans"/>
        </w:rPr>
      </w:pPr>
      <w:r w:rsidRPr="002B255D">
        <w:rPr>
          <w:rFonts w:cs="Open Sans"/>
        </w:rPr>
        <w:t>Zasady przeprowadzania naboru</w:t>
      </w:r>
    </w:p>
    <w:p w14:paraId="15E03903" w14:textId="21583149" w:rsidR="00E44D82" w:rsidRDefault="00E44D82" w:rsidP="00303C70">
      <w:pPr>
        <w:spacing w:line="276" w:lineRule="auto"/>
        <w:jc w:val="both"/>
        <w:rPr>
          <w:rFonts w:ascii="Open Sans" w:hAnsi="Open Sans" w:cs="Open Sans"/>
          <w:sz w:val="24"/>
          <w:szCs w:val="24"/>
        </w:rPr>
      </w:pPr>
      <w:r w:rsidRPr="002B255D">
        <w:rPr>
          <w:rFonts w:ascii="Open Sans" w:hAnsi="Open Sans" w:cs="Open Sans"/>
          <w:sz w:val="24"/>
          <w:szCs w:val="24"/>
        </w:rPr>
        <w:t xml:space="preserve">Informacje na temat zasad wyboru projektów dostępne są na stronie </w:t>
      </w:r>
      <w:r w:rsidR="00561EAE" w:rsidRPr="002B255D">
        <w:rPr>
          <w:rFonts w:ascii="Open Sans" w:hAnsi="Open Sans" w:cs="Open Sans"/>
          <w:sz w:val="24"/>
          <w:szCs w:val="24"/>
        </w:rPr>
        <w:t>Narodowego Funduszu Ochrony Środowiska i Gospodarki Wodnej</w:t>
      </w:r>
      <w:r w:rsidRPr="002B255D">
        <w:rPr>
          <w:rFonts w:ascii="Open Sans" w:hAnsi="Open Sans" w:cs="Open Sans"/>
          <w:sz w:val="24"/>
          <w:szCs w:val="24"/>
        </w:rPr>
        <w:t>, w zakładce Fundusze Europejskie na Infrastrukturę, Klimat, Środowisko 2021-2027 (</w:t>
      </w:r>
      <w:proofErr w:type="spellStart"/>
      <w:r w:rsidRPr="002B255D">
        <w:rPr>
          <w:rFonts w:ascii="Open Sans" w:hAnsi="Open Sans" w:cs="Open Sans"/>
          <w:sz w:val="24"/>
          <w:szCs w:val="24"/>
        </w:rPr>
        <w:t>FEnIKS</w:t>
      </w:r>
      <w:proofErr w:type="spellEnd"/>
      <w:r w:rsidRPr="002B255D">
        <w:rPr>
          <w:rFonts w:ascii="Open Sans" w:hAnsi="Open Sans" w:cs="Open Sans"/>
          <w:sz w:val="24"/>
          <w:szCs w:val="24"/>
        </w:rPr>
        <w:t xml:space="preserve">). </w:t>
      </w:r>
    </w:p>
    <w:p w14:paraId="53B09B65" w14:textId="4B8A66AE" w:rsidR="008E07FE" w:rsidRPr="002B255D" w:rsidRDefault="008E07FE" w:rsidP="008E07FE">
      <w:pPr>
        <w:spacing w:before="360" w:line="276" w:lineRule="auto"/>
        <w:jc w:val="both"/>
        <w:rPr>
          <w:rFonts w:ascii="Open Sans" w:hAnsi="Open Sans" w:cs="Open Sans"/>
          <w:sz w:val="24"/>
          <w:szCs w:val="24"/>
        </w:rPr>
      </w:pPr>
      <w:r w:rsidRPr="002B255D">
        <w:rPr>
          <w:rFonts w:ascii="Open Sans" w:hAnsi="Open Sans" w:cs="Open Sans"/>
          <w:sz w:val="24"/>
          <w:szCs w:val="24"/>
        </w:rPr>
        <w:t xml:space="preserve">Link do aplikacji WOD2021 </w:t>
      </w:r>
      <w:hyperlink r:id="rId7" w:history="1">
        <w:r w:rsidRPr="002B255D">
          <w:rPr>
            <w:rStyle w:val="Hipercze"/>
            <w:rFonts w:ascii="Open Sans" w:hAnsi="Open Sans" w:cs="Open Sans"/>
            <w:sz w:val="24"/>
            <w:szCs w:val="24"/>
          </w:rPr>
          <w:t>https://wod.cst2021.gov.pl/</w:t>
        </w:r>
      </w:hyperlink>
      <w:r w:rsidRPr="002B255D">
        <w:rPr>
          <w:rFonts w:ascii="Open Sans" w:hAnsi="Open Sans" w:cs="Open Sans"/>
          <w:sz w:val="24"/>
          <w:szCs w:val="24"/>
        </w:rPr>
        <w:t xml:space="preserve"> </w:t>
      </w:r>
    </w:p>
    <w:p w14:paraId="31754EF7" w14:textId="77777777" w:rsidR="00E44D82" w:rsidRPr="002B255D" w:rsidRDefault="00E44D82" w:rsidP="00303C70">
      <w:pPr>
        <w:pStyle w:val="Nagwek2"/>
        <w:rPr>
          <w:rFonts w:cs="Open Sans"/>
        </w:rPr>
      </w:pPr>
      <w:r w:rsidRPr="002B255D">
        <w:rPr>
          <w:rFonts w:cs="Open Sans"/>
        </w:rPr>
        <w:t>Niezbędne dokumenty</w:t>
      </w:r>
    </w:p>
    <w:p w14:paraId="02AD5183" w14:textId="77777777" w:rsidR="00E44D82" w:rsidRPr="002B255D" w:rsidRDefault="00E44D82" w:rsidP="00303C70">
      <w:pPr>
        <w:spacing w:line="276" w:lineRule="auto"/>
        <w:jc w:val="both"/>
        <w:rPr>
          <w:rFonts w:ascii="Open Sans" w:hAnsi="Open Sans" w:cs="Open Sans"/>
          <w:sz w:val="24"/>
          <w:szCs w:val="24"/>
        </w:rPr>
      </w:pPr>
      <w:r w:rsidRPr="002B255D">
        <w:rPr>
          <w:rFonts w:ascii="Open Sans" w:hAnsi="Open Sans" w:cs="Open Sans"/>
          <w:sz w:val="24"/>
          <w:szCs w:val="24"/>
        </w:rPr>
        <w:t>Regulamin naboru</w:t>
      </w:r>
    </w:p>
    <w:p w14:paraId="3EE967E3" w14:textId="77777777" w:rsidR="00E44D82" w:rsidRPr="002B255D" w:rsidRDefault="00E44D82" w:rsidP="00303C70">
      <w:pPr>
        <w:spacing w:line="276" w:lineRule="auto"/>
        <w:jc w:val="both"/>
        <w:rPr>
          <w:rFonts w:ascii="Open Sans" w:hAnsi="Open Sans" w:cs="Open Sans"/>
          <w:sz w:val="24"/>
          <w:szCs w:val="24"/>
        </w:rPr>
      </w:pPr>
      <w:r w:rsidRPr="002B255D">
        <w:rPr>
          <w:rFonts w:ascii="Open Sans" w:hAnsi="Open Sans" w:cs="Open Sans"/>
          <w:sz w:val="24"/>
          <w:szCs w:val="24"/>
        </w:rPr>
        <w:t xml:space="preserve">Zał. 1 do Regulaminu Formularz </w:t>
      </w:r>
      <w:proofErr w:type="spellStart"/>
      <w:r w:rsidRPr="002B255D">
        <w:rPr>
          <w:rFonts w:ascii="Open Sans" w:hAnsi="Open Sans" w:cs="Open Sans"/>
          <w:sz w:val="24"/>
          <w:szCs w:val="24"/>
        </w:rPr>
        <w:t>WoD</w:t>
      </w:r>
      <w:proofErr w:type="spellEnd"/>
    </w:p>
    <w:p w14:paraId="7ED8ED15" w14:textId="77777777" w:rsidR="00E44D82" w:rsidRPr="002B255D" w:rsidRDefault="00E44D82" w:rsidP="00303C70">
      <w:pPr>
        <w:spacing w:line="276" w:lineRule="auto"/>
        <w:jc w:val="both"/>
        <w:rPr>
          <w:rFonts w:ascii="Open Sans" w:hAnsi="Open Sans" w:cs="Open Sans"/>
          <w:sz w:val="24"/>
          <w:szCs w:val="24"/>
        </w:rPr>
      </w:pPr>
      <w:r w:rsidRPr="002B255D">
        <w:rPr>
          <w:rFonts w:ascii="Open Sans" w:hAnsi="Open Sans" w:cs="Open Sans"/>
          <w:sz w:val="24"/>
          <w:szCs w:val="24"/>
        </w:rPr>
        <w:t xml:space="preserve">Załączniki do </w:t>
      </w:r>
      <w:proofErr w:type="spellStart"/>
      <w:r w:rsidRPr="002B255D">
        <w:rPr>
          <w:rFonts w:ascii="Open Sans" w:hAnsi="Open Sans" w:cs="Open Sans"/>
          <w:sz w:val="24"/>
          <w:szCs w:val="24"/>
        </w:rPr>
        <w:t>WoD</w:t>
      </w:r>
      <w:proofErr w:type="spellEnd"/>
    </w:p>
    <w:p w14:paraId="6809E0BE" w14:textId="77777777" w:rsidR="00E44D82" w:rsidRPr="002B255D" w:rsidRDefault="00E44D82" w:rsidP="00303C70">
      <w:pPr>
        <w:spacing w:line="276" w:lineRule="auto"/>
        <w:jc w:val="both"/>
        <w:rPr>
          <w:rFonts w:ascii="Open Sans" w:hAnsi="Open Sans" w:cs="Open Sans"/>
          <w:sz w:val="24"/>
          <w:szCs w:val="24"/>
        </w:rPr>
      </w:pPr>
      <w:r w:rsidRPr="002B255D">
        <w:rPr>
          <w:rFonts w:ascii="Open Sans" w:hAnsi="Open Sans" w:cs="Open Sans"/>
          <w:sz w:val="24"/>
          <w:szCs w:val="24"/>
        </w:rPr>
        <w:t>Zał. 2 do Regulaminu Instrukcja do wniosku o dofinansowanie</w:t>
      </w:r>
    </w:p>
    <w:p w14:paraId="3746A565" w14:textId="29F6C99C" w:rsidR="00E44D82" w:rsidRPr="002B255D" w:rsidRDefault="00E44D82" w:rsidP="00303C70">
      <w:pPr>
        <w:spacing w:line="276" w:lineRule="auto"/>
        <w:jc w:val="both"/>
        <w:rPr>
          <w:rFonts w:ascii="Open Sans" w:hAnsi="Open Sans" w:cs="Open Sans"/>
          <w:sz w:val="24"/>
          <w:szCs w:val="24"/>
        </w:rPr>
      </w:pPr>
      <w:r w:rsidRPr="002B255D">
        <w:rPr>
          <w:rFonts w:ascii="Open Sans" w:hAnsi="Open Sans" w:cs="Open Sans"/>
          <w:sz w:val="24"/>
          <w:szCs w:val="24"/>
        </w:rPr>
        <w:t>Zał. 3</w:t>
      </w:r>
      <w:r w:rsidR="00C66DE8" w:rsidRPr="002B255D">
        <w:rPr>
          <w:rFonts w:ascii="Open Sans" w:hAnsi="Open Sans" w:cs="Open Sans"/>
          <w:sz w:val="24"/>
          <w:szCs w:val="24"/>
        </w:rPr>
        <w:t>a</w:t>
      </w:r>
      <w:r w:rsidRPr="002B255D">
        <w:rPr>
          <w:rFonts w:ascii="Open Sans" w:hAnsi="Open Sans" w:cs="Open Sans"/>
          <w:sz w:val="24"/>
          <w:szCs w:val="24"/>
        </w:rPr>
        <w:t xml:space="preserve"> do Regulaminu </w:t>
      </w:r>
      <w:r w:rsidR="00187F27" w:rsidRPr="002B255D">
        <w:rPr>
          <w:rFonts w:ascii="Open Sans" w:hAnsi="Open Sans" w:cs="Open Sans"/>
          <w:sz w:val="24"/>
          <w:szCs w:val="24"/>
        </w:rPr>
        <w:t>kryteria horyzontalne</w:t>
      </w:r>
      <w:r w:rsidR="00C66DE8" w:rsidRPr="002B255D">
        <w:rPr>
          <w:rFonts w:ascii="Open Sans" w:hAnsi="Open Sans" w:cs="Open Sans"/>
          <w:sz w:val="24"/>
          <w:szCs w:val="24"/>
        </w:rPr>
        <w:t xml:space="preserve"> </w:t>
      </w:r>
    </w:p>
    <w:p w14:paraId="003611C5" w14:textId="1FD26FCF" w:rsidR="00C66DE8" w:rsidRPr="002B255D" w:rsidRDefault="00C66DE8" w:rsidP="00303C70">
      <w:pPr>
        <w:spacing w:line="276" w:lineRule="auto"/>
        <w:jc w:val="both"/>
        <w:rPr>
          <w:rFonts w:ascii="Open Sans" w:hAnsi="Open Sans" w:cs="Open Sans"/>
          <w:sz w:val="24"/>
          <w:szCs w:val="24"/>
        </w:rPr>
      </w:pPr>
      <w:r w:rsidRPr="002B255D">
        <w:rPr>
          <w:rFonts w:ascii="Open Sans" w:hAnsi="Open Sans" w:cs="Open Sans"/>
          <w:sz w:val="24"/>
          <w:szCs w:val="24"/>
        </w:rPr>
        <w:t xml:space="preserve">Zał. 3b do Regulaminu </w:t>
      </w:r>
      <w:r w:rsidR="00187F27" w:rsidRPr="002B255D">
        <w:rPr>
          <w:rFonts w:ascii="Open Sans" w:hAnsi="Open Sans" w:cs="Open Sans"/>
          <w:sz w:val="24"/>
          <w:szCs w:val="24"/>
        </w:rPr>
        <w:t>kryteria specyficzne</w:t>
      </w:r>
    </w:p>
    <w:p w14:paraId="56AEA0E2" w14:textId="0181CFF0" w:rsidR="00187F27" w:rsidRPr="002B255D" w:rsidRDefault="00187F27" w:rsidP="00303C70">
      <w:pPr>
        <w:spacing w:line="276" w:lineRule="auto"/>
        <w:jc w:val="both"/>
        <w:rPr>
          <w:rFonts w:ascii="Open Sans" w:hAnsi="Open Sans" w:cs="Open Sans"/>
          <w:sz w:val="24"/>
          <w:szCs w:val="24"/>
        </w:rPr>
      </w:pPr>
      <w:r w:rsidRPr="002B255D">
        <w:rPr>
          <w:rFonts w:ascii="Open Sans" w:hAnsi="Open Sans" w:cs="Open Sans"/>
          <w:sz w:val="24"/>
          <w:szCs w:val="24"/>
        </w:rPr>
        <w:t>Zał. 3c do Regulaminu Lista sprawdzająca</w:t>
      </w:r>
    </w:p>
    <w:p w14:paraId="523A0B18" w14:textId="417F119C" w:rsidR="00C66DE8" w:rsidRPr="002B255D" w:rsidRDefault="00C66DE8" w:rsidP="00303C70">
      <w:pPr>
        <w:spacing w:line="276" w:lineRule="auto"/>
        <w:jc w:val="both"/>
        <w:rPr>
          <w:rFonts w:ascii="Open Sans" w:hAnsi="Open Sans" w:cs="Open Sans"/>
          <w:sz w:val="24"/>
          <w:szCs w:val="24"/>
        </w:rPr>
      </w:pPr>
      <w:r w:rsidRPr="002B255D">
        <w:rPr>
          <w:rFonts w:ascii="Open Sans" w:hAnsi="Open Sans" w:cs="Open Sans"/>
          <w:sz w:val="24"/>
          <w:szCs w:val="24"/>
        </w:rPr>
        <w:t>Zał. 4 do Regulaminu Wzór Karty informacyjnej dla załącznika</w:t>
      </w:r>
    </w:p>
    <w:p w14:paraId="44753228" w14:textId="5D59D984" w:rsidR="00E44D82" w:rsidRPr="002B255D" w:rsidRDefault="00E44D82" w:rsidP="00303C70">
      <w:pPr>
        <w:spacing w:line="276" w:lineRule="auto"/>
        <w:jc w:val="both"/>
        <w:rPr>
          <w:rFonts w:ascii="Open Sans" w:hAnsi="Open Sans" w:cs="Open Sans"/>
          <w:sz w:val="24"/>
          <w:szCs w:val="24"/>
        </w:rPr>
      </w:pPr>
      <w:r w:rsidRPr="002B255D">
        <w:rPr>
          <w:rFonts w:ascii="Open Sans" w:hAnsi="Open Sans" w:cs="Open Sans"/>
          <w:sz w:val="24"/>
          <w:szCs w:val="24"/>
        </w:rPr>
        <w:t xml:space="preserve">Zał. </w:t>
      </w:r>
      <w:r w:rsidR="00C66DE8" w:rsidRPr="002B255D">
        <w:rPr>
          <w:rFonts w:ascii="Open Sans" w:hAnsi="Open Sans" w:cs="Open Sans"/>
          <w:sz w:val="24"/>
          <w:szCs w:val="24"/>
        </w:rPr>
        <w:t>5</w:t>
      </w:r>
      <w:r w:rsidRPr="002B255D">
        <w:rPr>
          <w:rFonts w:ascii="Open Sans" w:hAnsi="Open Sans" w:cs="Open Sans"/>
          <w:sz w:val="24"/>
          <w:szCs w:val="24"/>
        </w:rPr>
        <w:t xml:space="preserve"> do Regulaminu Oświadczenie o dokonanych zmianach</w:t>
      </w:r>
    </w:p>
    <w:p w14:paraId="512865BA" w14:textId="5672727E" w:rsidR="00E44D82" w:rsidRPr="002B255D" w:rsidRDefault="00E44D82" w:rsidP="00303C70">
      <w:pPr>
        <w:spacing w:line="276" w:lineRule="auto"/>
        <w:jc w:val="both"/>
        <w:rPr>
          <w:rFonts w:ascii="Open Sans" w:hAnsi="Open Sans" w:cs="Open Sans"/>
          <w:sz w:val="24"/>
          <w:szCs w:val="24"/>
        </w:rPr>
      </w:pPr>
      <w:r w:rsidRPr="002B255D">
        <w:rPr>
          <w:rFonts w:ascii="Open Sans" w:hAnsi="Open Sans" w:cs="Open Sans"/>
          <w:sz w:val="24"/>
          <w:szCs w:val="24"/>
        </w:rPr>
        <w:t xml:space="preserve">Zał. </w:t>
      </w:r>
      <w:r w:rsidR="00C66DE8" w:rsidRPr="002B255D">
        <w:rPr>
          <w:rFonts w:ascii="Open Sans" w:hAnsi="Open Sans" w:cs="Open Sans"/>
          <w:sz w:val="24"/>
          <w:szCs w:val="24"/>
        </w:rPr>
        <w:t>6</w:t>
      </w:r>
      <w:r w:rsidRPr="002B255D">
        <w:rPr>
          <w:rFonts w:ascii="Open Sans" w:hAnsi="Open Sans" w:cs="Open Sans"/>
          <w:sz w:val="24"/>
          <w:szCs w:val="24"/>
        </w:rPr>
        <w:t xml:space="preserve"> do Regulaminu Klauzula informacyjna </w:t>
      </w:r>
      <w:proofErr w:type="spellStart"/>
      <w:r w:rsidRPr="002B255D">
        <w:rPr>
          <w:rFonts w:ascii="Open Sans" w:hAnsi="Open Sans" w:cs="Open Sans"/>
          <w:sz w:val="24"/>
          <w:szCs w:val="24"/>
        </w:rPr>
        <w:t>FEnIKS</w:t>
      </w:r>
      <w:proofErr w:type="spellEnd"/>
    </w:p>
    <w:p w14:paraId="6A58734E" w14:textId="77777777" w:rsidR="00E44D82" w:rsidRPr="002B255D" w:rsidRDefault="00E44D82" w:rsidP="002B255D">
      <w:pPr>
        <w:pStyle w:val="Nagwek2"/>
        <w:rPr>
          <w:rFonts w:cs="Open Sans"/>
        </w:rPr>
      </w:pPr>
      <w:r w:rsidRPr="002B255D">
        <w:rPr>
          <w:rFonts w:cs="Open Sans"/>
        </w:rPr>
        <w:t>Dodatkowe informacje</w:t>
      </w:r>
    </w:p>
    <w:p w14:paraId="69DD1233" w14:textId="4EE3ECC6" w:rsidR="006C67E7" w:rsidRPr="002B255D" w:rsidRDefault="00E44D82" w:rsidP="00303C70">
      <w:pPr>
        <w:spacing w:line="276" w:lineRule="auto"/>
        <w:jc w:val="both"/>
        <w:rPr>
          <w:rFonts w:ascii="Open Sans" w:hAnsi="Open Sans" w:cs="Open Sans"/>
          <w:sz w:val="24"/>
          <w:szCs w:val="24"/>
        </w:rPr>
      </w:pPr>
      <w:r w:rsidRPr="002B255D">
        <w:rPr>
          <w:rFonts w:ascii="Open Sans" w:hAnsi="Open Sans" w:cs="Open Sans"/>
          <w:sz w:val="24"/>
          <w:szCs w:val="24"/>
        </w:rPr>
        <w:t xml:space="preserve">Pytania dotyczące wyboru projektów oraz składania wniosków o dofinansowanie można kierować: na adres </w:t>
      </w:r>
      <w:r w:rsidR="004854CA" w:rsidRPr="002B255D">
        <w:rPr>
          <w:rFonts w:ascii="Open Sans" w:hAnsi="Open Sans" w:cs="Open Sans"/>
          <w:sz w:val="24"/>
          <w:szCs w:val="24"/>
        </w:rPr>
        <w:t>pytaniawfos@nfosigw.gov.pl</w:t>
      </w:r>
    </w:p>
    <w:sectPr w:rsidR="006C67E7" w:rsidRPr="002B255D" w:rsidSect="007B3A89">
      <w:headerReference w:type="default" r:id="rId8"/>
      <w:pgSz w:w="11906" w:h="16838"/>
      <w:pgMar w:top="1417" w:right="1417" w:bottom="1417" w:left="1417" w:header="794" w:footer="7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D1EBC2" w14:textId="77777777" w:rsidR="007B3A89" w:rsidRDefault="007B3A89" w:rsidP="007B3A89">
      <w:pPr>
        <w:spacing w:after="0" w:line="240" w:lineRule="auto"/>
      </w:pPr>
      <w:r>
        <w:separator/>
      </w:r>
    </w:p>
  </w:endnote>
  <w:endnote w:type="continuationSeparator" w:id="0">
    <w:p w14:paraId="4FB6186F" w14:textId="77777777" w:rsidR="007B3A89" w:rsidRDefault="007B3A89" w:rsidP="007B3A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4CFCC2" w14:textId="77777777" w:rsidR="007B3A89" w:rsidRDefault="007B3A89" w:rsidP="007B3A89">
      <w:pPr>
        <w:spacing w:after="0" w:line="240" w:lineRule="auto"/>
      </w:pPr>
      <w:r>
        <w:separator/>
      </w:r>
    </w:p>
  </w:footnote>
  <w:footnote w:type="continuationSeparator" w:id="0">
    <w:p w14:paraId="1753B9A5" w14:textId="77777777" w:rsidR="007B3A89" w:rsidRDefault="007B3A89" w:rsidP="007B3A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812D6" w14:textId="5B87AFD8" w:rsidR="007B3A89" w:rsidRDefault="007B3A89" w:rsidP="007B3A89">
    <w:pPr>
      <w:pStyle w:val="Nagwek"/>
      <w:spacing w:after="240"/>
    </w:pPr>
    <w:bookmarkStart w:id="1" w:name="_Hlk158209095"/>
    <w:r w:rsidRPr="004B5960">
      <w:rPr>
        <w:rFonts w:cs="Calibri"/>
        <w:noProof/>
        <w:lang w:eastAsia="pl-PL"/>
      </w:rPr>
      <w:drawing>
        <wp:inline distT="0" distB="0" distL="0" distR="0" wp14:anchorId="7F71D4AC" wp14:editId="237A916C">
          <wp:extent cx="5760720" cy="573298"/>
          <wp:effectExtent l="0" t="0" r="0" b="0"/>
          <wp:docPr id="44" name="Obraz 1" descr="Ciąg znaków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ąg znaków Feniks, RP, UE oraz NFOŚiG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3298"/>
                  </a:xfrm>
                  <a:prstGeom prst="rect">
                    <a:avLst/>
                  </a:prstGeom>
                  <a:noFill/>
                  <a:ln>
                    <a:noFill/>
                  </a:ln>
                </pic:spPr>
              </pic:pic>
            </a:graphicData>
          </a:graphic>
        </wp:inline>
      </w:drawing>
    </w:r>
    <w:bookmarkEnd w:id="1"/>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0D67"/>
    <w:rsid w:val="00103BC0"/>
    <w:rsid w:val="00187F27"/>
    <w:rsid w:val="00197BA0"/>
    <w:rsid w:val="00255707"/>
    <w:rsid w:val="002B255D"/>
    <w:rsid w:val="00303C70"/>
    <w:rsid w:val="004854CA"/>
    <w:rsid w:val="004C32A2"/>
    <w:rsid w:val="004E0D67"/>
    <w:rsid w:val="00561EAE"/>
    <w:rsid w:val="00585075"/>
    <w:rsid w:val="006C67E7"/>
    <w:rsid w:val="007804FD"/>
    <w:rsid w:val="007B3A89"/>
    <w:rsid w:val="008E07FE"/>
    <w:rsid w:val="00A23FF9"/>
    <w:rsid w:val="00B11676"/>
    <w:rsid w:val="00B71C8E"/>
    <w:rsid w:val="00BA41E6"/>
    <w:rsid w:val="00C66DE8"/>
    <w:rsid w:val="00C91E72"/>
    <w:rsid w:val="00CA5DC9"/>
    <w:rsid w:val="00E44D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4D5437F"/>
  <w15:chartTrackingRefBased/>
  <w15:docId w15:val="{685AA47F-D451-4C1B-8622-A1D087938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2B255D"/>
    <w:pPr>
      <w:keepNext/>
      <w:keepLines/>
      <w:spacing w:before="240" w:after="240" w:line="276" w:lineRule="auto"/>
      <w:outlineLvl w:val="0"/>
    </w:pPr>
    <w:rPr>
      <w:rFonts w:ascii="Open Sans" w:eastAsiaTheme="majorEastAsia" w:hAnsi="Open Sans" w:cstheme="majorBidi"/>
      <w:b/>
      <w:sz w:val="28"/>
      <w:szCs w:val="32"/>
    </w:rPr>
  </w:style>
  <w:style w:type="paragraph" w:styleId="Nagwek2">
    <w:name w:val="heading 2"/>
    <w:basedOn w:val="Normalny"/>
    <w:next w:val="Normalny"/>
    <w:link w:val="Nagwek2Znak"/>
    <w:uiPriority w:val="9"/>
    <w:unhideWhenUsed/>
    <w:qFormat/>
    <w:rsid w:val="002B255D"/>
    <w:pPr>
      <w:keepNext/>
      <w:keepLines/>
      <w:spacing w:before="240" w:after="240" w:line="276" w:lineRule="auto"/>
      <w:outlineLvl w:val="1"/>
    </w:pPr>
    <w:rPr>
      <w:rFonts w:ascii="Open Sans" w:eastAsiaTheme="majorEastAsia" w:hAnsi="Open Sans" w:cstheme="majorBidi"/>
      <w:b/>
      <w:color w:val="000000" w:themeColor="tex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nhideWhenUsed/>
    <w:rsid w:val="00E44D82"/>
    <w:rPr>
      <w:sz w:val="16"/>
      <w:szCs w:val="16"/>
    </w:rPr>
  </w:style>
  <w:style w:type="paragraph" w:styleId="Tekstkomentarza">
    <w:name w:val="annotation text"/>
    <w:aliases w:val="Znak"/>
    <w:basedOn w:val="Normalny"/>
    <w:link w:val="TekstkomentarzaZnak"/>
    <w:uiPriority w:val="99"/>
    <w:unhideWhenUsed/>
    <w:rsid w:val="00E44D82"/>
    <w:pPr>
      <w:spacing w:line="240" w:lineRule="auto"/>
    </w:pPr>
    <w:rPr>
      <w:sz w:val="20"/>
      <w:szCs w:val="20"/>
    </w:rPr>
  </w:style>
  <w:style w:type="character" w:customStyle="1" w:styleId="TekstkomentarzaZnak">
    <w:name w:val="Tekst komentarza Znak"/>
    <w:aliases w:val="Znak Znak"/>
    <w:basedOn w:val="Domylnaczcionkaakapitu"/>
    <w:link w:val="Tekstkomentarza"/>
    <w:uiPriority w:val="99"/>
    <w:rsid w:val="00E44D82"/>
    <w:rPr>
      <w:sz w:val="20"/>
      <w:szCs w:val="20"/>
    </w:rPr>
  </w:style>
  <w:style w:type="paragraph" w:styleId="Tematkomentarza">
    <w:name w:val="annotation subject"/>
    <w:basedOn w:val="Tekstkomentarza"/>
    <w:next w:val="Tekstkomentarza"/>
    <w:link w:val="TematkomentarzaZnak"/>
    <w:uiPriority w:val="99"/>
    <w:semiHidden/>
    <w:unhideWhenUsed/>
    <w:rsid w:val="00E44D82"/>
    <w:rPr>
      <w:b/>
      <w:bCs/>
    </w:rPr>
  </w:style>
  <w:style w:type="character" w:customStyle="1" w:styleId="TematkomentarzaZnak">
    <w:name w:val="Temat komentarza Znak"/>
    <w:basedOn w:val="TekstkomentarzaZnak"/>
    <w:link w:val="Tematkomentarza"/>
    <w:uiPriority w:val="99"/>
    <w:semiHidden/>
    <w:rsid w:val="00E44D82"/>
    <w:rPr>
      <w:b/>
      <w:bCs/>
      <w:sz w:val="20"/>
      <w:szCs w:val="20"/>
    </w:rPr>
  </w:style>
  <w:style w:type="paragraph" w:styleId="Akapitzlist">
    <w:name w:val="List Paragraph"/>
    <w:aliases w:val="Numerowanie,EPL lista punktowana z wyrózneniem,A_wyliczenie,K-P_odwolanie,Akapit z listą5,maz_wyliczenie,opis dzialania,1st level - Bullet List Paragraph,Lettre d'introduction,Normal bullet 2,Bullet list,Listenabsatz,Wykres,OBC Bullet,L"/>
    <w:basedOn w:val="Normalny"/>
    <w:link w:val="AkapitzlistZnak"/>
    <w:uiPriority w:val="34"/>
    <w:qFormat/>
    <w:rsid w:val="00E44D82"/>
    <w:pPr>
      <w:spacing w:line="300" w:lineRule="auto"/>
      <w:ind w:left="720"/>
      <w:contextualSpacing/>
    </w:pPr>
    <w:rPr>
      <w:rFonts w:ascii="Calibri" w:eastAsia="Times New Roman" w:hAnsi="Calibri" w:cs="Times New Roman"/>
      <w:kern w:val="0"/>
      <w:sz w:val="21"/>
      <w:szCs w:val="21"/>
      <w:lang w:eastAsia="pl-PL"/>
      <w14:ligatures w14:val="none"/>
    </w:rPr>
  </w:style>
  <w:style w:type="character" w:customStyle="1" w:styleId="AkapitzlistZnak">
    <w:name w:val="Akapit z listą Znak"/>
    <w:aliases w:val="Numerowanie Znak,EPL lista punktowana z wyrózneniem Znak,A_wyliczenie Znak,K-P_odwolanie Znak,Akapit z listą5 Znak,maz_wyliczenie Znak,opis dzialania Znak,1st level - Bullet List Paragraph Znak,Lettre d'introduction Znak,Wykres Znak"/>
    <w:link w:val="Akapitzlist"/>
    <w:uiPriority w:val="34"/>
    <w:qFormat/>
    <w:rsid w:val="00E44D82"/>
    <w:rPr>
      <w:rFonts w:ascii="Calibri" w:eastAsia="Times New Roman" w:hAnsi="Calibri" w:cs="Times New Roman"/>
      <w:kern w:val="0"/>
      <w:sz w:val="21"/>
      <w:szCs w:val="21"/>
      <w:lang w:eastAsia="pl-PL"/>
      <w14:ligatures w14:val="none"/>
    </w:rPr>
  </w:style>
  <w:style w:type="character" w:styleId="Hipercze">
    <w:name w:val="Hyperlink"/>
    <w:basedOn w:val="Domylnaczcionkaakapitu"/>
    <w:uiPriority w:val="99"/>
    <w:unhideWhenUsed/>
    <w:rsid w:val="004C32A2"/>
    <w:rPr>
      <w:color w:val="0563C1" w:themeColor="hyperlink"/>
      <w:u w:val="single"/>
    </w:rPr>
  </w:style>
  <w:style w:type="character" w:customStyle="1" w:styleId="Nierozpoznanawzmianka1">
    <w:name w:val="Nierozpoznana wzmianka1"/>
    <w:basedOn w:val="Domylnaczcionkaakapitu"/>
    <w:uiPriority w:val="99"/>
    <w:semiHidden/>
    <w:unhideWhenUsed/>
    <w:rsid w:val="004C32A2"/>
    <w:rPr>
      <w:color w:val="605E5C"/>
      <w:shd w:val="clear" w:color="auto" w:fill="E1DFDD"/>
    </w:rPr>
  </w:style>
  <w:style w:type="character" w:customStyle="1" w:styleId="Nagwek1Znak">
    <w:name w:val="Nagłówek 1 Znak"/>
    <w:basedOn w:val="Domylnaczcionkaakapitu"/>
    <w:link w:val="Nagwek1"/>
    <w:uiPriority w:val="9"/>
    <w:rsid w:val="002B255D"/>
    <w:rPr>
      <w:rFonts w:ascii="Open Sans" w:eastAsiaTheme="majorEastAsia" w:hAnsi="Open Sans" w:cstheme="majorBidi"/>
      <w:b/>
      <w:sz w:val="28"/>
      <w:szCs w:val="32"/>
    </w:rPr>
  </w:style>
  <w:style w:type="paragraph" w:styleId="Tytu">
    <w:name w:val="Title"/>
    <w:basedOn w:val="Normalny"/>
    <w:next w:val="Normalny"/>
    <w:link w:val="TytuZnak"/>
    <w:uiPriority w:val="10"/>
    <w:qFormat/>
    <w:rsid w:val="002B255D"/>
    <w:pPr>
      <w:spacing w:after="0" w:line="240" w:lineRule="auto"/>
      <w:contextualSpacing/>
    </w:pPr>
    <w:rPr>
      <w:rFonts w:ascii="Open Sans" w:eastAsiaTheme="majorEastAsia" w:hAnsi="Open Sans" w:cstheme="majorBidi"/>
      <w:spacing w:val="-10"/>
      <w:kern w:val="28"/>
      <w:sz w:val="36"/>
      <w:szCs w:val="56"/>
    </w:rPr>
  </w:style>
  <w:style w:type="character" w:customStyle="1" w:styleId="TytuZnak">
    <w:name w:val="Tytuł Znak"/>
    <w:basedOn w:val="Domylnaczcionkaakapitu"/>
    <w:link w:val="Tytu"/>
    <w:uiPriority w:val="10"/>
    <w:rsid w:val="002B255D"/>
    <w:rPr>
      <w:rFonts w:ascii="Open Sans" w:eastAsiaTheme="majorEastAsia" w:hAnsi="Open Sans" w:cstheme="majorBidi"/>
      <w:spacing w:val="-10"/>
      <w:kern w:val="28"/>
      <w:sz w:val="36"/>
      <w:szCs w:val="56"/>
    </w:rPr>
  </w:style>
  <w:style w:type="character" w:customStyle="1" w:styleId="Nagwek2Znak">
    <w:name w:val="Nagłówek 2 Znak"/>
    <w:basedOn w:val="Domylnaczcionkaakapitu"/>
    <w:link w:val="Nagwek2"/>
    <w:uiPriority w:val="9"/>
    <w:rsid w:val="002B255D"/>
    <w:rPr>
      <w:rFonts w:ascii="Open Sans" w:eastAsiaTheme="majorEastAsia" w:hAnsi="Open Sans" w:cstheme="majorBidi"/>
      <w:b/>
      <w:color w:val="000000" w:themeColor="text1"/>
      <w:sz w:val="26"/>
      <w:szCs w:val="26"/>
    </w:rPr>
  </w:style>
  <w:style w:type="paragraph" w:styleId="Tekstdymka">
    <w:name w:val="Balloon Text"/>
    <w:basedOn w:val="Normalny"/>
    <w:link w:val="TekstdymkaZnak"/>
    <w:uiPriority w:val="99"/>
    <w:semiHidden/>
    <w:unhideWhenUsed/>
    <w:rsid w:val="00303C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03C70"/>
    <w:rPr>
      <w:rFonts w:ascii="Segoe UI" w:hAnsi="Segoe UI" w:cs="Segoe UI"/>
      <w:sz w:val="18"/>
      <w:szCs w:val="18"/>
    </w:rPr>
  </w:style>
  <w:style w:type="paragraph" w:styleId="Nagwek">
    <w:name w:val="header"/>
    <w:basedOn w:val="Normalny"/>
    <w:link w:val="NagwekZnak"/>
    <w:uiPriority w:val="99"/>
    <w:unhideWhenUsed/>
    <w:rsid w:val="007B3A8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B3A89"/>
  </w:style>
  <w:style w:type="paragraph" w:styleId="Stopka">
    <w:name w:val="footer"/>
    <w:basedOn w:val="Normalny"/>
    <w:link w:val="StopkaZnak"/>
    <w:uiPriority w:val="99"/>
    <w:unhideWhenUsed/>
    <w:rsid w:val="007B3A8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B3A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od.cst2021.gov.p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B39F93-59CA-4134-BB45-AD8432982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657</Words>
  <Characters>3946</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Ogłoszenie o naborze FENX.01.01-IW.01-003/24</vt:lpstr>
    </vt:vector>
  </TitlesOfParts>
  <Company>NFOSiGW</Company>
  <LinksUpToDate>false</LinksUpToDate>
  <CharactersWithSpaces>4594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Ogłoszenie o naborze FENX.01.01-IW.01-003/24</dc:title>
  <dc:subject/>
  <dc:creator>Kowalczyk Dorota</dc:creator>
  <cp:keywords/>
  <dc:description/>
  <cp:lastModifiedBy>Bąk Marta</cp:lastModifiedBy>
  <cp:revision>8</cp:revision>
  <dcterms:created xsi:type="dcterms:W3CDTF">2024-02-22T15:05:00Z</dcterms:created>
  <dcterms:modified xsi:type="dcterms:W3CDTF">2024-02-28T07:33:00Z</dcterms:modified>
</cp:coreProperties>
</file>