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EAB4EDE" w:rsidR="008A332F" w:rsidRDefault="00B378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D40C51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E3969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E396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F155B08" w:rsidR="00CA516B" w:rsidRPr="002B50C0" w:rsidRDefault="006E396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132CA">
              <w:rPr>
                <w:rFonts w:ascii="Arial" w:hAnsi="Arial" w:cs="Arial"/>
                <w:sz w:val="20"/>
              </w:rPr>
              <w:t>System Informacyjny o Instalacjach wytwarzających Promieniowanie ElektroMagnetyczne (SI2PEM)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707F3D8" w:rsidR="00CA516B" w:rsidRPr="00141A92" w:rsidRDefault="006E3969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6E3969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E3969" w:rsidRPr="0072570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481894" w:rsidR="006E3969" w:rsidRPr="006822BC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Instytut Łączności – Państwowy Instytut Badawczy </w:t>
            </w:r>
          </w:p>
        </w:tc>
      </w:tr>
      <w:tr w:rsidR="006E3969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FE3D2EF" w:rsidR="006E3969" w:rsidRPr="00141A92" w:rsidRDefault="006E3969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Ministerstwo Cyfryzacji</w:t>
            </w:r>
          </w:p>
        </w:tc>
      </w:tr>
      <w:tr w:rsidR="006E3969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7245D" w14:textId="77777777" w:rsidR="006E3969" w:rsidRPr="00C132CA" w:rsidRDefault="006E3969" w:rsidP="00640F3A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C132CA">
              <w:rPr>
                <w:rFonts w:ascii="Arial" w:hAnsi="Arial" w:cs="Arial"/>
                <w:sz w:val="20"/>
              </w:rPr>
              <w:t>Działanie 2.1 „Wysoka dostępność i jakość e-usług publicznych” w ramach II osi priorytetowej „E-administracja i otwarty rząd” Programu Operacyjnego Polska Cyfrowa</w:t>
            </w:r>
          </w:p>
          <w:p w14:paraId="55582688" w14:textId="26FAE5F1" w:rsidR="006E3969" w:rsidRPr="00141A92" w:rsidRDefault="006E3969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Budżet Państwa (Ministerstwo Cyfryzacji, część 27 budżetu państwa)</w:t>
            </w:r>
          </w:p>
        </w:tc>
      </w:tr>
      <w:tr w:rsidR="006E3969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E3969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153995C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E3969" w:rsidRPr="008A332F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60C1749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E3969" w:rsidRDefault="006E396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101903F" w:rsidR="006E3969" w:rsidRPr="006E3969" w:rsidRDefault="006E3969" w:rsidP="00C479A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3969">
              <w:rPr>
                <w:rFonts w:ascii="Arial" w:hAnsi="Arial" w:cs="Arial"/>
                <w:sz w:val="20"/>
                <w:szCs w:val="20"/>
              </w:rPr>
              <w:t>25.02.2019 – 24.</w:t>
            </w:r>
            <w:r w:rsidR="00C479AC">
              <w:rPr>
                <w:rFonts w:ascii="Arial" w:hAnsi="Arial" w:cs="Arial"/>
                <w:sz w:val="20"/>
                <w:szCs w:val="20"/>
              </w:rPr>
              <w:t>11</w:t>
            </w:r>
            <w:r w:rsidRPr="006E3969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</w:tr>
    </w:tbl>
    <w:p w14:paraId="30071234" w14:textId="311705EA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81B1C98" w14:textId="16B57840" w:rsidR="006E3969" w:rsidRPr="0061017D" w:rsidRDefault="006E3969" w:rsidP="00FC78B9">
      <w:pPr>
        <w:spacing w:before="240"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>Zgodnie z założeniami projektu oraz wnioskiem o dofinansowanie i jego załącznikiem Studium Wykonalności</w:t>
      </w:r>
      <w:r w:rsidR="00FC78B9">
        <w:rPr>
          <w:rFonts w:ascii="Arial" w:hAnsi="Arial" w:cs="Arial"/>
        </w:rPr>
        <w:t>,</w:t>
      </w:r>
      <w:r w:rsidRPr="0061017D">
        <w:rPr>
          <w:rFonts w:ascii="Arial" w:hAnsi="Arial" w:cs="Arial"/>
        </w:rPr>
        <w:t xml:space="preserve"> nie jest wymagane wprowadzanie regulacji prawnych niezbędnych do wdrożenia produktów projektu. </w:t>
      </w:r>
    </w:p>
    <w:p w14:paraId="59F7DA39" w14:textId="3860E41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6E3969">
        <w:trPr>
          <w:trHeight w:val="20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3A11CB7" w:rsidR="00907F6D" w:rsidRPr="00141A92" w:rsidRDefault="00D82EE4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82EE4">
              <w:rPr>
                <w:rFonts w:ascii="Arial" w:hAnsi="Arial" w:cs="Arial"/>
                <w:sz w:val="18"/>
                <w:szCs w:val="20"/>
              </w:rPr>
              <w:t>88%</w:t>
            </w:r>
          </w:p>
        </w:tc>
        <w:tc>
          <w:tcPr>
            <w:tcW w:w="3260" w:type="dxa"/>
          </w:tcPr>
          <w:p w14:paraId="1B061A32" w14:textId="3F02C3BF" w:rsidR="006948D3" w:rsidRPr="0006401B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06401B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06401B" w:rsidRPr="0006401B">
              <w:rPr>
                <w:rFonts w:ascii="Arial" w:hAnsi="Arial" w:cs="Arial"/>
                <w:sz w:val="18"/>
                <w:szCs w:val="20"/>
              </w:rPr>
              <w:t>55,91%</w:t>
            </w:r>
          </w:p>
          <w:p w14:paraId="6AC79DA7" w14:textId="06F7F679" w:rsidR="00071880" w:rsidRPr="0006401B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63004F3D" w:rsidR="00071880" w:rsidRPr="0006401B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06401B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06401B" w:rsidRPr="0006401B">
              <w:rPr>
                <w:rFonts w:ascii="Arial" w:hAnsi="Arial" w:cs="Arial"/>
                <w:sz w:val="18"/>
                <w:szCs w:val="20"/>
              </w:rPr>
              <w:t>23,88%</w:t>
            </w:r>
          </w:p>
          <w:p w14:paraId="5427B2C6" w14:textId="77777777" w:rsidR="006948D3" w:rsidRPr="0006401B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770A44E" w:rsidR="00907F6D" w:rsidRPr="0006401B" w:rsidRDefault="005548F2" w:rsidP="00D82EE4">
            <w:pPr>
              <w:rPr>
                <w:rFonts w:ascii="Arial" w:hAnsi="Arial" w:cs="Arial"/>
                <w:sz w:val="18"/>
                <w:szCs w:val="20"/>
              </w:rPr>
            </w:pPr>
            <w:r w:rsidRPr="000640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D82EE4" w:rsidRPr="0006401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007776CE" w:rsidR="00907F6D" w:rsidRPr="00141A92" w:rsidRDefault="0034665A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4665A">
              <w:rPr>
                <w:rFonts w:ascii="Arial" w:hAnsi="Arial" w:cs="Arial"/>
                <w:sz w:val="18"/>
                <w:szCs w:val="20"/>
              </w:rPr>
              <w:t>55,91%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A86170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4"/>
        <w:gridCol w:w="1595"/>
        <w:gridCol w:w="1306"/>
        <w:gridCol w:w="1883"/>
        <w:gridCol w:w="2751"/>
      </w:tblGrid>
      <w:tr w:rsidR="004350B8" w:rsidRPr="002B50C0" w14:paraId="55961592" w14:textId="77777777" w:rsidTr="00640F3A">
        <w:trPr>
          <w:tblHeader/>
        </w:trPr>
        <w:tc>
          <w:tcPr>
            <w:tcW w:w="2104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3969" w:rsidRPr="002B50C0" w14:paraId="6AC3DB07" w14:textId="77777777" w:rsidTr="00640F3A">
        <w:tc>
          <w:tcPr>
            <w:tcW w:w="2104" w:type="dxa"/>
          </w:tcPr>
          <w:p w14:paraId="79C67474" w14:textId="72F38722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techniczne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projekt GUI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3941984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207E79D3" w14:textId="63A3A1A9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2F14513F" w14:textId="177DBFE4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4E374C18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AF3652" w14:textId="4E70E502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74D68182" w14:textId="77777777" w:rsidTr="00640F3A">
        <w:tc>
          <w:tcPr>
            <w:tcW w:w="2104" w:type="dxa"/>
          </w:tcPr>
          <w:p w14:paraId="0BE832D0" w14:textId="513AF95F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standardy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protokoły wymiany informacji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121A" w14:textId="5E7D8F52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12AD66A9" w14:textId="11F02684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2148147F" w14:textId="450254BE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2751" w:type="dxa"/>
          </w:tcPr>
          <w:p w14:paraId="0579DF1C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65472154" w14:textId="5C0E565E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Przyczyną opóźnienia </w:t>
            </w:r>
            <w:r>
              <w:rPr>
                <w:rFonts w:ascii="Arial" w:hAnsi="Arial" w:cs="Arial"/>
                <w:sz w:val="20"/>
                <w:szCs w:val="20"/>
              </w:rPr>
              <w:t>były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14:paraId="14AB7791" w14:textId="77777777" w:rsidTr="00640F3A">
        <w:tc>
          <w:tcPr>
            <w:tcW w:w="2104" w:type="dxa"/>
          </w:tcPr>
          <w:p w14:paraId="7D53728C" w14:textId="1843E95E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6E3F" w14:textId="005C8C3A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12B808AF" w14:textId="797C2EB6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3931D1FB" w14:textId="2C18EB50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47514AB2" w14:textId="2D14296B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2FC8EBE4" w14:textId="77777777" w:rsidTr="00640F3A">
        <w:tc>
          <w:tcPr>
            <w:tcW w:w="2104" w:type="dxa"/>
          </w:tcPr>
          <w:p w14:paraId="1116B48B" w14:textId="7CA1353E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8FB2F" w14:textId="4F84862E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C6906E0" w14:textId="2A1C79E4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883" w:type="dxa"/>
          </w:tcPr>
          <w:p w14:paraId="1439A02F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217CD7E0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01C2F8A1" w14:textId="4F9A475C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Unieważnienie przetargu wpłynęło na opóźnienia prac nad wizualizacją wyników symulacji w systemie SI2PEM. Prace nad wizualizacją danych zostały już rozpoczęte, jednak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dotychczasowe </w:t>
            </w:r>
            <w:r>
              <w:rPr>
                <w:rFonts w:ascii="Arial" w:hAnsi="Arial" w:cs="Arial"/>
                <w:sz w:val="20"/>
                <w:szCs w:val="20"/>
              </w:rPr>
              <w:t xml:space="preserve">działania realizowane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były </w:t>
            </w:r>
            <w:r>
              <w:rPr>
                <w:rFonts w:ascii="Arial" w:hAnsi="Arial" w:cs="Arial"/>
                <w:sz w:val="20"/>
                <w:szCs w:val="20"/>
              </w:rPr>
              <w:t xml:space="preserve">na niewielkiej testowej próbce danych. Do realnej oceny przydatności analizowanych rozwiązań wizualizacyjnych potrzebne są dane rzeczywiste. Do ich uzyskania niezbędny jest sprzęt, którego zakup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zaplanowano </w:t>
            </w:r>
            <w:r>
              <w:rPr>
                <w:rFonts w:ascii="Arial" w:hAnsi="Arial" w:cs="Arial"/>
                <w:sz w:val="20"/>
                <w:szCs w:val="20"/>
              </w:rPr>
              <w:t xml:space="preserve">w przetargu. Po fazie wizualizacji wyników symulacji na danych rzeczywistych, konieczna jest faza optymalizacji i dopracowania zastosowanych rozwiązań, której rozpoczęcie uzależnione jest od terminu dostarczenia sprzętu zakupionego w przetargu. </w:t>
            </w:r>
          </w:p>
        </w:tc>
      </w:tr>
      <w:tr w:rsidR="006E3969" w:rsidRPr="002B50C0" w14:paraId="6BB25EFF" w14:textId="77777777" w:rsidTr="00640F3A">
        <w:trPr>
          <w:trHeight w:val="1031"/>
        </w:trPr>
        <w:tc>
          <w:tcPr>
            <w:tcW w:w="2104" w:type="dxa"/>
          </w:tcPr>
          <w:p w14:paraId="794B497E" w14:textId="3CD04672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trzeciej (końcowej) wersji systemu (zad.1)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F5118" w14:textId="1D2B687F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75E6FC54" w14:textId="255484E3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07.2020</w:t>
            </w:r>
          </w:p>
        </w:tc>
        <w:tc>
          <w:tcPr>
            <w:tcW w:w="1883" w:type="dxa"/>
          </w:tcPr>
          <w:p w14:paraId="396B10F6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5B767D50" w14:textId="7985BC78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586E4D46" w14:textId="77777777" w:rsidTr="00640F3A">
        <w:tc>
          <w:tcPr>
            <w:tcW w:w="2104" w:type="dxa"/>
          </w:tcPr>
          <w:p w14:paraId="34F33CEC" w14:textId="557895AA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ECF1" w14:textId="0E128F6D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0AB2D722" w14:textId="7914F4F4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09F3F751" w14:textId="340622DC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6A743340" w14:textId="77777777" w:rsidR="006E3969" w:rsidRPr="00C132CA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6F63883C" w14:textId="1A9C3631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1F218E42" w14:textId="77777777" w:rsidTr="00640F3A">
        <w:tc>
          <w:tcPr>
            <w:tcW w:w="2104" w:type="dxa"/>
          </w:tcPr>
          <w:p w14:paraId="1A974A6D" w14:textId="38583D0C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02D4" w14:textId="2C2AC2B0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0FEC4095" w14:textId="7F7B9ECB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08.2019.</w:t>
            </w:r>
          </w:p>
        </w:tc>
        <w:tc>
          <w:tcPr>
            <w:tcW w:w="1883" w:type="dxa"/>
          </w:tcPr>
          <w:p w14:paraId="75764521" w14:textId="4487CF2D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5546FB3F" w14:textId="75D7AD2B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77638982" w14:textId="77777777" w:rsidTr="00640F3A">
        <w:tc>
          <w:tcPr>
            <w:tcW w:w="2104" w:type="dxa"/>
          </w:tcPr>
          <w:p w14:paraId="655B42CE" w14:textId="5D9E3D74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EC7F4" w14:textId="1AA869A1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</w:t>
            </w: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>na</w:t>
            </w:r>
          </w:p>
        </w:tc>
        <w:tc>
          <w:tcPr>
            <w:tcW w:w="1306" w:type="dxa"/>
          </w:tcPr>
          <w:p w14:paraId="2CE9C3CB" w14:textId="49E8FAD6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>11.2019</w:t>
            </w:r>
          </w:p>
        </w:tc>
        <w:tc>
          <w:tcPr>
            <w:tcW w:w="1883" w:type="dxa"/>
          </w:tcPr>
          <w:p w14:paraId="1F0908CE" w14:textId="09EBCA2C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38A39A4F" w14:textId="6E1B53BD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6689CE51" w14:textId="77777777" w:rsidTr="00640F3A">
        <w:tc>
          <w:tcPr>
            <w:tcW w:w="2104" w:type="dxa"/>
          </w:tcPr>
          <w:p w14:paraId="6E06E7FA" w14:textId="6443E57E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E44BA" w14:textId="1BC7F994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A9F646B" w14:textId="61BE5E55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883" w:type="dxa"/>
          </w:tcPr>
          <w:p w14:paraId="5FDC3655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5F35CC3A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1E1D5670" w14:textId="21B04D2D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 obliczeniowy I wersji został wykonany i przetestowany w posiadanym środowisku testowym, z wykorzystaniem stacji roboczych z kartami GPU, które są aktualnie w dyspozycji Lidera i posiadają stosunkowo ograniczone możliwości. Użyte karty i stacje robocze znacznie odbiegają od planowanych w systemie docelowym i nie posiadają mechanizmów pozwalających na sprawną i odpowiednią obsługę zadań obliczeniowych, nie posiadają odpowiedniej pamięci, pozwalającej na wykorzystanie i obsługę obliczeniową dużych arkuszy map cyfrowych, które będą wykorzystywane docelowo i mogą zostać przeanalizowane, oprogramowane, przetestowane i wdrożone, gdy dostępne będą kupione w ramach przetargu nowe karty i stacje robocze. Opóźnienie przetargu skutk</w:t>
            </w:r>
            <w:r w:rsidR="00FC78B9">
              <w:rPr>
                <w:rFonts w:ascii="Arial" w:hAnsi="Arial" w:cs="Arial"/>
                <w:sz w:val="20"/>
                <w:szCs w:val="20"/>
              </w:rPr>
              <w:t>owało</w:t>
            </w:r>
            <w:r>
              <w:rPr>
                <w:rFonts w:ascii="Arial" w:hAnsi="Arial" w:cs="Arial"/>
                <w:sz w:val="20"/>
                <w:szCs w:val="20"/>
              </w:rPr>
              <w:t xml:space="preserve"> niemożnością wytworzenia odpowiedniej wersji modułu, pozwalającego na pełne wykorzystanie i przetestowanie tworzonych narzędzi obliczeniowych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>stosowne wykorzystanie map cyfrowych o dużej pojemności wymaganych w związku z analizami na obszarze całego kraju.</w:t>
            </w:r>
          </w:p>
        </w:tc>
      </w:tr>
      <w:tr w:rsidR="006E3969" w:rsidRPr="002B50C0" w14:paraId="1B283FE7" w14:textId="77777777" w:rsidTr="00640F3A">
        <w:tc>
          <w:tcPr>
            <w:tcW w:w="2104" w:type="dxa"/>
          </w:tcPr>
          <w:p w14:paraId="4FBCEC24" w14:textId="539130B5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FE71" w14:textId="0406852C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501CF4F7" w14:textId="092F8E4D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883" w:type="dxa"/>
          </w:tcPr>
          <w:p w14:paraId="01EE7F40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0072E4FC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  <w:p w14:paraId="359473B9" w14:textId="67332530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1538">
              <w:rPr>
                <w:rFonts w:ascii="Arial" w:hAnsi="Arial" w:cs="Arial"/>
                <w:sz w:val="20"/>
                <w:szCs w:val="20"/>
              </w:rPr>
              <w:t xml:space="preserve">Zagrożony termin końcowy w związku z przedłużeniem przetargu i zakupu sprzętu uniemożliwiającymi uruchomienie i przetestowanie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drugiej </w:t>
            </w:r>
            <w:r w:rsidRPr="008B153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FC78B9">
              <w:rPr>
                <w:rFonts w:ascii="Arial" w:hAnsi="Arial" w:cs="Arial"/>
                <w:sz w:val="20"/>
                <w:szCs w:val="20"/>
              </w:rPr>
              <w:t>trzeciej</w:t>
            </w:r>
            <w:r w:rsidRPr="008B1538">
              <w:rPr>
                <w:rFonts w:ascii="Arial" w:hAnsi="Arial" w:cs="Arial"/>
                <w:sz w:val="20"/>
                <w:szCs w:val="20"/>
              </w:rPr>
              <w:t xml:space="preserve"> wersji</w:t>
            </w:r>
            <w:r>
              <w:rPr>
                <w:rFonts w:ascii="Arial" w:hAnsi="Arial" w:cs="Arial"/>
                <w:sz w:val="20"/>
                <w:szCs w:val="20"/>
              </w:rPr>
              <w:t xml:space="preserve"> modułu.</w:t>
            </w:r>
          </w:p>
        </w:tc>
      </w:tr>
      <w:tr w:rsidR="006E3969" w:rsidRPr="002B50C0" w14:paraId="7ED3E9BB" w14:textId="77777777" w:rsidTr="00640F3A">
        <w:tc>
          <w:tcPr>
            <w:tcW w:w="2104" w:type="dxa"/>
          </w:tcPr>
          <w:p w14:paraId="7228342B" w14:textId="3E0D9C69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przetargowe (zad. 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38C1" w14:textId="2B362BF5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6B9C0393" w14:textId="5841183D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883" w:type="dxa"/>
          </w:tcPr>
          <w:p w14:paraId="5B4218D5" w14:textId="544BCBE1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7AD949E8" w14:textId="77777777" w:rsidR="006E3969" w:rsidRPr="00C132CA" w:rsidRDefault="006E3969" w:rsidP="00640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11BF9C17" w14:textId="7CF53AF2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6E3969" w:rsidRPr="002B50C0" w14:paraId="5C495D99" w14:textId="77777777" w:rsidTr="00640F3A">
        <w:tc>
          <w:tcPr>
            <w:tcW w:w="2104" w:type="dxa"/>
          </w:tcPr>
          <w:p w14:paraId="0990CA4E" w14:textId="66E344E1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Zakończenie proce</w:t>
            </w:r>
            <w:r w:rsidRPr="002A2732">
              <w:rPr>
                <w:rFonts w:ascii="Arial" w:hAnsi="Arial" w:cs="Arial"/>
                <w:sz w:val="20"/>
                <w:szCs w:val="20"/>
              </w:rPr>
              <w:lastRenderedPageBreak/>
              <w:t>dur przetargowych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D134" w14:textId="37D66C64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 xml:space="preserve">2- wartość </w:t>
            </w: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>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313F7A94" w14:textId="38090D73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>01.2020</w:t>
            </w:r>
          </w:p>
        </w:tc>
        <w:tc>
          <w:tcPr>
            <w:tcW w:w="1883" w:type="dxa"/>
          </w:tcPr>
          <w:p w14:paraId="6B4E4C91" w14:textId="7E371238" w:rsidR="006E3969" w:rsidRPr="00141A92" w:rsidRDefault="002C4A85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C4A85">
              <w:rPr>
                <w:rFonts w:ascii="Arial" w:hAnsi="Arial" w:cs="Arial"/>
                <w:sz w:val="18"/>
              </w:rPr>
              <w:t>04.2020</w:t>
            </w:r>
          </w:p>
        </w:tc>
        <w:tc>
          <w:tcPr>
            <w:tcW w:w="2751" w:type="dxa"/>
          </w:tcPr>
          <w:p w14:paraId="4E55B571" w14:textId="213330B0" w:rsidR="006E3969" w:rsidRDefault="002C4A85" w:rsidP="00640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5DC377C" w14:textId="3300840E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9C5">
              <w:rPr>
                <w:rFonts w:ascii="Arial" w:hAnsi="Arial" w:cs="Arial"/>
                <w:sz w:val="20"/>
                <w:szCs w:val="20"/>
              </w:rPr>
              <w:lastRenderedPageBreak/>
              <w:t>Przetarg ogłoszony w grud</w:t>
            </w:r>
            <w:r w:rsidR="00FC78B9">
              <w:rPr>
                <w:rFonts w:ascii="Arial" w:hAnsi="Arial" w:cs="Arial"/>
                <w:sz w:val="20"/>
                <w:szCs w:val="20"/>
              </w:rPr>
              <w:t>niu</w:t>
            </w:r>
            <w:r w:rsidRPr="00D209C5">
              <w:rPr>
                <w:rFonts w:ascii="Arial" w:hAnsi="Arial" w:cs="Arial"/>
                <w:sz w:val="20"/>
                <w:szCs w:val="20"/>
              </w:rPr>
              <w:t xml:space="preserve"> 2019 r. został unieważniony. Jedyna oferta, która wpłynęła nie mogła zostać odszyfrowana i odczytana (z powodu zaszyfrowania oferty kluczem publicznym z innego postępowania – według opinii zespołu miniportalu UZP). Kolejny przetarg został ogłoszony 27.02.2020. Otwarcie ofert nastąpiło 02.04.2020. </w:t>
            </w:r>
            <w:r w:rsidR="002C4A85">
              <w:rPr>
                <w:rFonts w:ascii="Arial" w:hAnsi="Arial" w:cs="Arial"/>
                <w:sz w:val="20"/>
                <w:szCs w:val="20"/>
              </w:rPr>
              <w:t>Umow</w:t>
            </w:r>
            <w:r w:rsidR="00FC78B9">
              <w:rPr>
                <w:rFonts w:ascii="Arial" w:hAnsi="Arial" w:cs="Arial"/>
                <w:sz w:val="20"/>
                <w:szCs w:val="20"/>
              </w:rPr>
              <w:t>ę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 z dostawcą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podpisano </w:t>
            </w:r>
            <w:r w:rsidR="002C4A85">
              <w:rPr>
                <w:rFonts w:ascii="Arial" w:hAnsi="Arial" w:cs="Arial"/>
                <w:sz w:val="20"/>
                <w:szCs w:val="20"/>
              </w:rPr>
              <w:t>20.04.2020,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dostawa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sprzętu nastąpiła z </w:t>
            </w:r>
            <w:r w:rsidR="002C4A85">
              <w:rPr>
                <w:rFonts w:ascii="Arial" w:hAnsi="Arial" w:cs="Arial"/>
                <w:sz w:val="20"/>
                <w:szCs w:val="20"/>
              </w:rPr>
              <w:t>początk</w:t>
            </w:r>
            <w:r w:rsidR="00FC78B9">
              <w:rPr>
                <w:rFonts w:ascii="Arial" w:hAnsi="Arial" w:cs="Arial"/>
                <w:sz w:val="20"/>
                <w:szCs w:val="20"/>
              </w:rPr>
              <w:t>iem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 czerwca.</w:t>
            </w:r>
          </w:p>
        </w:tc>
      </w:tr>
      <w:tr w:rsidR="006E3969" w:rsidRPr="002B50C0" w14:paraId="4CDA897F" w14:textId="77777777" w:rsidTr="00640F3A">
        <w:tc>
          <w:tcPr>
            <w:tcW w:w="2104" w:type="dxa"/>
          </w:tcPr>
          <w:p w14:paraId="62AAB615" w14:textId="4756708E"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lastRenderedPageBreak/>
              <w:t>Wdrożenie zakupionej infrastruktury i oprogramowania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822B6" w14:textId="5A28E3B5"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1AF88D37" w14:textId="6DB474B6"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1883" w:type="dxa"/>
          </w:tcPr>
          <w:p w14:paraId="4C4E3C70" w14:textId="77777777" w:rsidR="006E3969" w:rsidRPr="005569E1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7E6FD92D" w14:textId="5913C4BD" w:rsidR="006E3969" w:rsidRPr="005569E1" w:rsidRDefault="00F97787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70717D23" w14:textId="23EB829E" w:rsidR="005569E1" w:rsidRPr="005569E1" w:rsidRDefault="005569E1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Opóźnienie bezpośrednio związane z problemami przy realizacji zamówienia na „Dostawę i instalację infrastruktury sprzętowej”.</w:t>
            </w:r>
          </w:p>
        </w:tc>
      </w:tr>
      <w:tr w:rsidR="006E3969" w:rsidRPr="002B50C0" w14:paraId="6C30E264" w14:textId="77777777" w:rsidTr="00640F3A">
        <w:tc>
          <w:tcPr>
            <w:tcW w:w="2104" w:type="dxa"/>
          </w:tcPr>
          <w:p w14:paraId="76D9A89F" w14:textId="5A29EC4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Administracja i utrzymanie systemu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D3A6" w14:textId="155A4998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306" w:type="dxa"/>
          </w:tcPr>
          <w:p w14:paraId="479252C2" w14:textId="43C611FA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883" w:type="dxa"/>
          </w:tcPr>
          <w:p w14:paraId="537DB2F1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1846B8EC" w14:textId="774B5176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0BDA7669" w14:textId="77777777" w:rsidTr="00640F3A">
        <w:tc>
          <w:tcPr>
            <w:tcW w:w="2104" w:type="dxa"/>
          </w:tcPr>
          <w:p w14:paraId="716437D4" w14:textId="373ACF4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C3D1" w14:textId="662EB8A6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4 – wartość docelowa 250 przeszkolonych osób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306" w:type="dxa"/>
          </w:tcPr>
          <w:p w14:paraId="2D6AEFE2" w14:textId="296E9AB0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883" w:type="dxa"/>
          </w:tcPr>
          <w:p w14:paraId="7A818B76" w14:textId="13311860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56D03051" w14:textId="1F811D7F"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692686BB" w14:textId="77777777" w:rsidTr="00640F3A">
        <w:tc>
          <w:tcPr>
            <w:tcW w:w="2104" w:type="dxa"/>
          </w:tcPr>
          <w:p w14:paraId="56FD4B99" w14:textId="2FFDB571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Piknik Naukowy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A01ED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38B6AB" w14:textId="332669F9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883" w:type="dxa"/>
          </w:tcPr>
          <w:p w14:paraId="02C4823C" w14:textId="63BC389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2751" w:type="dxa"/>
          </w:tcPr>
          <w:p w14:paraId="47C4EF8B" w14:textId="37554DE8"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Zrealizowany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40F3A" w:rsidRPr="002B50C0" w14:paraId="63D1D10A" w14:textId="77777777" w:rsidTr="00640F3A">
        <w:tc>
          <w:tcPr>
            <w:tcW w:w="2104" w:type="dxa"/>
          </w:tcPr>
          <w:p w14:paraId="060B9F9C" w14:textId="4B9696AD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6D7D3" w14:textId="6B1F3AA5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250 przeszkolonych osób 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306" w:type="dxa"/>
          </w:tcPr>
          <w:p w14:paraId="46C27D50" w14:textId="2819B6F1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883" w:type="dxa"/>
          </w:tcPr>
          <w:p w14:paraId="2E4E40BA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16A1E1F1" w14:textId="77777777" w:rsidR="000E0237" w:rsidRDefault="000E0237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2C81C9D7" w14:textId="6829B8DB" w:rsidR="000E0237" w:rsidRDefault="000E0237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1 szkoleń, pod nazwą „Szkolenia SI2PEM” uruchomiony został na platformie e-learningowej Instytutu Łączności. S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SI2PEM </w:t>
            </w:r>
            <w:r w:rsidRPr="000C6F92">
              <w:rPr>
                <w:rFonts w:ascii="Arial" w:hAnsi="Arial" w:cs="Arial"/>
                <w:sz w:val="20"/>
                <w:szCs w:val="20"/>
              </w:rPr>
              <w:t>dostępne są tylko dla uprawnionych pracowników organów administracji i wymagają zalogowania poprzez witrynę internetową.</w:t>
            </w:r>
            <w:r>
              <w:rPr>
                <w:rFonts w:ascii="Arial" w:hAnsi="Arial" w:cs="Arial"/>
                <w:sz w:val="20"/>
                <w:szCs w:val="20"/>
              </w:rPr>
              <w:t xml:space="preserve"> Liczba zgłoszonych Uczestników wynosi obecnie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ponad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C78B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0 osób, natomiast liczba Uczestników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zarejestrowanych na kursie: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ponad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FC78B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os</w:t>
            </w:r>
            <w:r w:rsidR="00FC78B9"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b, w tym większość to kobiety. W związku z dużym zainteresowaniem Uczestników, ale także z uwagi na okres wakacyjny, przedłużono dostępność szkoleń do 30</w:t>
            </w:r>
            <w:r w:rsidR="00FC78B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 xml:space="preserve">2020. Zakłada się podsumowanie statusu realizacji kamienia milowego po tym terminie. </w:t>
            </w:r>
          </w:p>
          <w:p w14:paraId="0A290C75" w14:textId="25A7ECED" w:rsidR="000E0237" w:rsidRDefault="000E0237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przygotowanym we wrześniu 2019 r. programem, scenariuszami szkoleń oraz szablonami materiałów pomocniczych, opracowane zostały materiały szkoleniowe dla wszystkich dziewięciu tematów szkoleniowych zaplanowanych w etapie I tj. Cyklu 1, obejmującym </w:t>
            </w:r>
            <w:r w:rsidRPr="007F627A">
              <w:rPr>
                <w:rFonts w:ascii="Arial" w:hAnsi="Arial" w:cs="Arial"/>
                <w:sz w:val="20"/>
                <w:szCs w:val="20"/>
              </w:rPr>
              <w:t>istotne zagadnienia dotyczące pola elektromagnetycznego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Dla każdego tematu szkoleniowego przygotowano </w:t>
            </w:r>
            <w:r w:rsidR="00FC78B9">
              <w:rPr>
                <w:rFonts w:ascii="Arial" w:hAnsi="Arial" w:cs="Arial"/>
                <w:sz w:val="20"/>
                <w:szCs w:val="20"/>
              </w:rPr>
              <w:t>trzy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 rodzaje materiałów szkoleniowych: nagranie wykładu z lektorem, prezentacja PowerPoint wykorzystana w ramach nagranego wykładu (do pobrania), krótkie kompendium wiedzy </w:t>
            </w:r>
            <w:r>
              <w:rPr>
                <w:rFonts w:ascii="Arial" w:hAnsi="Arial" w:cs="Arial"/>
                <w:sz w:val="20"/>
                <w:szCs w:val="20"/>
              </w:rPr>
              <w:t>podsumowuj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ące tematykę szkolenia (do pobrania). Dodatkowo </w:t>
            </w:r>
            <w:r>
              <w:rPr>
                <w:rFonts w:ascii="Arial" w:hAnsi="Arial" w:cs="Arial"/>
                <w:sz w:val="20"/>
                <w:szCs w:val="20"/>
              </w:rPr>
              <w:t>opracowan</w:t>
            </w:r>
            <w:r w:rsidRPr="003A5C8E">
              <w:rPr>
                <w:rFonts w:ascii="Arial" w:hAnsi="Arial" w:cs="Arial"/>
                <w:sz w:val="20"/>
                <w:szCs w:val="20"/>
              </w:rPr>
              <w:t xml:space="preserve">y został </w:t>
            </w:r>
            <w:hyperlink r:id="rId8" w:history="1">
              <w:r w:rsidRPr="007F627A">
                <w:rPr>
                  <w:rFonts w:ascii="Arial" w:hAnsi="Arial" w:cs="Arial"/>
                  <w:sz w:val="20"/>
                  <w:szCs w:val="20"/>
                </w:rPr>
                <w:t>Wykaz aktów prawnych i innych unormowań związanych z zagadnieniami PEM</w:t>
              </w:r>
            </w:hyperlink>
            <w:r w:rsidRPr="003A5C8E">
              <w:rPr>
                <w:rFonts w:ascii="Arial" w:hAnsi="Arial" w:cs="Arial"/>
                <w:sz w:val="20"/>
                <w:szCs w:val="20"/>
              </w:rPr>
              <w:t>. Zgodnie z założeniem projektu, ale także z uwagi na pandemię, ogra</w:t>
            </w:r>
            <w:r>
              <w:rPr>
                <w:rFonts w:ascii="Arial" w:hAnsi="Arial" w:cs="Arial"/>
                <w:sz w:val="20"/>
                <w:szCs w:val="20"/>
              </w:rPr>
              <w:t xml:space="preserve">niczono ośrodki wykorzystywane w organizacji szkoleń do dostępnych w IŁ-PIB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środków łączności elektronicznej. </w:t>
            </w:r>
            <w:r>
              <w:rPr>
                <w:rFonts w:ascii="Arial" w:hAnsi="Arial" w:cs="Arial"/>
                <w:sz w:val="20"/>
                <w:szCs w:val="20"/>
              </w:rPr>
              <w:t xml:space="preserve">I tak Cykl 1 szkoleń, pod nazwą „Szkolenia SI2PEM” uruchomiony został na platformie e-learningowej Instytutu Łączności. </w:t>
            </w:r>
          </w:p>
          <w:p w14:paraId="0B15F12C" w14:textId="7C84F8F0" w:rsidR="00640F3A" w:rsidRPr="00B378F9" w:rsidRDefault="000E0237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C6F92">
              <w:rPr>
                <w:rFonts w:ascii="Arial" w:hAnsi="Arial" w:cs="Arial"/>
                <w:sz w:val="20"/>
                <w:szCs w:val="20"/>
              </w:rPr>
              <w:t xml:space="preserve">"Szkolenia SI2PEM" </w:t>
            </w:r>
            <w:r>
              <w:rPr>
                <w:rFonts w:ascii="Arial" w:hAnsi="Arial" w:cs="Arial"/>
                <w:sz w:val="20"/>
                <w:szCs w:val="20"/>
              </w:rPr>
              <w:t xml:space="preserve">są </w:t>
            </w:r>
            <w:r w:rsidRPr="000C6F92">
              <w:rPr>
                <w:rFonts w:ascii="Arial" w:hAnsi="Arial" w:cs="Arial"/>
                <w:sz w:val="20"/>
                <w:szCs w:val="20"/>
              </w:rPr>
              <w:t>kursem w pełni e-learningowym.</w:t>
            </w:r>
            <w:r w:rsidR="003A5C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6F92">
              <w:rPr>
                <w:rFonts w:ascii="Arial" w:hAnsi="Arial" w:cs="Arial"/>
                <w:sz w:val="20"/>
                <w:szCs w:val="20"/>
              </w:rPr>
              <w:t>Oznacza to, że wszystkie aktywności realizowane są on-line.</w:t>
            </w:r>
            <w:r w:rsidR="003A5C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Kurs </w:t>
            </w:r>
            <w:r w:rsidRPr="000C6F92">
              <w:rPr>
                <w:rFonts w:ascii="Arial" w:hAnsi="Arial" w:cs="Arial"/>
                <w:sz w:val="20"/>
                <w:szCs w:val="20"/>
              </w:rPr>
              <w:lastRenderedPageBreak/>
              <w:t>ma charakter "non-real-time". Oznacza to, że Uczestnicy mogą korzystać z kursu w dogodnym dla siebie czasie, 24 godziny na dobę, przez 7 dni w tygodniu do czasu oficjalnego zakończenia kursu (</w:t>
            </w:r>
            <w:r>
              <w:rPr>
                <w:rFonts w:ascii="Arial" w:hAnsi="Arial" w:cs="Arial"/>
                <w:sz w:val="20"/>
                <w:szCs w:val="20"/>
              </w:rPr>
              <w:t>wstępnie zaplanowana data to 30</w:t>
            </w:r>
            <w:r w:rsidR="003A5C8E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</w:t>
            </w:r>
            <w:r w:rsidRPr="000C6F92">
              <w:rPr>
                <w:rFonts w:ascii="Arial" w:hAnsi="Arial" w:cs="Arial"/>
                <w:sz w:val="20"/>
                <w:szCs w:val="20"/>
              </w:rPr>
              <w:t>). Kurs ma charakter "samodzielnych studiów". Oznacza to, że Uczestnicy kursu samodzielnie zapoznają się z zawartymi w kursie materiałami szkoleniowymi. Uczestnicy mają pełną swobodę odnośnie kolejności zapoznawania się z dostępnymi w kursie materiałami szkoleniowymi, jak również pełną swobodę wyboru momentu czasowego, w którym z t</w:t>
            </w:r>
            <w:r w:rsidR="00B378F9">
              <w:rPr>
                <w:rFonts w:ascii="Arial" w:hAnsi="Arial" w:cs="Arial"/>
                <w:sz w:val="20"/>
                <w:szCs w:val="20"/>
              </w:rPr>
              <w:t>ymi materiałami się zapoznają. </w:t>
            </w:r>
          </w:p>
        </w:tc>
      </w:tr>
      <w:tr w:rsidR="00640F3A" w:rsidRPr="002B50C0" w14:paraId="0DE9B8EA" w14:textId="77777777" w:rsidTr="00640F3A">
        <w:tc>
          <w:tcPr>
            <w:tcW w:w="2104" w:type="dxa"/>
          </w:tcPr>
          <w:p w14:paraId="034D6559" w14:textId="5B65A09B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lastRenderedPageBreak/>
              <w:t>Przygotowanie ekspozycji na Konferencję PEM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5AC59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521A1D5" w14:textId="79DE864B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14:paraId="564A4E81" w14:textId="68D2DC63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2751" w:type="dxa"/>
          </w:tcPr>
          <w:p w14:paraId="7BB29ACE" w14:textId="7D9AEC32"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3A5C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6D329883" w14:textId="77777777" w:rsidTr="00640F3A">
        <w:tc>
          <w:tcPr>
            <w:tcW w:w="2104" w:type="dxa"/>
          </w:tcPr>
          <w:p w14:paraId="0BFF2366" w14:textId="2FCCECE3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A824" w14:textId="63A88805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250 przeszkolonych osób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180 przeszkolonych kobiet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>6 – wartość docelowa 70 przeszkolonych mężczyzn</w:t>
            </w:r>
          </w:p>
        </w:tc>
        <w:tc>
          <w:tcPr>
            <w:tcW w:w="1306" w:type="dxa"/>
          </w:tcPr>
          <w:p w14:paraId="7F284DBB" w14:textId="53771390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883" w:type="dxa"/>
          </w:tcPr>
          <w:p w14:paraId="483B0B46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1A365CCC" w14:textId="77777777" w:rsidR="00640F3A" w:rsidRDefault="00640F3A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2C5E83" w14:textId="3B643A11"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0327">
              <w:rPr>
                <w:rFonts w:ascii="Arial" w:hAnsi="Arial" w:cs="Arial"/>
                <w:sz w:val="20"/>
                <w:szCs w:val="20"/>
              </w:rPr>
              <w:t>Zagrożenie terminu wykonania w związku z koniecznością wdrożenia nowych narzędzi do realizacji szkoleń grupowych (e-learning zapewnia tylko możliwość samokształcenia)</w:t>
            </w:r>
            <w:r w:rsidR="003A5C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4F0FB0FA" w14:textId="77777777" w:rsidTr="00640F3A">
        <w:tc>
          <w:tcPr>
            <w:tcW w:w="2104" w:type="dxa"/>
          </w:tcPr>
          <w:p w14:paraId="4911BA06" w14:textId="42826458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4954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37BEA7E" w14:textId="1F50520C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1883" w:type="dxa"/>
          </w:tcPr>
          <w:p w14:paraId="33DFA87C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6768542C" w14:textId="0964EFEC" w:rsidR="00640F3A" w:rsidRDefault="00681A76" w:rsidP="00640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realizacji</w:t>
            </w:r>
            <w:r w:rsidR="00640F3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4F662E" w14:textId="2ABF5677" w:rsidR="00640F3A" w:rsidRPr="00141A92" w:rsidRDefault="00640F3A" w:rsidP="00681A7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Opóźnienie w realizacji zadania wynikało z braku dostępnej dla potencjalnego Wykonawcy wersji systemu umożliwiającego analizę możliwości jego wykorzystania w procesie inwestycyjnym, w tym jego ewentualną rozbudowę o kolejne moduły. W okresie sprawozdawczym przygotowano </w:t>
            </w:r>
            <w:r w:rsidR="00681A76">
              <w:rPr>
                <w:rFonts w:ascii="Arial" w:hAnsi="Arial" w:cs="Arial"/>
                <w:sz w:val="20"/>
                <w:szCs w:val="20"/>
              </w:rPr>
              <w:t>pełną dokumentację zamówienia publicznego. Na dzień 16 lipca 2020 wyznaczono termin składania ofert w postępowaniu.</w:t>
            </w:r>
          </w:p>
        </w:tc>
      </w:tr>
      <w:tr w:rsidR="006E3969" w:rsidRPr="002B50C0" w14:paraId="6DFD592C" w14:textId="77777777" w:rsidTr="00640F3A">
        <w:tc>
          <w:tcPr>
            <w:tcW w:w="2104" w:type="dxa"/>
          </w:tcPr>
          <w:p w14:paraId="28053E7D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08D0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FCE17BD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83" w:type="dxa"/>
          </w:tcPr>
          <w:p w14:paraId="10717106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6B09B1F8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40F3A" w:rsidRPr="002B50C0" w14:paraId="060EEE52" w14:textId="77777777" w:rsidTr="00047D9D">
        <w:tc>
          <w:tcPr>
            <w:tcW w:w="2545" w:type="dxa"/>
          </w:tcPr>
          <w:p w14:paraId="580FCA11" w14:textId="77777777" w:rsidR="00640F3A" w:rsidRPr="00640F3A" w:rsidRDefault="00640F3A" w:rsidP="00640F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–</w:t>
            </w:r>
          </w:p>
          <w:p w14:paraId="0D680A0D" w14:textId="70C7D679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 xml:space="preserve">     dwustronna interakcja</w:t>
            </w:r>
          </w:p>
        </w:tc>
        <w:tc>
          <w:tcPr>
            <w:tcW w:w="1278" w:type="dxa"/>
          </w:tcPr>
          <w:p w14:paraId="6B56475F" w14:textId="3D7BDA2A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7FCFF9F" w14:textId="536D60FD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E75731" w14:textId="262E9AAF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2268" w:type="dxa"/>
          </w:tcPr>
          <w:p w14:paraId="1908EA3D" w14:textId="64F0FE11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7DC1840B" w14:textId="77777777" w:rsidTr="00047D9D">
        <w:tc>
          <w:tcPr>
            <w:tcW w:w="2545" w:type="dxa"/>
          </w:tcPr>
          <w:p w14:paraId="4FBC1738" w14:textId="0C4FD1DB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7DD3907D" w14:textId="6D3285D0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385B00C0" w14:textId="464472CD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16388A9D" w14:textId="4AF4EE3A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2268" w:type="dxa"/>
          </w:tcPr>
          <w:p w14:paraId="122A59BE" w14:textId="3163F30C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516457B6" w14:textId="77777777" w:rsidTr="00047D9D">
        <w:tc>
          <w:tcPr>
            <w:tcW w:w="2545" w:type="dxa"/>
          </w:tcPr>
          <w:p w14:paraId="4D3232FF" w14:textId="626FF43D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uruchomionych systemów teleinformatycznych w podmiotach wykonujących zadania publiczne</w:t>
            </w:r>
          </w:p>
        </w:tc>
        <w:tc>
          <w:tcPr>
            <w:tcW w:w="1278" w:type="dxa"/>
          </w:tcPr>
          <w:p w14:paraId="19DB444B" w14:textId="7BF9C30A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BD7BB0E" w14:textId="37BC52A4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E2FB856" w14:textId="4EBB28BB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2268" w:type="dxa"/>
          </w:tcPr>
          <w:p w14:paraId="37BFBA8C" w14:textId="7D166EE3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08DB60D7" w14:textId="77777777" w:rsidTr="00047D9D">
        <w:tc>
          <w:tcPr>
            <w:tcW w:w="2545" w:type="dxa"/>
          </w:tcPr>
          <w:p w14:paraId="1185CC91" w14:textId="60A8FC50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55059C49" w14:textId="4DE48106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53496C8B" w14:textId="5236959A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42D5EA09" w14:textId="1316074B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2268" w:type="dxa"/>
          </w:tcPr>
          <w:p w14:paraId="2380376F" w14:textId="4F2293A0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5D7A0247" w14:textId="77777777" w:rsidTr="00047D9D">
        <w:tc>
          <w:tcPr>
            <w:tcW w:w="2545" w:type="dxa"/>
          </w:tcPr>
          <w:p w14:paraId="74BE1D51" w14:textId="7C86309F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3C779EC4" w14:textId="43043940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5412A63C" w14:textId="14151EE6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701" w:type="dxa"/>
          </w:tcPr>
          <w:p w14:paraId="6A802E40" w14:textId="094F1E72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2268" w:type="dxa"/>
          </w:tcPr>
          <w:p w14:paraId="527B4103" w14:textId="3B4FBA6E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4CCA32C3" w14:textId="77777777" w:rsidTr="00047D9D">
        <w:tc>
          <w:tcPr>
            <w:tcW w:w="2545" w:type="dxa"/>
          </w:tcPr>
          <w:p w14:paraId="2CB6571A" w14:textId="7CAFDE95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6A385D34" w14:textId="01FAE50E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0F5C8F27" w14:textId="1132055B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701" w:type="dxa"/>
          </w:tcPr>
          <w:p w14:paraId="6CEC76EC" w14:textId="47044189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2268" w:type="dxa"/>
          </w:tcPr>
          <w:p w14:paraId="469B3EEF" w14:textId="09530E92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29B2ED2C" w14:textId="77777777" w:rsidTr="00047D9D">
        <w:tc>
          <w:tcPr>
            <w:tcW w:w="2545" w:type="dxa"/>
          </w:tcPr>
          <w:p w14:paraId="040A37D0" w14:textId="5262BCCC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rejestrów publicznych o poprawionej interoperacyjności</w:t>
            </w:r>
          </w:p>
        </w:tc>
        <w:tc>
          <w:tcPr>
            <w:tcW w:w="1278" w:type="dxa"/>
          </w:tcPr>
          <w:p w14:paraId="170BD94B" w14:textId="30F1BC12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C9BC499" w14:textId="44C8CFD6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D1FDD2" w14:textId="66DA21A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2268" w:type="dxa"/>
          </w:tcPr>
          <w:p w14:paraId="19032BC5" w14:textId="5949E67F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00F290D0" w14:textId="77777777" w:rsidTr="00047D9D">
        <w:tc>
          <w:tcPr>
            <w:tcW w:w="2545" w:type="dxa"/>
          </w:tcPr>
          <w:p w14:paraId="50418B33" w14:textId="031C8662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D85F1AD" w14:textId="785C14D2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69564FF" w14:textId="7F97B778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7C505AE2" w14:textId="7A667F2F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08.2021</w:t>
            </w:r>
          </w:p>
        </w:tc>
        <w:tc>
          <w:tcPr>
            <w:tcW w:w="2268" w:type="dxa"/>
          </w:tcPr>
          <w:p w14:paraId="31BB7E8C" w14:textId="492A335F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52A08447" w14:textId="08AEE6E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640F3A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066D88A5" w14:textId="77777777" w:rsidTr="00640F3A">
        <w:tc>
          <w:tcPr>
            <w:tcW w:w="2797" w:type="dxa"/>
          </w:tcPr>
          <w:p w14:paraId="2A79DED5" w14:textId="77777777" w:rsidR="00640F3A" w:rsidRPr="00C132CA" w:rsidRDefault="00640F3A" w:rsidP="00640F3A">
            <w:pPr>
              <w:keepLines/>
              <w:spacing w:before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132CA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Usługa  e-PEM.</w:t>
            </w:r>
          </w:p>
          <w:p w14:paraId="20666394" w14:textId="77777777" w:rsidR="00640F3A" w:rsidRPr="00C132CA" w:rsidRDefault="00640F3A" w:rsidP="00640F3A">
            <w:pPr>
              <w:keepLine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Usługa umożliwiająca i </w:t>
            </w:r>
            <w:r w:rsidRPr="00C132CA">
              <w:rPr>
                <w:rFonts w:ascii="Arial" w:hAnsi="Arial" w:cs="Arial"/>
                <w:sz w:val="18"/>
                <w:szCs w:val="18"/>
              </w:rPr>
              <w:t xml:space="preserve">ułatwiająca dostęp 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>prowadzącym instalacje radiokomunikacyjne wytwarzające promieniowanie elektromagnetyczne, a w koń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cowym efekcie również obywatelom, </w:t>
            </w:r>
            <w:r w:rsidRPr="00C132CA">
              <w:rPr>
                <w:rFonts w:ascii="Arial" w:hAnsi="Arial" w:cs="Arial"/>
                <w:sz w:val="18"/>
                <w:szCs w:val="18"/>
              </w:rPr>
              <w:t>do istotnych danych środowiskowych dotyczących PEM, zawierająca narzędzia teleinformatyczne oraz modele obliczeniowe umożliwiające analizę, agregację i przetwarzanie danych pomiarowych z różnych dostępnych źródeł oraz precyzyjną estymację ciągłych rozkładów PEM w oparciu o pomiary i opracowane modele matematyczne, w szczególności:</w:t>
            </w:r>
          </w:p>
          <w:p w14:paraId="1306E236" w14:textId="77777777" w:rsidR="00640F3A" w:rsidRPr="00C132CA" w:rsidRDefault="00640F3A" w:rsidP="00640F3A">
            <w:pPr>
              <w:keepLine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>– dla prowadzących instalacje radiokomunikacyjne wytwarzające PEM, usługa związana z planowaniem i projektowaniem nowych sieci radiokomunikacyjnych, w tym formularz z narzędziami do obsługi działań związanych z wprowadzaniem geolokalizowanych danych o obiektach i zdarzeniach (pomiarach 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>symulacjach) PEM,</w:t>
            </w:r>
          </w:p>
          <w:p w14:paraId="21262D83" w14:textId="0A20E300" w:rsidR="00640F3A" w:rsidRPr="00141A92" w:rsidRDefault="00640F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wyniku powstałej usługi będą udostępniane informacje dla obywateli polegające na dostępie do </w:t>
            </w:r>
            <w:r w:rsidRPr="00C132CA">
              <w:rPr>
                <w:rFonts w:ascii="Arial" w:hAnsi="Arial" w:cs="Arial"/>
                <w:sz w:val="18"/>
                <w:szCs w:val="18"/>
              </w:rPr>
              <w:t>jednoznacznych, kompletnych i spójnych danych 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instalacjach wytwarzających PEM z radiowego zakresu częstotliwości, jednocześnie zapewniająca skuteczne monitorowanie PEM.</w:t>
            </w:r>
          </w:p>
        </w:tc>
        <w:tc>
          <w:tcPr>
            <w:tcW w:w="1261" w:type="dxa"/>
          </w:tcPr>
          <w:p w14:paraId="2AB11F03" w14:textId="77777777" w:rsidR="00640F3A" w:rsidRPr="00C132CA" w:rsidRDefault="00640F3A" w:rsidP="00640F3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6C9765" w14:textId="67FF8FC7" w:rsidR="00640F3A" w:rsidRPr="00141A92" w:rsidRDefault="00640F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08.2020</w:t>
            </w:r>
          </w:p>
        </w:tc>
        <w:tc>
          <w:tcPr>
            <w:tcW w:w="1395" w:type="dxa"/>
          </w:tcPr>
          <w:p w14:paraId="3DF8A089" w14:textId="523BAF64" w:rsidR="00640F3A" w:rsidRPr="00141A92" w:rsidRDefault="00640F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56C470F5" w14:textId="77777777" w:rsidR="00640F3A" w:rsidRPr="00C132CA" w:rsidRDefault="00640F3A" w:rsidP="00640F3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E99E5E" w14:textId="492E5AD8" w:rsidR="00640F3A" w:rsidRPr="00141A92" w:rsidRDefault="00640F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61D6422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640F3A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153EA8F3" w14:textId="77777777" w:rsidTr="00640F3A">
        <w:tc>
          <w:tcPr>
            <w:tcW w:w="2807" w:type="dxa"/>
          </w:tcPr>
          <w:p w14:paraId="46265E90" w14:textId="712CE7F4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1261" w:type="dxa"/>
          </w:tcPr>
          <w:p w14:paraId="6D7C5935" w14:textId="62CB80A3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56773D50" w14:textId="039E7688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37781807" w14:textId="3412D6F1"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245EE638" w14:textId="77777777" w:rsidTr="00640F3A">
        <w:tc>
          <w:tcPr>
            <w:tcW w:w="2807" w:type="dxa"/>
          </w:tcPr>
          <w:p w14:paraId="330D8766" w14:textId="51CC9A5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Dane ze sprawozdań – liczba sprawozdań w tym sprawozdania z</w:t>
            </w:r>
            <w:r>
              <w:rPr>
                <w:rFonts w:ascii="Arial" w:hAnsi="Arial" w:cs="Arial"/>
                <w:sz w:val="20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20"/>
                <w:lang w:eastAsia="pl-PL"/>
              </w:rPr>
              <w:t>kampanii pomiarowych PEM realizowanych przez IŁ-PIB</w:t>
            </w:r>
          </w:p>
        </w:tc>
        <w:tc>
          <w:tcPr>
            <w:tcW w:w="1261" w:type="dxa"/>
          </w:tcPr>
          <w:p w14:paraId="291026ED" w14:textId="3149DDB0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6BB227E3" w14:textId="79CA79DB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2CB12ED8" w14:textId="575987F2"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Liczba udostępnionych sprawozdań – 6753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640F3A" w:rsidRPr="002B50C0" w14:paraId="43832D46" w14:textId="77777777" w:rsidTr="00640F3A">
        <w:tc>
          <w:tcPr>
            <w:tcW w:w="2807" w:type="dxa"/>
          </w:tcPr>
          <w:p w14:paraId="3158B6D7" w14:textId="77777777" w:rsidR="00640F3A" w:rsidRPr="00C132CA" w:rsidRDefault="00640F3A" w:rsidP="00640F3A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Informacje o urządzeniach nadawczych w instalacjach radiokomunikacyjnych – liczba lokalizacji urządzeń nadawczych w instalacjach radiokomunikacyjnych, wprowadzonych do systemu</w:t>
            </w:r>
          </w:p>
          <w:p w14:paraId="3DCE5E52" w14:textId="336B2FB9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lastRenderedPageBreak/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1261" w:type="dxa"/>
          </w:tcPr>
          <w:p w14:paraId="31054D27" w14:textId="321288FA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lastRenderedPageBreak/>
              <w:t>od 12.2019</w:t>
            </w:r>
          </w:p>
        </w:tc>
        <w:tc>
          <w:tcPr>
            <w:tcW w:w="1395" w:type="dxa"/>
          </w:tcPr>
          <w:p w14:paraId="336D9115" w14:textId="0C1D9E3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0D63AA26" w14:textId="674B4AB7"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Liczba lokalizacji urządzeń nadawczych w instalacjach radiokomunikacyjnych, wprowadzonych do systemu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</w:t>
            </w: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5 083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</w:p>
        </w:tc>
      </w:tr>
    </w:tbl>
    <w:p w14:paraId="2598878D" w14:textId="64CF5424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17BA" w:rsidRPr="002B50C0" w14:paraId="50A66C72" w14:textId="77777777" w:rsidTr="00640F3A">
        <w:tc>
          <w:tcPr>
            <w:tcW w:w="2547" w:type="dxa"/>
          </w:tcPr>
          <w:p w14:paraId="20B36869" w14:textId="64AFA4D2"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Baza danych wraz z interfejsami do zbierania, przetwarzania, prezentowania i udostępniania danych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pomiarów poziomów PEM </w:t>
            </w:r>
          </w:p>
        </w:tc>
        <w:tc>
          <w:tcPr>
            <w:tcW w:w="1701" w:type="dxa"/>
          </w:tcPr>
          <w:p w14:paraId="1DB94B1B" w14:textId="4152F5DD" w:rsidR="001517BA" w:rsidRPr="00141A92" w:rsidRDefault="001517BA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843" w:type="dxa"/>
          </w:tcPr>
          <w:p w14:paraId="6882FECF" w14:textId="64F36A39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6AEF681" w14:textId="77777777"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 "</w:t>
            </w:r>
            <w:r w:rsidRPr="00CE1080">
              <w:rPr>
                <w:rFonts w:ascii="Arial" w:hAnsi="Arial" w:cs="Arial"/>
                <w:i/>
                <w:iCs/>
                <w:sz w:val="18"/>
                <w:szCs w:val="18"/>
              </w:rPr>
              <w:t>Opracowanie i wdrożenie platformy usług e-administracji dla celów wyszukiwania, przeglądania, wnioskowania i udostępniania danych w ramach systemu informatycznego Inspekcji Ochrony Środowiska Ekoinfonet"</w:t>
            </w:r>
            <w:r w:rsidRPr="00CE10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13376D3" w14:textId="77777777" w:rsidR="001517BA" w:rsidRPr="00CE1080" w:rsidRDefault="001517BA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Zależności: Ekoinfonet → SI2PEM</w:t>
            </w:r>
          </w:p>
          <w:p w14:paraId="4E624CD3" w14:textId="77777777" w:rsidR="001517BA" w:rsidRPr="00CE1080" w:rsidRDefault="001517BA" w:rsidP="001517BA">
            <w:pPr>
              <w:pStyle w:val="Default"/>
              <w:numPr>
                <w:ilvl w:val="0"/>
                <w:numId w:val="22"/>
              </w:numPr>
              <w:ind w:left="288" w:hanging="28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dane z pomiarów Państwowego Monitoringu Środowiska oraz pomiarów kontrolnych i interwencyjnych, zgromadzone w bazie JELMAG</w:t>
            </w:r>
          </w:p>
          <w:p w14:paraId="2C2A2221" w14:textId="77777777" w:rsidR="001517BA" w:rsidRPr="00CE1080" w:rsidRDefault="001517BA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Status integracji</w:t>
            </w:r>
          </w:p>
          <w:p w14:paraId="676C1FE8" w14:textId="77777777"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Projekt Ekoinfonet planowany do realizacji, w ramach POPC 2.1. – obecnie nieznany status projektu.</w:t>
            </w:r>
          </w:p>
          <w:p w14:paraId="3A10F1E8" w14:textId="77777777" w:rsidR="001517BA" w:rsidRPr="00CE1080" w:rsidRDefault="001517BA" w:rsidP="000E0237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[2] Projekt komplementarny:</w:t>
            </w:r>
          </w:p>
          <w:p w14:paraId="371D16F7" w14:textId="77777777"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Kampanie pomiarowe PEM realizowane w ramach dotacji celowej MC</w:t>
            </w:r>
          </w:p>
          <w:p w14:paraId="7206D8B8" w14:textId="77777777" w:rsidR="001517BA" w:rsidRPr="00CE1080" w:rsidRDefault="001517BA" w:rsidP="000E0237">
            <w:pPr>
              <w:pStyle w:val="Default"/>
              <w:spacing w:before="120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Zależności: Kampanie pomiarowe PEM → SI2PEM</w:t>
            </w:r>
          </w:p>
          <w:p w14:paraId="0BB506A1" w14:textId="77777777" w:rsidR="001517BA" w:rsidRPr="00CE1080" w:rsidRDefault="001517BA" w:rsidP="001517BA">
            <w:pPr>
              <w:pStyle w:val="Default"/>
              <w:numPr>
                <w:ilvl w:val="0"/>
                <w:numId w:val="22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dane z pomiarów realizowanych w ramach kampanii pomiarowych</w:t>
            </w:r>
          </w:p>
          <w:p w14:paraId="3ACC04A9" w14:textId="77777777" w:rsidR="001517BA" w:rsidRPr="00CE1080" w:rsidRDefault="001517BA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Statut integracji:</w:t>
            </w:r>
          </w:p>
          <w:p w14:paraId="43CDFE6D" w14:textId="3FDBADBF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w opracowaniu interfejsy umożliwiające zasilanie SI2PEM danymi z kampanii pomiarowych PEM z lat 2016-2018 oraz kolejnych; pomiary poziomów PEM planowane w ramach kampania pomiarowej 2019, w fazie przygotowania</w:t>
            </w:r>
          </w:p>
        </w:tc>
      </w:tr>
      <w:tr w:rsidR="001517BA" w:rsidRPr="002B50C0" w14:paraId="3255F10E" w14:textId="77777777" w:rsidTr="00640F3A">
        <w:tc>
          <w:tcPr>
            <w:tcW w:w="2547" w:type="dxa"/>
          </w:tcPr>
          <w:p w14:paraId="531DEF4B" w14:textId="69A556DE"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Baza geolokalizowanych danych o urządzeniach nadawczych w sieciach mobilnych i geolokalizowanych danych pomiarowych </w:t>
            </w:r>
          </w:p>
        </w:tc>
        <w:tc>
          <w:tcPr>
            <w:tcW w:w="1701" w:type="dxa"/>
          </w:tcPr>
          <w:p w14:paraId="3E71E54A" w14:textId="070284BA" w:rsidR="001517BA" w:rsidRPr="00141A92" w:rsidRDefault="001517BA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843" w:type="dxa"/>
          </w:tcPr>
          <w:p w14:paraId="327627F1" w14:textId="77777777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6AA93A3" w14:textId="77777777" w:rsidR="001517BA" w:rsidRPr="00CE1080" w:rsidRDefault="001517BA" w:rsidP="000E02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</w:p>
          <w:p w14:paraId="58EE934E" w14:textId="77777777"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Projekt pt. „</w:t>
            </w:r>
            <w:r w:rsidRPr="00CE1080">
              <w:rPr>
                <w:rFonts w:ascii="Arial" w:hAnsi="Arial" w:cs="Arial"/>
                <w:i/>
                <w:iCs/>
                <w:sz w:val="18"/>
                <w:szCs w:val="18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CE1080">
              <w:rPr>
                <w:rFonts w:ascii="Arial" w:hAnsi="Arial" w:cs="Arial"/>
                <w:sz w:val="18"/>
                <w:szCs w:val="18"/>
              </w:rPr>
              <w:t>”.</w:t>
            </w:r>
          </w:p>
          <w:p w14:paraId="5395EEED" w14:textId="77777777" w:rsidR="001517BA" w:rsidRPr="00CE1080" w:rsidRDefault="001517BA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Zależności: SI2PEM → Ekoinfonet</w:t>
            </w:r>
          </w:p>
          <w:p w14:paraId="39FBE0E6" w14:textId="77777777" w:rsidR="001517BA" w:rsidRPr="00CE1080" w:rsidRDefault="001517BA" w:rsidP="001517BA">
            <w:pPr>
              <w:pStyle w:val="Default"/>
              <w:numPr>
                <w:ilvl w:val="0"/>
                <w:numId w:val="22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wynikach pomiarów PEM zgromadzone w bazie danych SI2PEM </w:t>
            </w:r>
          </w:p>
          <w:p w14:paraId="0EEFB97D" w14:textId="77777777" w:rsidR="001517BA" w:rsidRPr="00CE1080" w:rsidRDefault="001517BA" w:rsidP="001517BA">
            <w:pPr>
              <w:pStyle w:val="Default"/>
              <w:numPr>
                <w:ilvl w:val="0"/>
                <w:numId w:val="22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instalacjach wytwarzających pole elektromagnetyczne zgromadzone w bazie danych SI2PEM </w:t>
            </w:r>
          </w:p>
          <w:p w14:paraId="1DABB366" w14:textId="77777777" w:rsidR="001517BA" w:rsidRPr="00CE1080" w:rsidRDefault="001517BA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Statut integracji:</w:t>
            </w:r>
          </w:p>
          <w:p w14:paraId="79E71D24" w14:textId="5F0E125D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Projekt Ekoinfonet planowany do realizacji, w ramach POPC 2.1. – obecnie nie</w:t>
            </w:r>
            <w:r w:rsidRPr="00CE1080">
              <w:rPr>
                <w:rFonts w:ascii="Arial" w:hAnsi="Arial" w:cs="Arial"/>
                <w:sz w:val="18"/>
                <w:szCs w:val="18"/>
              </w:rPr>
              <w:lastRenderedPageBreak/>
              <w:t>znany status projektu.</w:t>
            </w:r>
          </w:p>
        </w:tc>
      </w:tr>
      <w:tr w:rsidR="001517BA" w:rsidRPr="002B50C0" w14:paraId="39D13E54" w14:textId="77777777" w:rsidTr="00640F3A">
        <w:tc>
          <w:tcPr>
            <w:tcW w:w="2547" w:type="dxa"/>
          </w:tcPr>
          <w:p w14:paraId="45A0F912" w14:textId="39E37079"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lastRenderedPageBreak/>
              <w:t xml:space="preserve">Narzędzia dla przedsiębiorców i obywateli do prezentacji danych z pomiarów w postaci map cyfrowych oraz w postaci tabelarycznej </w:t>
            </w:r>
          </w:p>
        </w:tc>
        <w:tc>
          <w:tcPr>
            <w:tcW w:w="1701" w:type="dxa"/>
          </w:tcPr>
          <w:p w14:paraId="4B7FFCE2" w14:textId="655EA101" w:rsidR="001517BA" w:rsidRPr="00141A92" w:rsidRDefault="001517BA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843" w:type="dxa"/>
          </w:tcPr>
          <w:p w14:paraId="08153FAC" w14:textId="77777777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386D98" w14:textId="77777777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1517BA" w:rsidRPr="002B50C0" w14:paraId="6EA89E8E" w14:textId="77777777" w:rsidTr="00640F3A">
        <w:tc>
          <w:tcPr>
            <w:tcW w:w="2547" w:type="dxa"/>
          </w:tcPr>
          <w:p w14:paraId="2B50FBC0" w14:textId="7A539567"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Narzędzia analityczno-symulacyjne dla przedsiębiorców i obywateli, pokazujące poziomy PEM w dowolnie wybranym punkcie na terytorium kraju</w:t>
            </w:r>
          </w:p>
        </w:tc>
        <w:tc>
          <w:tcPr>
            <w:tcW w:w="1701" w:type="dxa"/>
          </w:tcPr>
          <w:p w14:paraId="5CD6C96B" w14:textId="73977BCA" w:rsidR="001517BA" w:rsidRPr="00141A92" w:rsidRDefault="001517BA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843" w:type="dxa"/>
          </w:tcPr>
          <w:p w14:paraId="36F9F174" w14:textId="77777777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574D977" w14:textId="77777777"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Do celów developerskich i testowych, zanim zostanie zakupiony sprzęt komputerowy, wykorzystywane jest aktualne środowisko serwerowe pozyskane w ramach projektu PIAST w ramach Działania 2.3 Programu Operacyjnego Innowacyjna Gospodarka. </w:t>
            </w:r>
          </w:p>
          <w:p w14:paraId="2DB0B1FA" w14:textId="3EC75F0E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Ze względu na inny obszar merytoryczny obu projektów i brak komplementarności rozwiązań nie jest planowana integracja obu systemów, lecz jedynie tymczasowe wykorzystanie infrastruktury sprzętowej projektu PIAST do czasu zakupu sprzętu komputerowego dedykowanego dla projektu SI2PEM</w:t>
            </w:r>
          </w:p>
        </w:tc>
      </w:tr>
      <w:tr w:rsidR="001517BA" w:rsidRPr="002B50C0" w14:paraId="3E7F97D2" w14:textId="77777777" w:rsidTr="00640F3A">
        <w:tc>
          <w:tcPr>
            <w:tcW w:w="2547" w:type="dxa"/>
          </w:tcPr>
          <w:p w14:paraId="207FC9BF" w14:textId="77777777"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16B6E57" w14:textId="77777777" w:rsidR="001517BA" w:rsidRPr="00141A92" w:rsidRDefault="001517BA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174E428" w14:textId="77777777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C61C998" w14:textId="77777777"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098788C" w14:textId="77777777" w:rsidR="000E0237" w:rsidRPr="000E0237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E023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E0237">
        <w:rPr>
          <w:rFonts w:ascii="Arial" w:hAnsi="Arial" w:cs="Arial"/>
          <w:color w:val="0070C0"/>
        </w:rPr>
        <w:t xml:space="preserve"> </w:t>
      </w:r>
      <w:r w:rsidR="00B41415" w:rsidRPr="000E0237">
        <w:rPr>
          <w:rFonts w:ascii="Arial" w:hAnsi="Arial" w:cs="Arial"/>
          <w:color w:val="0070C0"/>
        </w:rPr>
        <w:t xml:space="preserve"> </w:t>
      </w:r>
    </w:p>
    <w:p w14:paraId="3DDCF603" w14:textId="345567E7" w:rsidR="00CF2E64" w:rsidRPr="000E0237" w:rsidRDefault="00CF2E64" w:rsidP="000E0237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0E023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2B50C0" w14:paraId="1581B854" w14:textId="77777777" w:rsidTr="001517BA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517BA" w:rsidRPr="002B50C0" w14:paraId="3897D7DF" w14:textId="77777777" w:rsidTr="001517BA">
        <w:tc>
          <w:tcPr>
            <w:tcW w:w="3153" w:type="dxa"/>
          </w:tcPr>
          <w:p w14:paraId="25374FF2" w14:textId="1E34B99F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>Zagrożenie "konkurencją" wobec innych projektów i przeciążeniem zasobów zaangażowanych w Projekt</w:t>
            </w:r>
          </w:p>
        </w:tc>
        <w:tc>
          <w:tcPr>
            <w:tcW w:w="1691" w:type="dxa"/>
          </w:tcPr>
          <w:p w14:paraId="5602BE9F" w14:textId="67C1C779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93D4C92" w14:textId="100E6E70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4257AD15" w14:textId="14AF6D5F"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Wprowadzono działania zaradcze: reorganizację prac w innych projektach i przeniesienie pracowników do projektu SI2PEM. Planowane jest również zwiększenie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br/>
              <w:t>Brak zmian w zakresie ryzyka w stosunku do poprzedniego okresu sprawozdawczego.</w:t>
            </w:r>
          </w:p>
        </w:tc>
      </w:tr>
      <w:tr w:rsidR="001517BA" w:rsidRPr="002B50C0" w14:paraId="5804F45A" w14:textId="77777777" w:rsidTr="001517BA">
        <w:tc>
          <w:tcPr>
            <w:tcW w:w="3153" w:type="dxa"/>
          </w:tcPr>
          <w:p w14:paraId="5CF2EBDF" w14:textId="29038F35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91" w:type="dxa"/>
          </w:tcPr>
          <w:p w14:paraId="6E4FABCA" w14:textId="0899B8DA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94" w:type="dxa"/>
          </w:tcPr>
          <w:p w14:paraId="017E662A" w14:textId="0C553972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3C89915F" w14:textId="77777777"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Uzgodnienia z gestorami systemów/baz danych. Brak zmian w zakresie ryzyka w stosunku do poprzedniego okresu sprawozdawczego.</w:t>
            </w:r>
          </w:p>
          <w:p w14:paraId="6921FD72" w14:textId="44B0F29B" w:rsidR="001517BA" w:rsidRPr="00B378F9" w:rsidRDefault="001517B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Prowadzenie kampanii informacyjnej.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 związku z istotnymi ograniczeniami różnych form kontaktów, w tym bezpośrednich,  wynikającymi z pan</w:t>
            </w:r>
            <w:r w:rsidR="00B378F9">
              <w:rPr>
                <w:rFonts w:ascii="Arial" w:hAnsi="Arial" w:cs="Arial"/>
                <w:sz w:val="20"/>
                <w:szCs w:val="20"/>
              </w:rPr>
              <w:t xml:space="preserve">demii. </w:t>
            </w:r>
          </w:p>
        </w:tc>
      </w:tr>
      <w:tr w:rsidR="001517BA" w:rsidRPr="002B50C0" w14:paraId="13EB61C4" w14:textId="77777777" w:rsidTr="001517BA">
        <w:tc>
          <w:tcPr>
            <w:tcW w:w="3153" w:type="dxa"/>
          </w:tcPr>
          <w:p w14:paraId="69C29E8D" w14:textId="40594476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691" w:type="dxa"/>
          </w:tcPr>
          <w:p w14:paraId="6A496D33" w14:textId="3BA445C6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1DEF1F89" w14:textId="28158DC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5DECE4C1" w14:textId="77777777"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Właściwe planowanie </w:t>
            </w:r>
            <w:r w:rsidRPr="00CE1080">
              <w:rPr>
                <w:rFonts w:ascii="Arial" w:hAnsi="Arial" w:cs="Arial"/>
                <w:sz w:val="20"/>
              </w:rPr>
              <w:lastRenderedPageBreak/>
              <w:t>wydatków i bieżąca analiza dostępnych środków.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Brak zmian w 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799994B8" w14:textId="6410BBAB"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Działania na rzecz pozyskania środków. </w:t>
            </w: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56B177D7" w14:textId="77777777" w:rsidTr="001517BA">
        <w:tc>
          <w:tcPr>
            <w:tcW w:w="3153" w:type="dxa"/>
          </w:tcPr>
          <w:p w14:paraId="481246B0" w14:textId="70FC7D1D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lastRenderedPageBreak/>
              <w:t>Rozwiązanie Porozumienia o dofinansowanie ze względu na niezgodność realizacji projektu z Wnioskiem o dofinansowanie i Studium Wykonalności</w:t>
            </w:r>
          </w:p>
        </w:tc>
        <w:tc>
          <w:tcPr>
            <w:tcW w:w="1691" w:type="dxa"/>
          </w:tcPr>
          <w:p w14:paraId="002EA768" w14:textId="2158B441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18D8EF9D" w14:textId="6307D8AF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3F109ED2" w14:textId="77777777" w:rsidR="001517BA" w:rsidRPr="00CE1080" w:rsidRDefault="001517BA" w:rsidP="000E0237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Przestrzeganie harmonogramu realizacji projektu, bieżące monitorowanie rzeczowych postępów prowadzonych działań zgodnie z harmonogramem i kosztorysem projektu. Brak zmian w zakresie ryzyka w stosunku do poprzedniego okresu sprawozdawczego.</w:t>
            </w:r>
          </w:p>
          <w:p w14:paraId="556D21AB" w14:textId="7BA9B1AE"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>Informowanie na bieżąco Instytucji Pośredniczącej o wszelkich zmianach w realizacji projektu wraz z uzasadnieniem oraz konsultacja merytorycznego zakresu projektu z użytkownikiem końcowym.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Brak zmian w zakresie ryzyka w stosunku do poprzedniego okresu sprawozdawczego.</w:t>
            </w:r>
          </w:p>
        </w:tc>
      </w:tr>
      <w:tr w:rsidR="001517BA" w:rsidRPr="002B50C0" w14:paraId="7E10D722" w14:textId="77777777" w:rsidTr="001517BA">
        <w:tc>
          <w:tcPr>
            <w:tcW w:w="3153" w:type="dxa"/>
          </w:tcPr>
          <w:p w14:paraId="751E5A85" w14:textId="381266C8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Opóźnienia w pozyskiwaniu sprzętu i oprogramowania wynikające z konieczności stosowania Ustawy PZP</w:t>
            </w:r>
          </w:p>
        </w:tc>
        <w:tc>
          <w:tcPr>
            <w:tcW w:w="1691" w:type="dxa"/>
          </w:tcPr>
          <w:p w14:paraId="28838938" w14:textId="34FDE930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933E835" w14:textId="0BE7AACF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3760224E" w14:textId="6D9BFB82" w:rsidR="001517BA" w:rsidRPr="00B378F9" w:rsidRDefault="00F92FE9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Ponowne ogłoszenie przetargu, dostawa zakupionej  infrastruktury – czerwiec 2020.Brak zmian</w:t>
            </w:r>
            <w:r w:rsidR="001517BA" w:rsidRPr="00C94D74">
              <w:rPr>
                <w:rFonts w:ascii="Arial" w:hAnsi="Arial" w:cs="Arial"/>
                <w:sz w:val="20"/>
                <w:szCs w:val="20"/>
              </w:rPr>
              <w:t xml:space="preserve"> w zakresie ryzyka w stosunku do popr</w:t>
            </w:r>
            <w:r w:rsidR="00B378F9">
              <w:rPr>
                <w:rFonts w:ascii="Arial" w:hAnsi="Arial" w:cs="Arial"/>
                <w:sz w:val="20"/>
                <w:szCs w:val="20"/>
              </w:rPr>
              <w:t>zedniego okresu sprawozdawczego</w:t>
            </w:r>
          </w:p>
        </w:tc>
      </w:tr>
      <w:tr w:rsidR="001517BA" w:rsidRPr="002B50C0" w14:paraId="48AA84C3" w14:textId="77777777" w:rsidTr="001517BA">
        <w:tc>
          <w:tcPr>
            <w:tcW w:w="3153" w:type="dxa"/>
          </w:tcPr>
          <w:p w14:paraId="671A3A85" w14:textId="3A673691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Niestosowanie założeń planu komunikacji i informacji na temat projektu </w:t>
            </w:r>
          </w:p>
        </w:tc>
        <w:tc>
          <w:tcPr>
            <w:tcW w:w="1691" w:type="dxa"/>
          </w:tcPr>
          <w:p w14:paraId="7443F43A" w14:textId="24A523E8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294" w:type="dxa"/>
          </w:tcPr>
          <w:p w14:paraId="6DFD5532" w14:textId="6E5F484E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5865CE0C" w14:textId="77777777" w:rsidR="001517BA" w:rsidRPr="00C94D74" w:rsidRDefault="001517BA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  <w:r w:rsidRPr="00C94D74">
              <w:rPr>
                <w:rFonts w:ascii="Arial" w:hAnsi="Arial" w:cs="Arial"/>
                <w:sz w:val="20"/>
                <w:szCs w:val="20"/>
              </w:rPr>
              <w:t>. Brak zmian w zakresie ryzyka w stosunku do poprzedniego okresu sprawozdawczego.</w:t>
            </w:r>
          </w:p>
          <w:p w14:paraId="2ABA5062" w14:textId="1FE42292" w:rsidR="001517BA" w:rsidRPr="000E0237" w:rsidRDefault="001517B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lastRenderedPageBreak/>
              <w:t>Seria spotkań informacyjno-szkoleniowych.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Wzrost prawdopodobieństwa wystąpienia ryzyka w związku z istotnymi ograniczeniami różnych form kontaktów, w tym bezpośrednich,  wynikającymi z pandemii. </w:t>
            </w:r>
          </w:p>
        </w:tc>
      </w:tr>
      <w:tr w:rsidR="001517BA" w:rsidRPr="002B50C0" w14:paraId="5988DC70" w14:textId="77777777" w:rsidTr="001517BA">
        <w:tc>
          <w:tcPr>
            <w:tcW w:w="3153" w:type="dxa"/>
          </w:tcPr>
          <w:p w14:paraId="50B3F96A" w14:textId="61206A6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lastRenderedPageBreak/>
              <w:t>Możliwa „konkurencja” z projektami jednostek administracji państwowej związanymi z tematyką PEM</w:t>
            </w:r>
          </w:p>
        </w:tc>
        <w:tc>
          <w:tcPr>
            <w:tcW w:w="1691" w:type="dxa"/>
          </w:tcPr>
          <w:p w14:paraId="237449C7" w14:textId="339ED3CD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F3F0AD8" w14:textId="6F3025E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252B053B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rozmów z jednostkami administracji państwowej</w:t>
            </w:r>
            <w:r w:rsidRPr="00C94D74">
              <w:rPr>
                <w:rFonts w:ascii="Arial" w:hAnsi="Arial" w:cs="Arial"/>
                <w:sz w:val="20"/>
              </w:rPr>
              <w:t>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  <w:p w14:paraId="708FD91B" w14:textId="7E747B13"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</w:rPr>
              <w:t>Prowadzenie kampanii informacyjnej.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</w:tc>
      </w:tr>
      <w:tr w:rsidR="001517BA" w:rsidRPr="002B50C0" w14:paraId="22CD0A03" w14:textId="77777777" w:rsidTr="001517BA">
        <w:tc>
          <w:tcPr>
            <w:tcW w:w="3153" w:type="dxa"/>
          </w:tcPr>
          <w:p w14:paraId="727DA9CC" w14:textId="55A29584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91" w:type="dxa"/>
          </w:tcPr>
          <w:p w14:paraId="59E7F3A4" w14:textId="594ECE7B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27AB039" w14:textId="3F54233E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27C745C9" w14:textId="19D8E435"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 w:rsidRPr="002A2732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</w:tc>
      </w:tr>
      <w:tr w:rsidR="001517BA" w:rsidRPr="002B50C0" w14:paraId="44F0C0B4" w14:textId="77777777" w:rsidTr="001517BA">
        <w:tc>
          <w:tcPr>
            <w:tcW w:w="3153" w:type="dxa"/>
          </w:tcPr>
          <w:p w14:paraId="21902D24" w14:textId="306919D5" w:rsidR="001517BA" w:rsidRPr="00CE1080" w:rsidRDefault="001517BA" w:rsidP="00C1106C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 uruchomieniu pełnej funkcjonalności usług wynikające z działań przyszłych użytkowników</w:t>
            </w:r>
          </w:p>
        </w:tc>
        <w:tc>
          <w:tcPr>
            <w:tcW w:w="1691" w:type="dxa"/>
          </w:tcPr>
          <w:p w14:paraId="3320766D" w14:textId="4B10D74C" w:rsidR="001517BA" w:rsidRPr="00CE1080" w:rsidRDefault="001517BA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7F6BFDD9" w14:textId="60204D0F" w:rsidR="001517BA" w:rsidRPr="00CE1080" w:rsidRDefault="001517BA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5239191B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 xml:space="preserve">Stała współpraca z przyszłymi użytkownikami w celu </w:t>
            </w:r>
            <w:r w:rsidRPr="00C94D74">
              <w:rPr>
                <w:rFonts w:ascii="Arial" w:hAnsi="Arial" w:cs="Arial"/>
                <w:sz w:val="20"/>
              </w:rPr>
              <w:t xml:space="preserve">doprecyzowania wymagań i niwelowania wszelkich utrudnień. </w:t>
            </w: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 stosunku do poprzedniego okresu sprawozdawczego.</w:t>
            </w:r>
          </w:p>
          <w:p w14:paraId="6CF66E42" w14:textId="2AD077D0" w:rsidR="001517BA" w:rsidRPr="000E0237" w:rsidRDefault="001517B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Zapewnienie możliwie najwcześniej udziału użytkowników w zapoznawaniu się z produktami dla nich przeznaczonymi.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Wzrost prawdopodobieństwa wystąpienia ryzyka w związku z istotnymi ograniczeniami różnych form kontaktów, w tym bezpośrednich, wynikającymi z pandemii. </w:t>
            </w:r>
          </w:p>
        </w:tc>
      </w:tr>
      <w:tr w:rsidR="00F97787" w:rsidRPr="002B50C0" w14:paraId="5E3D87AB" w14:textId="77777777" w:rsidTr="001517BA">
        <w:tc>
          <w:tcPr>
            <w:tcW w:w="3153" w:type="dxa"/>
          </w:tcPr>
          <w:p w14:paraId="47D618F5" w14:textId="0FC63466" w:rsidR="00F97787" w:rsidRPr="00CE1080" w:rsidRDefault="00F97787" w:rsidP="00C110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Opóźnienie w uruchomieniu pełnej funkcjonalności systemu wynikające z braku w pełni poprawnych danych wejściowych pozyskiwanych od operatorów</w:t>
            </w:r>
          </w:p>
        </w:tc>
        <w:tc>
          <w:tcPr>
            <w:tcW w:w="1691" w:type="dxa"/>
          </w:tcPr>
          <w:p w14:paraId="7B8842EC" w14:textId="41D4F05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57C425C" w14:textId="211517CB" w:rsidR="00F97787" w:rsidRPr="00CE1080" w:rsidRDefault="00F97787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7B0A892D" w14:textId="413E8696" w:rsidR="00F97787" w:rsidRPr="002A2732" w:rsidRDefault="00F97787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Podjęte zostaną działania komunikacyjne i telekonferencje z operatorami telekomunikacyjnymi dostarczającymi dane do systemu w celu wyjaśnienia i zapewnienia sposobów prawidłowego dostarczania kompletu danych</w:t>
            </w:r>
          </w:p>
        </w:tc>
      </w:tr>
      <w:tr w:rsidR="00F97787" w:rsidRPr="002B50C0" w14:paraId="0855F892" w14:textId="77777777" w:rsidTr="001517BA">
        <w:tc>
          <w:tcPr>
            <w:tcW w:w="3153" w:type="dxa"/>
          </w:tcPr>
          <w:p w14:paraId="68A3C03B" w14:textId="51622F06" w:rsidR="00F97787" w:rsidRPr="00CE1080" w:rsidRDefault="00F97787" w:rsidP="00C1106C">
            <w:pPr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Opóźnienie w dostarczeniu produktów projektu</w:t>
            </w:r>
          </w:p>
        </w:tc>
        <w:tc>
          <w:tcPr>
            <w:tcW w:w="1691" w:type="dxa"/>
          </w:tcPr>
          <w:p w14:paraId="6D129157" w14:textId="3EB2E97F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2A2732">
              <w:rPr>
                <w:rFonts w:ascii="Arial" w:hAnsi="Arial" w:cs="Arial"/>
                <w:sz w:val="20"/>
                <w:lang w:eastAsia="pl-PL"/>
              </w:rPr>
              <w:t xml:space="preserve">Duże </w:t>
            </w:r>
          </w:p>
        </w:tc>
        <w:tc>
          <w:tcPr>
            <w:tcW w:w="2294" w:type="dxa"/>
          </w:tcPr>
          <w:p w14:paraId="7C5EA4BF" w14:textId="70B491B0" w:rsidR="00F97787" w:rsidRPr="00CE1080" w:rsidRDefault="00F97787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A27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55E33430" w14:textId="1A9133BE" w:rsidR="00F97787" w:rsidRPr="002A2732" w:rsidRDefault="00F97787" w:rsidP="00C1106C">
            <w:pPr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Praca zdalna pracowników zaangażowanych w realizacje projektu.</w:t>
            </w:r>
            <w:r w:rsidRPr="002A27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Lider wraz z Partnerem wystąpili do CPPC z wnioskiem o wydłużenie realizacji projektu do 31.01.2021 wraz ze zmianą harmonogramu wyznaczającego kamienie milowe. </w:t>
            </w:r>
            <w:r w:rsidRPr="002A2732">
              <w:rPr>
                <w:rFonts w:ascii="Arial" w:hAnsi="Arial" w:cs="Arial"/>
                <w:sz w:val="20"/>
                <w:szCs w:val="20"/>
              </w:rPr>
              <w:t>Zmiana w zakresie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DD281FD" w14:textId="77777777" w:rsidR="00B378F9" w:rsidRDefault="00B378F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FD1C970" w14:textId="77777777" w:rsidR="00B378F9" w:rsidRDefault="00B378F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299132" w14:textId="77777777" w:rsidR="00B378F9" w:rsidRDefault="00B378F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BB41E42" w14:textId="77777777" w:rsidR="00B378F9" w:rsidRDefault="00B378F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40F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517BA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543CFCE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2F0B777F" w14:textId="1587CBFC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15A9343A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174558F5" w:rsidR="001517BA" w:rsidRPr="00F92FE9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t>Przewiduje się, że utrzymanie i dalszy rozwój aplikacji w okresie trwałości projektu, będzie finansowane w ramach umów dotacji ministerialnych lub z innych środków budżetu państwa.</w:t>
            </w:r>
          </w:p>
        </w:tc>
      </w:tr>
      <w:tr w:rsidR="001517BA" w:rsidRPr="001B6667" w14:paraId="0132D23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CDC4D25" w14:textId="5A727835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6A8863E6" w14:textId="747A74D9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D6D5822" w14:textId="18E1A2BE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36DAC135" w14:textId="232D1AE2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1517BA" w:rsidRPr="001B6667" w14:paraId="22DBA3B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ED130D3" w14:textId="146D0B00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7A4AE7AA" w14:textId="364BA9A3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6A65CDF" w14:textId="0FB79342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7459114" w14:textId="1098F191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Obowiązek  </w:t>
            </w:r>
            <w:r w:rsidRPr="00CE1080">
              <w:rPr>
                <w:rFonts w:ascii="Arial" w:hAnsi="Arial" w:cs="Arial"/>
                <w:b w:val="0"/>
                <w:sz w:val="20"/>
                <w:lang w:eastAsia="pl-PL"/>
              </w:rPr>
              <w:t xml:space="preserve">regularnego dostarczania informacji przez przedsiębiorców </w:t>
            </w:r>
            <w:r w:rsidRPr="00CE1080">
              <w:rPr>
                <w:rFonts w:ascii="Arial" w:hAnsi="Arial" w:cs="Arial"/>
                <w:b w:val="0"/>
                <w:sz w:val="20"/>
                <w:lang w:eastAsia="pl-PL"/>
              </w:rPr>
              <w:lastRenderedPageBreak/>
              <w:t>został zapisany w Ustawie o</w:t>
            </w:r>
            <w:r>
              <w:rPr>
                <w:rFonts w:ascii="Arial" w:hAnsi="Arial" w:cs="Arial"/>
                <w:b w:val="0"/>
                <w:sz w:val="20"/>
                <w:lang w:eastAsia="pl-PL"/>
              </w:rPr>
              <w:t> </w:t>
            </w:r>
            <w:r w:rsidRPr="00CE1080">
              <w:rPr>
                <w:rFonts w:ascii="Arial" w:hAnsi="Arial" w:cs="Arial"/>
                <w:b w:val="0"/>
                <w:sz w:val="20"/>
                <w:lang w:eastAsia="pl-PL"/>
              </w:rPr>
              <w:t>zmianie ustawy o</w:t>
            </w:r>
            <w:r>
              <w:rPr>
                <w:rFonts w:ascii="Arial" w:hAnsi="Arial" w:cs="Arial"/>
                <w:b w:val="0"/>
                <w:sz w:val="20"/>
                <w:lang w:eastAsia="pl-PL"/>
              </w:rPr>
              <w:t> </w:t>
            </w:r>
            <w:r w:rsidRPr="00CE1080">
              <w:rPr>
                <w:rFonts w:ascii="Arial" w:hAnsi="Arial" w:cs="Arial"/>
                <w:b w:val="0"/>
                <w:sz w:val="20"/>
                <w:lang w:eastAsia="pl-PL"/>
              </w:rPr>
              <w:t>wspieraniu rozwoju usług i sieci telekomunikacyjnych oraz niektórych innych ustaw</w:t>
            </w:r>
          </w:p>
        </w:tc>
      </w:tr>
    </w:tbl>
    <w:p w14:paraId="224AF0FE" w14:textId="1BBC5DB1" w:rsidR="001517BA" w:rsidRPr="001517BA" w:rsidRDefault="00805178" w:rsidP="001517B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70CD4C2" w14:textId="0F4BF75D" w:rsidR="001517BA" w:rsidRP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1517BA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dotyczy.</w:t>
      </w:r>
    </w:p>
    <w:p w14:paraId="24630DF1" w14:textId="77777777" w:rsid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</w:p>
    <w:p w14:paraId="0FA2F07F" w14:textId="6B44FE24" w:rsidR="00BB059E" w:rsidRPr="001517B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436D4C4" w14:textId="77777777" w:rsidR="001517BA" w:rsidRPr="0023038D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23038D">
        <w:rPr>
          <w:rFonts w:ascii="Arial" w:hAnsi="Arial" w:cs="Arial"/>
          <w:sz w:val="20"/>
          <w:szCs w:val="20"/>
        </w:rPr>
        <w:t xml:space="preserve">Rafał Pawlak, Instytut Łączności – Państwowy Instytut Badawczy, Warszawa </w:t>
      </w:r>
      <w:r w:rsidRPr="0023038D">
        <w:rPr>
          <w:rFonts w:ascii="Arial" w:hAnsi="Arial" w:cs="Arial"/>
          <w:sz w:val="20"/>
          <w:szCs w:val="20"/>
        </w:rPr>
        <w:br/>
        <w:t xml:space="preserve">tel. 22 51 28 258, r.pawlak@itl.waw.pl  </w:t>
      </w:r>
    </w:p>
    <w:p w14:paraId="50D69C4B" w14:textId="77777777" w:rsidR="001517BA" w:rsidRPr="00A92887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CAD83" w14:textId="77777777" w:rsidR="005E71A6" w:rsidRDefault="005E71A6" w:rsidP="00BB2420">
      <w:pPr>
        <w:spacing w:after="0" w:line="240" w:lineRule="auto"/>
      </w:pPr>
      <w:r>
        <w:separator/>
      </w:r>
    </w:p>
  </w:endnote>
  <w:endnote w:type="continuationSeparator" w:id="0">
    <w:p w14:paraId="419865CF" w14:textId="77777777" w:rsidR="005E71A6" w:rsidRDefault="005E71A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C479AC" w:rsidRDefault="00C479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11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479AC" w:rsidRDefault="00C479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8A5E9" w14:textId="77777777" w:rsidR="005E71A6" w:rsidRDefault="005E71A6" w:rsidP="00BB2420">
      <w:pPr>
        <w:spacing w:after="0" w:line="240" w:lineRule="auto"/>
      </w:pPr>
      <w:r>
        <w:separator/>
      </w:r>
    </w:p>
  </w:footnote>
  <w:footnote w:type="continuationSeparator" w:id="0">
    <w:p w14:paraId="1A482395" w14:textId="77777777" w:rsidR="005E71A6" w:rsidRDefault="005E71A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479AC" w:rsidRDefault="00C479A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20C143F4" w14:textId="77777777" w:rsidR="00C479AC" w:rsidRDefault="00C479AC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</w:t>
      </w:r>
    </w:p>
  </w:footnote>
  <w:footnote w:id="3">
    <w:p w14:paraId="4E7E4B29" w14:textId="77777777" w:rsidR="00C479AC" w:rsidRDefault="00C479AC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1B"/>
    <w:rsid w:val="0006403E"/>
    <w:rsid w:val="00064E03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0237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17BA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038D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4A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665A"/>
    <w:rsid w:val="003508E7"/>
    <w:rsid w:val="003542F1"/>
    <w:rsid w:val="00356A3E"/>
    <w:rsid w:val="003642B8"/>
    <w:rsid w:val="00392919"/>
    <w:rsid w:val="003A4115"/>
    <w:rsid w:val="003A5C8E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9E1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1A6"/>
    <w:rsid w:val="005F41FA"/>
    <w:rsid w:val="00600AE4"/>
    <w:rsid w:val="006054AA"/>
    <w:rsid w:val="0062054D"/>
    <w:rsid w:val="006334BF"/>
    <w:rsid w:val="00635A54"/>
    <w:rsid w:val="00640F3A"/>
    <w:rsid w:val="00661A62"/>
    <w:rsid w:val="006731D9"/>
    <w:rsid w:val="00681A76"/>
    <w:rsid w:val="006822BC"/>
    <w:rsid w:val="006948D3"/>
    <w:rsid w:val="006A60AA"/>
    <w:rsid w:val="006B034F"/>
    <w:rsid w:val="006B5117"/>
    <w:rsid w:val="006C78AE"/>
    <w:rsid w:val="006E0CFA"/>
    <w:rsid w:val="006E3969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31C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27A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1A5"/>
    <w:rsid w:val="00971A40"/>
    <w:rsid w:val="00973774"/>
    <w:rsid w:val="00975E68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378F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C7162"/>
    <w:rsid w:val="00BE47CD"/>
    <w:rsid w:val="00BE5BF9"/>
    <w:rsid w:val="00C1106C"/>
    <w:rsid w:val="00C26361"/>
    <w:rsid w:val="00C302F1"/>
    <w:rsid w:val="00C3575F"/>
    <w:rsid w:val="00C42AEA"/>
    <w:rsid w:val="00C479AC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2EE4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4801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55735"/>
    <w:rsid w:val="00F60062"/>
    <w:rsid w:val="00F613CC"/>
    <w:rsid w:val="00F76777"/>
    <w:rsid w:val="00F83F2F"/>
    <w:rsid w:val="00F86555"/>
    <w:rsid w:val="00F86C58"/>
    <w:rsid w:val="00F92FE9"/>
    <w:rsid w:val="00F97787"/>
    <w:rsid w:val="00FC30C7"/>
    <w:rsid w:val="00FC3B03"/>
    <w:rsid w:val="00FC78B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40F3A"/>
  </w:style>
  <w:style w:type="paragraph" w:customStyle="1" w:styleId="Default">
    <w:name w:val="Default"/>
    <w:rsid w:val="00151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zkolenia.itl.waw.pl/elearning/mod/page/view.php?id=9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898AA-9074-40D3-912F-BE2AF4AF9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3020</Words>
  <Characters>18124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2020-07-28T11:03:00Z</dcterms:created>
  <dcterms:modified xsi:type="dcterms:W3CDTF">2020-07-28T11:03:00Z</dcterms:modified>
</cp:coreProperties>
</file>