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5263" w14:textId="528DB3F9" w:rsidR="004E3856" w:rsidRPr="00C8001D" w:rsidRDefault="004E3856" w:rsidP="004E3856">
      <w:pPr>
        <w:ind w:firstLine="709"/>
        <w:jc w:val="both"/>
        <w:rPr>
          <w:b/>
          <w:bCs/>
          <w:szCs w:val="24"/>
        </w:rPr>
      </w:pPr>
      <w:bookmarkStart w:id="0" w:name="_Hlk135637226"/>
      <w:r>
        <w:rPr>
          <w:b/>
          <w:bCs/>
          <w:szCs w:val="24"/>
        </w:rPr>
        <w:t>Appendix 8</w:t>
      </w:r>
    </w:p>
    <w:p w14:paraId="6AD88D48" w14:textId="6B3513EC" w:rsidR="004E3856" w:rsidRDefault="004E3856" w:rsidP="004E3856">
      <w:pPr>
        <w:jc w:val="both"/>
        <w:rPr>
          <w:szCs w:val="24"/>
        </w:rPr>
      </w:pPr>
      <w:r>
        <w:t>Statistical figures concerning the number of cases under Article 189a of the Criminal Code</w:t>
      </w:r>
      <w:r w:rsidR="00C5272D">
        <w:t>.</w:t>
      </w:r>
    </w:p>
    <w:p w14:paraId="3B5253C0" w14:textId="77777777" w:rsidR="00C8001D" w:rsidRDefault="00C8001D" w:rsidP="004E3856">
      <w:pPr>
        <w:jc w:val="both"/>
        <w:rPr>
          <w:szCs w:val="24"/>
        </w:rPr>
      </w:pPr>
    </w:p>
    <w:p w14:paraId="1BCBD651" w14:textId="77777777" w:rsidR="00C8001D" w:rsidRPr="00C8001D" w:rsidRDefault="00C8001D" w:rsidP="00C8001D">
      <w:pPr>
        <w:shd w:val="clear" w:color="auto" w:fill="FFFFFF"/>
        <w:jc w:val="both"/>
        <w:rPr>
          <w:color w:val="333333"/>
          <w:szCs w:val="24"/>
        </w:rPr>
      </w:pPr>
      <w:r>
        <w:rPr>
          <w:b/>
          <w:bCs/>
          <w:color w:val="333333"/>
          <w:szCs w:val="24"/>
        </w:rPr>
        <w:t>Article 189a [Human trafficking]</w:t>
      </w:r>
    </w:p>
    <w:p w14:paraId="75E9A8C1" w14:textId="77777777" w:rsidR="00C8001D" w:rsidRPr="00C8001D" w:rsidRDefault="00C8001D" w:rsidP="00C8001D">
      <w:pPr>
        <w:shd w:val="clear" w:color="auto" w:fill="FFFFFF"/>
        <w:jc w:val="both"/>
        <w:rPr>
          <w:color w:val="333333"/>
          <w:szCs w:val="24"/>
        </w:rPr>
      </w:pPr>
      <w:bookmarkStart w:id="1" w:name="mip63768517"/>
      <w:bookmarkEnd w:id="1"/>
      <w:r>
        <w:rPr>
          <w:color w:val="333333"/>
          <w:szCs w:val="24"/>
        </w:rPr>
        <w:t xml:space="preserve">§ 1. Whoever engages in human </w:t>
      </w:r>
      <w:proofErr w:type="gramStart"/>
      <w:r>
        <w:rPr>
          <w:color w:val="333333"/>
          <w:szCs w:val="24"/>
        </w:rPr>
        <w:t>trafficking</w:t>
      </w:r>
      <w:proofErr w:type="gramEnd"/>
    </w:p>
    <w:p w14:paraId="1FFBF152" w14:textId="77777777" w:rsidR="00C8001D" w:rsidRPr="00C8001D" w:rsidRDefault="00C8001D" w:rsidP="00C8001D">
      <w:pPr>
        <w:shd w:val="clear" w:color="auto" w:fill="FFFFFF"/>
        <w:spacing w:before="45"/>
        <w:jc w:val="both"/>
        <w:rPr>
          <w:color w:val="333333"/>
          <w:szCs w:val="24"/>
        </w:rPr>
      </w:pPr>
      <w:r>
        <w:rPr>
          <w:color w:val="333333"/>
          <w:szCs w:val="24"/>
        </w:rPr>
        <w:t>shall be subject to imprisonment for no less than three years.</w:t>
      </w:r>
    </w:p>
    <w:p w14:paraId="1F659E59" w14:textId="77777777" w:rsidR="00C8001D" w:rsidRPr="00C8001D" w:rsidRDefault="00C8001D" w:rsidP="00C8001D">
      <w:pPr>
        <w:shd w:val="clear" w:color="auto" w:fill="FFFFFF"/>
        <w:jc w:val="both"/>
        <w:rPr>
          <w:color w:val="333333"/>
          <w:szCs w:val="24"/>
        </w:rPr>
      </w:pPr>
      <w:bookmarkStart w:id="2" w:name="mip63768518"/>
      <w:bookmarkEnd w:id="2"/>
      <w:r>
        <w:rPr>
          <w:color w:val="333333"/>
          <w:szCs w:val="24"/>
        </w:rPr>
        <w:t xml:space="preserve">§ 2. Whoever makes preparations to commit the offence under § </w:t>
      </w:r>
      <w:proofErr w:type="gramStart"/>
      <w:r>
        <w:rPr>
          <w:color w:val="333333"/>
          <w:szCs w:val="24"/>
        </w:rPr>
        <w:t>1</w:t>
      </w:r>
      <w:proofErr w:type="gramEnd"/>
    </w:p>
    <w:p w14:paraId="187881B8" w14:textId="77777777" w:rsidR="00C8001D" w:rsidRPr="00C8001D" w:rsidRDefault="00C8001D" w:rsidP="00C8001D">
      <w:pPr>
        <w:shd w:val="clear" w:color="auto" w:fill="FFFFFF"/>
        <w:spacing w:before="45"/>
        <w:jc w:val="both"/>
        <w:rPr>
          <w:color w:val="333333"/>
          <w:szCs w:val="24"/>
        </w:rPr>
      </w:pPr>
      <w:r>
        <w:rPr>
          <w:color w:val="333333"/>
          <w:szCs w:val="24"/>
        </w:rPr>
        <w:t>shall be subject to imprisonment from three months up to five years.</w:t>
      </w:r>
    </w:p>
    <w:p w14:paraId="6E000973" w14:textId="77777777" w:rsidR="00C8001D" w:rsidRPr="00C8001D" w:rsidRDefault="00C8001D" w:rsidP="004E3856">
      <w:pPr>
        <w:jc w:val="both"/>
        <w:rPr>
          <w:szCs w:val="24"/>
        </w:rPr>
      </w:pPr>
    </w:p>
    <w:p w14:paraId="10B103E3" w14:textId="77777777" w:rsidR="004E3856" w:rsidRPr="00814FA3" w:rsidRDefault="004E3856" w:rsidP="004E3856">
      <w:pPr>
        <w:ind w:firstLine="709"/>
        <w:jc w:val="both"/>
        <w:rPr>
          <w:szCs w:val="24"/>
        </w:rPr>
      </w:pPr>
    </w:p>
    <w:p w14:paraId="71EED156" w14:textId="77777777" w:rsidR="004E3856" w:rsidRPr="00814FA3" w:rsidRDefault="004E3856" w:rsidP="004E3856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2019</w:t>
      </w:r>
    </w:p>
    <w:p w14:paraId="71E1C115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 xml:space="preserve">Cases completed – </w:t>
      </w:r>
      <w:proofErr w:type="gramStart"/>
      <w:r>
        <w:t>77</w:t>
      </w:r>
      <w:proofErr w:type="gramEnd"/>
    </w:p>
    <w:p w14:paraId="7CB931BF" w14:textId="5CFB1418" w:rsidR="004E3856" w:rsidRPr="00814FA3" w:rsidRDefault="004E3856" w:rsidP="00C8001D">
      <w:pPr>
        <w:tabs>
          <w:tab w:val="left" w:pos="6825"/>
        </w:tabs>
        <w:ind w:firstLine="709"/>
        <w:jc w:val="both"/>
        <w:rPr>
          <w:szCs w:val="24"/>
        </w:rPr>
      </w:pPr>
      <w:r>
        <w:t>Indictments – 22</w:t>
      </w:r>
      <w:r>
        <w:tab/>
      </w:r>
    </w:p>
    <w:p w14:paraId="67B6549C" w14:textId="7EC55BF5" w:rsidR="004E3856" w:rsidRPr="00814FA3" w:rsidRDefault="004E3856" w:rsidP="004E3856">
      <w:pPr>
        <w:ind w:firstLine="709"/>
        <w:jc w:val="both"/>
        <w:rPr>
          <w:szCs w:val="24"/>
        </w:rPr>
      </w:pPr>
      <w:r>
        <w:t>Refusal</w:t>
      </w:r>
      <w:r w:rsidR="009F604C">
        <w:t>s</w:t>
      </w:r>
      <w:r>
        <w:t xml:space="preserve"> to instigate – </w:t>
      </w:r>
      <w:proofErr w:type="gramStart"/>
      <w:r>
        <w:t>23</w:t>
      </w:r>
      <w:proofErr w:type="gramEnd"/>
    </w:p>
    <w:p w14:paraId="58D8D7FC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Discontinuations – 27</w:t>
      </w:r>
    </w:p>
    <w:p w14:paraId="11E2CD4B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Discontinuations due to unidentified perpetrator – 2</w:t>
      </w:r>
    </w:p>
    <w:p w14:paraId="44EA7B8E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Suspensions – 3</w:t>
      </w:r>
    </w:p>
    <w:p w14:paraId="7292D119" w14:textId="77777777" w:rsidR="004E3856" w:rsidRPr="00814FA3" w:rsidRDefault="004E3856" w:rsidP="004E3856">
      <w:pPr>
        <w:ind w:firstLine="709"/>
        <w:jc w:val="both"/>
        <w:rPr>
          <w:szCs w:val="24"/>
        </w:rPr>
      </w:pPr>
    </w:p>
    <w:p w14:paraId="056C961C" w14:textId="77777777" w:rsidR="004E3856" w:rsidRPr="00814FA3" w:rsidRDefault="004E3856" w:rsidP="004E3856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2020</w:t>
      </w:r>
    </w:p>
    <w:p w14:paraId="31C7648C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 xml:space="preserve">Cases completed – </w:t>
      </w:r>
      <w:proofErr w:type="gramStart"/>
      <w:r>
        <w:t>58</w:t>
      </w:r>
      <w:proofErr w:type="gramEnd"/>
    </w:p>
    <w:p w14:paraId="4969276D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Indictments – 13</w:t>
      </w:r>
    </w:p>
    <w:p w14:paraId="621A4EE5" w14:textId="7465C5AE" w:rsidR="004E3856" w:rsidRPr="00814FA3" w:rsidRDefault="004E3856" w:rsidP="004E3856">
      <w:pPr>
        <w:ind w:firstLine="709"/>
        <w:jc w:val="both"/>
        <w:rPr>
          <w:szCs w:val="24"/>
        </w:rPr>
      </w:pPr>
      <w:r>
        <w:t>Refusal</w:t>
      </w:r>
      <w:r w:rsidR="009F604C">
        <w:t>s</w:t>
      </w:r>
      <w:r>
        <w:t xml:space="preserve"> to instigate – </w:t>
      </w:r>
      <w:proofErr w:type="gramStart"/>
      <w:r>
        <w:t>19</w:t>
      </w:r>
      <w:proofErr w:type="gramEnd"/>
    </w:p>
    <w:p w14:paraId="2651A047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Suspensions – 20</w:t>
      </w:r>
    </w:p>
    <w:p w14:paraId="247E8BA7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Discontinuations due to unidentified perpetrator – 2</w:t>
      </w:r>
    </w:p>
    <w:p w14:paraId="25C04090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Suspensions – 4</w:t>
      </w:r>
    </w:p>
    <w:p w14:paraId="5B79A54F" w14:textId="77777777" w:rsidR="004E3856" w:rsidRPr="00814FA3" w:rsidRDefault="004E3856" w:rsidP="004E3856">
      <w:pPr>
        <w:ind w:firstLine="709"/>
        <w:jc w:val="both"/>
        <w:rPr>
          <w:szCs w:val="24"/>
        </w:rPr>
      </w:pPr>
    </w:p>
    <w:p w14:paraId="64C7AF19" w14:textId="77777777" w:rsidR="004E3856" w:rsidRPr="00814FA3" w:rsidRDefault="004E3856" w:rsidP="004E3856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2021</w:t>
      </w:r>
    </w:p>
    <w:p w14:paraId="5B954565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 xml:space="preserve">Cases completed – </w:t>
      </w:r>
      <w:proofErr w:type="gramStart"/>
      <w:r>
        <w:t>81</w:t>
      </w:r>
      <w:proofErr w:type="gramEnd"/>
    </w:p>
    <w:p w14:paraId="08942270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Indictments – 13</w:t>
      </w:r>
    </w:p>
    <w:p w14:paraId="35F9E7FF" w14:textId="7F5D91D4" w:rsidR="004E3856" w:rsidRPr="00814FA3" w:rsidRDefault="004E3856" w:rsidP="004E3856">
      <w:pPr>
        <w:ind w:firstLine="709"/>
        <w:jc w:val="both"/>
        <w:rPr>
          <w:szCs w:val="24"/>
        </w:rPr>
      </w:pPr>
      <w:r>
        <w:t>Refusal</w:t>
      </w:r>
      <w:r w:rsidR="009F604C">
        <w:t>s</w:t>
      </w:r>
      <w:r>
        <w:t xml:space="preserve"> to instigate – </w:t>
      </w:r>
      <w:proofErr w:type="gramStart"/>
      <w:r>
        <w:t>24</w:t>
      </w:r>
      <w:proofErr w:type="gramEnd"/>
    </w:p>
    <w:p w14:paraId="4F45FC26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Suspensions – 24</w:t>
      </w:r>
    </w:p>
    <w:p w14:paraId="4AE727D4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Discontinuations due to unidentified perpetrator – 5</w:t>
      </w:r>
    </w:p>
    <w:p w14:paraId="20EFCAAE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Suspensions – 12</w:t>
      </w:r>
    </w:p>
    <w:p w14:paraId="2A3F46CF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Others – 3</w:t>
      </w:r>
    </w:p>
    <w:p w14:paraId="588C459F" w14:textId="77777777" w:rsidR="004E3856" w:rsidRPr="00814FA3" w:rsidRDefault="004E3856" w:rsidP="004E3856">
      <w:pPr>
        <w:ind w:firstLine="709"/>
        <w:jc w:val="both"/>
        <w:rPr>
          <w:szCs w:val="24"/>
        </w:rPr>
      </w:pPr>
    </w:p>
    <w:p w14:paraId="1857B71C" w14:textId="77777777" w:rsidR="004E3856" w:rsidRPr="00814FA3" w:rsidRDefault="004E3856" w:rsidP="004E3856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2022</w:t>
      </w:r>
    </w:p>
    <w:p w14:paraId="7818788C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 xml:space="preserve">Cases completed – </w:t>
      </w:r>
      <w:proofErr w:type="gramStart"/>
      <w:r>
        <w:t>72</w:t>
      </w:r>
      <w:proofErr w:type="gramEnd"/>
    </w:p>
    <w:p w14:paraId="5DD588B8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Indictments – 14</w:t>
      </w:r>
    </w:p>
    <w:p w14:paraId="63EAF068" w14:textId="43B06854" w:rsidR="004E3856" w:rsidRPr="00814FA3" w:rsidRDefault="004E3856" w:rsidP="004E3856">
      <w:pPr>
        <w:ind w:firstLine="709"/>
        <w:jc w:val="both"/>
        <w:rPr>
          <w:szCs w:val="24"/>
        </w:rPr>
      </w:pPr>
      <w:r>
        <w:t>Refusal</w:t>
      </w:r>
      <w:r w:rsidR="009F604C">
        <w:t>s</w:t>
      </w:r>
      <w:r>
        <w:t xml:space="preserve"> to instigate – </w:t>
      </w:r>
      <w:proofErr w:type="gramStart"/>
      <w:r>
        <w:t>20</w:t>
      </w:r>
      <w:proofErr w:type="gramEnd"/>
    </w:p>
    <w:p w14:paraId="47159F65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Discontinuations – 24</w:t>
      </w:r>
    </w:p>
    <w:p w14:paraId="2390C8D3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Discontinuations due to unidentified perpetrator – 5</w:t>
      </w:r>
    </w:p>
    <w:p w14:paraId="0475060C" w14:textId="77777777" w:rsidR="004E3856" w:rsidRPr="00814FA3" w:rsidRDefault="004E3856" w:rsidP="004E3856">
      <w:pPr>
        <w:ind w:firstLine="709"/>
        <w:jc w:val="both"/>
        <w:rPr>
          <w:szCs w:val="24"/>
        </w:rPr>
      </w:pPr>
      <w:r>
        <w:t>Suspensions – 7</w:t>
      </w:r>
    </w:p>
    <w:p w14:paraId="7B403615" w14:textId="6E4A4768" w:rsidR="00E93BBC" w:rsidRPr="00C5272D" w:rsidRDefault="004E3856" w:rsidP="00C5272D">
      <w:pPr>
        <w:ind w:firstLine="709"/>
        <w:jc w:val="both"/>
        <w:rPr>
          <w:szCs w:val="24"/>
        </w:rPr>
      </w:pPr>
      <w:r>
        <w:t>Others – 2</w:t>
      </w:r>
      <w:bookmarkEnd w:id="0"/>
    </w:p>
    <w:sectPr w:rsidR="00E93BBC" w:rsidRPr="00C5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CBE3" w14:textId="77777777" w:rsidR="00885B59" w:rsidRDefault="00885B59" w:rsidP="009916DB">
      <w:r>
        <w:separator/>
      </w:r>
    </w:p>
  </w:endnote>
  <w:endnote w:type="continuationSeparator" w:id="0">
    <w:p w14:paraId="60832775" w14:textId="77777777" w:rsidR="00885B59" w:rsidRDefault="00885B59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DEAD" w14:textId="77777777" w:rsidR="00885B59" w:rsidRDefault="00885B59" w:rsidP="009916DB">
      <w:r>
        <w:separator/>
      </w:r>
    </w:p>
  </w:footnote>
  <w:footnote w:type="continuationSeparator" w:id="0">
    <w:p w14:paraId="1851A166" w14:textId="77777777" w:rsidR="00885B59" w:rsidRDefault="00885B59" w:rsidP="0099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E3856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57096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680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354B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1F00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A09E6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424C"/>
    <w:rsid w:val="004C6A38"/>
    <w:rsid w:val="004D1D2D"/>
    <w:rsid w:val="004E3856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083E"/>
    <w:rsid w:val="00563B70"/>
    <w:rsid w:val="0056782A"/>
    <w:rsid w:val="0057253B"/>
    <w:rsid w:val="005737FB"/>
    <w:rsid w:val="00573970"/>
    <w:rsid w:val="00582FE9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4B7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4A"/>
    <w:rsid w:val="00813B40"/>
    <w:rsid w:val="00814CB3"/>
    <w:rsid w:val="008258FB"/>
    <w:rsid w:val="008365E9"/>
    <w:rsid w:val="0084389C"/>
    <w:rsid w:val="00866B84"/>
    <w:rsid w:val="0087127A"/>
    <w:rsid w:val="00882FC8"/>
    <w:rsid w:val="00885B59"/>
    <w:rsid w:val="008936CF"/>
    <w:rsid w:val="00896079"/>
    <w:rsid w:val="008B2D93"/>
    <w:rsid w:val="008B3FE8"/>
    <w:rsid w:val="008C0AF9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16DB"/>
    <w:rsid w:val="009928D6"/>
    <w:rsid w:val="0099696E"/>
    <w:rsid w:val="009A5DDF"/>
    <w:rsid w:val="009B0374"/>
    <w:rsid w:val="009C0E82"/>
    <w:rsid w:val="009C2F82"/>
    <w:rsid w:val="009E3B71"/>
    <w:rsid w:val="009F06DA"/>
    <w:rsid w:val="009F604C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5272D"/>
    <w:rsid w:val="00C640F7"/>
    <w:rsid w:val="00C657CF"/>
    <w:rsid w:val="00C66326"/>
    <w:rsid w:val="00C674A5"/>
    <w:rsid w:val="00C7137F"/>
    <w:rsid w:val="00C71EEF"/>
    <w:rsid w:val="00C7638C"/>
    <w:rsid w:val="00C7676F"/>
    <w:rsid w:val="00C8001D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B6E4D"/>
    <w:rsid w:val="00EC737B"/>
    <w:rsid w:val="00ED3C77"/>
    <w:rsid w:val="00ED616E"/>
    <w:rsid w:val="00EE105C"/>
    <w:rsid w:val="00EF53D6"/>
    <w:rsid w:val="00F01A5A"/>
    <w:rsid w:val="00F25FEE"/>
    <w:rsid w:val="00F26B0F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0A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5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6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585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5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0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2023-07-11T08:46:00Z</dcterms:created>
  <dcterms:modified xsi:type="dcterms:W3CDTF">2023-08-07T09:29:00Z</dcterms:modified>
</cp:coreProperties>
</file>