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9C9D" w14:textId="2C90DD51" w:rsidR="008967F0" w:rsidRDefault="008967F0">
      <w:bookmarkStart w:id="0" w:name="_Hlk157771468"/>
    </w:p>
    <w:tbl>
      <w:tblPr>
        <w:tblStyle w:val="Tabelasiatki2akcent1"/>
        <w:tblpPr w:leftFromText="141" w:rightFromText="141" w:horzAnchor="margin" w:tblpY="910"/>
        <w:tblW w:w="0" w:type="auto"/>
        <w:tblLook w:val="04A0" w:firstRow="1" w:lastRow="0" w:firstColumn="1" w:lastColumn="0" w:noHBand="0" w:noVBand="1"/>
      </w:tblPr>
      <w:tblGrid>
        <w:gridCol w:w="2912"/>
        <w:gridCol w:w="607"/>
        <w:gridCol w:w="4465"/>
        <w:gridCol w:w="2831"/>
        <w:gridCol w:w="2942"/>
        <w:gridCol w:w="247"/>
      </w:tblGrid>
      <w:tr w:rsidR="00B07E62" w:rsidRPr="00481015" w14:paraId="12F9C669" w14:textId="77777777" w:rsidTr="00A94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dxa"/>
            <w:vAlign w:val="center"/>
          </w:tcPr>
          <w:p w14:paraId="16B54349" w14:textId="698FD434" w:rsidR="001E2EA8" w:rsidRPr="00481015" w:rsidRDefault="001E2EA8" w:rsidP="00FA5E19">
            <w:pPr>
              <w:jc w:val="center"/>
              <w:rPr>
                <w:rFonts w:ascii="Lato" w:hAnsi="Lato"/>
                <w:sz w:val="20"/>
                <w:szCs w:val="20"/>
              </w:rPr>
            </w:pPr>
            <w:r w:rsidRPr="00481015">
              <w:rPr>
                <w:rFonts w:ascii="Lato" w:hAnsi="Lato"/>
                <w:sz w:val="20"/>
                <w:szCs w:val="20"/>
              </w:rPr>
              <w:t>Nadawca</w:t>
            </w:r>
          </w:p>
        </w:tc>
        <w:tc>
          <w:tcPr>
            <w:tcW w:w="607" w:type="dxa"/>
            <w:vAlign w:val="center"/>
          </w:tcPr>
          <w:p w14:paraId="45543BF1" w14:textId="0B40E5BC" w:rsidR="001E2EA8" w:rsidRPr="00481015" w:rsidRDefault="001E2EA8" w:rsidP="001F6B9D">
            <w:pPr>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481015">
              <w:rPr>
                <w:rFonts w:ascii="Lato" w:hAnsi="Lato"/>
                <w:sz w:val="20"/>
                <w:szCs w:val="20"/>
              </w:rPr>
              <w:t>Lp.</w:t>
            </w:r>
          </w:p>
        </w:tc>
        <w:tc>
          <w:tcPr>
            <w:tcW w:w="4465" w:type="dxa"/>
            <w:vAlign w:val="center"/>
          </w:tcPr>
          <w:p w14:paraId="42E308B5" w14:textId="0FEE558A" w:rsidR="001E2EA8" w:rsidRPr="00481015" w:rsidRDefault="001E2EA8" w:rsidP="00FA5E19">
            <w:pPr>
              <w:jc w:val="center"/>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481015">
              <w:rPr>
                <w:rFonts w:ascii="Lato" w:hAnsi="Lato"/>
                <w:sz w:val="20"/>
                <w:szCs w:val="20"/>
              </w:rPr>
              <w:t>Treść zapytania/uwagi/sugestii/postulatu</w:t>
            </w:r>
          </w:p>
        </w:tc>
        <w:tc>
          <w:tcPr>
            <w:tcW w:w="2831" w:type="dxa"/>
            <w:vAlign w:val="center"/>
          </w:tcPr>
          <w:p w14:paraId="1AD1E2A5" w14:textId="537321C7" w:rsidR="001E2EA8" w:rsidRPr="00481015" w:rsidRDefault="001E2EA8" w:rsidP="00FA5E19">
            <w:pPr>
              <w:jc w:val="center"/>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481015">
              <w:rPr>
                <w:rFonts w:ascii="Lato" w:hAnsi="Lato"/>
                <w:sz w:val="20"/>
                <w:szCs w:val="20"/>
              </w:rPr>
              <w:t xml:space="preserve">Propozycja nadawcy </w:t>
            </w:r>
            <w:r w:rsidRPr="00481015">
              <w:rPr>
                <w:rFonts w:ascii="Lato" w:hAnsi="Lato"/>
                <w:sz w:val="20"/>
                <w:szCs w:val="20"/>
              </w:rPr>
              <w:br/>
              <w:t xml:space="preserve">w zakresie sposobu rozwiązania problemu </w:t>
            </w:r>
          </w:p>
        </w:tc>
        <w:tc>
          <w:tcPr>
            <w:tcW w:w="3189" w:type="dxa"/>
            <w:gridSpan w:val="2"/>
            <w:vAlign w:val="center"/>
          </w:tcPr>
          <w:p w14:paraId="438ABB44" w14:textId="3B14D77F" w:rsidR="001E2EA8" w:rsidRDefault="00471D87" w:rsidP="00FA5E19">
            <w:pPr>
              <w:jc w:val="center"/>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Pr>
                <w:rFonts w:ascii="Lato" w:hAnsi="Lato"/>
                <w:sz w:val="20"/>
                <w:szCs w:val="20"/>
              </w:rPr>
              <w:t>Opinia</w:t>
            </w:r>
            <w:r w:rsidR="00A9439D" w:rsidRPr="00481015">
              <w:rPr>
                <w:rFonts w:ascii="Lato" w:hAnsi="Lato"/>
                <w:sz w:val="20"/>
                <w:szCs w:val="20"/>
              </w:rPr>
              <w:t xml:space="preserve"> </w:t>
            </w:r>
            <w:r w:rsidR="001E2EA8" w:rsidRPr="00481015">
              <w:rPr>
                <w:rFonts w:ascii="Lato" w:hAnsi="Lato"/>
                <w:sz w:val="20"/>
                <w:szCs w:val="20"/>
              </w:rPr>
              <w:t>MZ</w:t>
            </w:r>
          </w:p>
          <w:p w14:paraId="00F09416" w14:textId="5ACBC30F" w:rsidR="00481015" w:rsidRPr="00481015" w:rsidRDefault="00481015" w:rsidP="00FA5E19">
            <w:pPr>
              <w:jc w:val="center"/>
              <w:cnfStyle w:val="100000000000" w:firstRow="1" w:lastRow="0" w:firstColumn="0" w:lastColumn="0" w:oddVBand="0" w:evenVBand="0" w:oddHBand="0" w:evenHBand="0" w:firstRowFirstColumn="0" w:firstRowLastColumn="0" w:lastRowFirstColumn="0" w:lastRowLastColumn="0"/>
              <w:rPr>
                <w:rFonts w:ascii="Lato" w:hAnsi="Lato"/>
                <w:b w:val="0"/>
                <w:bCs w:val="0"/>
                <w:i/>
                <w:iCs/>
                <w:sz w:val="20"/>
                <w:szCs w:val="20"/>
              </w:rPr>
            </w:pPr>
            <w:r w:rsidRPr="00481015">
              <w:rPr>
                <w:rFonts w:ascii="Lato" w:hAnsi="Lato"/>
                <w:b w:val="0"/>
                <w:bCs w:val="0"/>
                <w:i/>
                <w:iCs/>
                <w:sz w:val="20"/>
                <w:szCs w:val="20"/>
              </w:rPr>
              <w:t>(</w:t>
            </w:r>
            <w:r w:rsidR="00471D87">
              <w:rPr>
                <w:rFonts w:ascii="Lato" w:hAnsi="Lato"/>
                <w:b w:val="0"/>
                <w:bCs w:val="0"/>
                <w:i/>
                <w:iCs/>
                <w:sz w:val="20"/>
                <w:szCs w:val="20"/>
              </w:rPr>
              <w:t>nie ma charakteru wiążącego</w:t>
            </w:r>
            <w:r w:rsidRPr="00481015">
              <w:rPr>
                <w:rFonts w:ascii="Lato" w:hAnsi="Lato"/>
                <w:b w:val="0"/>
                <w:bCs w:val="0"/>
                <w:i/>
                <w:iCs/>
                <w:sz w:val="20"/>
                <w:szCs w:val="20"/>
              </w:rPr>
              <w:t>)</w:t>
            </w:r>
          </w:p>
        </w:tc>
      </w:tr>
      <w:tr w:rsidR="001E2EA8" w:rsidRPr="00481015" w14:paraId="67240C91"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226F9CD8" w14:textId="5C29C0FA" w:rsidR="001E2EA8" w:rsidRPr="00481015" w:rsidRDefault="005A4B73" w:rsidP="00FA5E19">
            <w:pPr>
              <w:rPr>
                <w:rFonts w:ascii="Lato" w:hAnsi="Lato"/>
                <w:sz w:val="20"/>
                <w:szCs w:val="20"/>
              </w:rPr>
            </w:pPr>
            <w:r w:rsidRPr="00481015">
              <w:rPr>
                <w:rFonts w:ascii="Lato" w:hAnsi="Lato"/>
                <w:sz w:val="20"/>
                <w:szCs w:val="20"/>
              </w:rPr>
              <w:t>Lubuski UW</w:t>
            </w:r>
          </w:p>
        </w:tc>
        <w:tc>
          <w:tcPr>
            <w:tcW w:w="607" w:type="dxa"/>
          </w:tcPr>
          <w:p w14:paraId="14809438" w14:textId="10E95FD0" w:rsidR="001E2EA8" w:rsidRPr="00481015" w:rsidRDefault="005A4B73" w:rsidP="005A4B73">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 xml:space="preserve">2. </w:t>
            </w:r>
            <w:r w:rsidR="006749B2">
              <w:rPr>
                <w:rStyle w:val="Odwoanieprzypisudolnego"/>
                <w:rFonts w:ascii="Lato" w:hAnsi="Lato"/>
                <w:b/>
                <w:bCs/>
                <w:sz w:val="20"/>
                <w:szCs w:val="20"/>
              </w:rPr>
              <w:footnoteReference w:id="1"/>
            </w:r>
          </w:p>
        </w:tc>
        <w:tc>
          <w:tcPr>
            <w:tcW w:w="4465" w:type="dxa"/>
          </w:tcPr>
          <w:p w14:paraId="69755B18" w14:textId="16664DBF"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Zgodnie z art. 5 pkt 3 ustawy, zadania z zakresu szczególnej opieki geriatrycznej wykonują m.in. powiaty.</w:t>
            </w:r>
          </w:p>
          <w:p w14:paraId="2CFDDE25"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2EE0CCEE" w14:textId="22400C2F"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w kontekście powyższego zapisu, </w:t>
            </w:r>
            <w:r w:rsidRPr="00481015">
              <w:rPr>
                <w:rFonts w:ascii="Lato" w:hAnsi="Lato"/>
                <w:b/>
                <w:bCs/>
                <w:sz w:val="20"/>
                <w:szCs w:val="20"/>
              </w:rPr>
              <w:t>miasta na prawach powiatu powinny realizować zadania w   zakresie szczególnej opieki geriatrycznej i tworzyć CZ75+?</w:t>
            </w:r>
            <w:r w:rsidRPr="00481015">
              <w:rPr>
                <w:rFonts w:ascii="Lato" w:hAnsi="Lato"/>
                <w:sz w:val="20"/>
                <w:szCs w:val="20"/>
              </w:rPr>
              <w:t xml:space="preserve"> </w:t>
            </w:r>
          </w:p>
        </w:tc>
        <w:tc>
          <w:tcPr>
            <w:tcW w:w="2831" w:type="dxa"/>
          </w:tcPr>
          <w:p w14:paraId="0122A4BA"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942" w:type="dxa"/>
          </w:tcPr>
          <w:p w14:paraId="29161404" w14:textId="5DC1D8EA"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b/>
                <w:bCs/>
                <w:sz w:val="16"/>
                <w:szCs w:val="16"/>
              </w:rPr>
            </w:pPr>
            <w:r w:rsidRPr="00481015">
              <w:rPr>
                <w:rFonts w:ascii="Lato" w:hAnsi="Lato"/>
                <w:sz w:val="16"/>
                <w:szCs w:val="16"/>
              </w:rPr>
              <w:t>W art. 5 pkt 3 ustawy o szczególnej opiece geriatrycznej wskazano, że zadania z zakresu szczególnej opieki</w:t>
            </w:r>
            <w:r w:rsidRPr="00481015">
              <w:rPr>
                <w:rFonts w:ascii="Lato" w:hAnsi="Lato"/>
                <w:b/>
                <w:bCs/>
                <w:sz w:val="16"/>
                <w:szCs w:val="16"/>
              </w:rPr>
              <w:t xml:space="preserve"> </w:t>
            </w:r>
            <w:r w:rsidRPr="00481015">
              <w:rPr>
                <w:rFonts w:ascii="Lato" w:hAnsi="Lato"/>
                <w:sz w:val="16"/>
                <w:szCs w:val="16"/>
              </w:rPr>
              <w:t xml:space="preserve">geriatrycznej wykonuje również powiat. Zgodnie z art. 92 ust. 2 ustawy z dnia 5 czerwca 1998 r. o samorządzie powiatowym (Dz. U. z 2022 r. poz. 1526, z późn. zm.), zwanej dalej „ustawą o powiecie” miasto na prawach powiatu jest gminą wykonującą zadania powiatu na zasadach określonych w ustawie o powiecie. Tym samym miasto na prawach powiatu jest gminą, a nie powiatem. Jednakże w określonych przypadkach miasto na prawach powiatu wykonuje zadania powiatu. Mając na uwadze powyższe należy uznać, że </w:t>
            </w:r>
            <w:r w:rsidRPr="00481015">
              <w:rPr>
                <w:rFonts w:ascii="Lato" w:hAnsi="Lato"/>
                <w:b/>
                <w:bCs/>
                <w:sz w:val="16"/>
                <w:szCs w:val="16"/>
              </w:rPr>
              <w:t>miasta na prawach powiatu wykonują zadania o charakterze publicznym i o znaczeniu lokalnym, w tym z zakresu pomocy społecznej i związanej z tym ochroną zdrowia</w:t>
            </w:r>
            <w:r w:rsidRPr="00481015">
              <w:rPr>
                <w:rFonts w:ascii="Lato" w:hAnsi="Lato"/>
                <w:sz w:val="16"/>
                <w:szCs w:val="16"/>
              </w:rPr>
              <w:t xml:space="preserve">. Taka interpretacja art. 5 pkt 3 ustawy pozwoliłaby na przyjęcie, że miasta na prawach powiatu mogą realizować zadania z zakresu szczególnej opieki geriatrycznej, w tym tworzenia centrum CZ75+. Pomocnym w zakresie ww. interpretacji może być wyrok WSA w Warszawie z dnia 26 marca 2009 r., o sygn. akt I SA/Wa 1881/08, zgodnie z którym „miasta na prawach powiatu w pierwszym rzędzie podlegają ustawodawstwu odnoszącemu się do samorządu </w:t>
            </w:r>
            <w:r w:rsidRPr="00481015">
              <w:rPr>
                <w:rFonts w:ascii="Lato" w:hAnsi="Lato"/>
                <w:sz w:val="16"/>
                <w:szCs w:val="16"/>
              </w:rPr>
              <w:lastRenderedPageBreak/>
              <w:t>gminnego, zaś</w:t>
            </w:r>
            <w:r w:rsidRPr="00481015">
              <w:rPr>
                <w:rFonts w:ascii="Lato" w:hAnsi="Lato"/>
                <w:b/>
                <w:bCs/>
                <w:sz w:val="16"/>
                <w:szCs w:val="16"/>
              </w:rPr>
              <w:t xml:space="preserve"> </w:t>
            </w:r>
            <w:r w:rsidRPr="00481015">
              <w:rPr>
                <w:rFonts w:ascii="Lato" w:hAnsi="Lato"/>
                <w:sz w:val="16"/>
                <w:szCs w:val="16"/>
              </w:rPr>
              <w:t>przepisy ustawy o samorządzie powiatowym stosuje się do nich odpowiednio, w takim zakresie, w jakim miasta te wykonują zadania powiatu. Kluczem jest tu przede wszystkim rodzaj zadania wykonywanego przez miasto na prawach powiatu. Jeśli jest to zadanie gminne, stosuje się przepisy mające zastosowanie do gmin, jeśli zadanie ma charakter powiatowy, zastosowanie mają przepisy odnoszące się do powiatów</w:t>
            </w:r>
            <w:r w:rsidR="00224F1E" w:rsidRPr="00481015">
              <w:rPr>
                <w:rFonts w:ascii="Lato" w:hAnsi="Lato"/>
                <w:sz w:val="16"/>
                <w:szCs w:val="16"/>
              </w:rPr>
              <w:t xml:space="preserve">”. </w:t>
            </w:r>
          </w:p>
        </w:tc>
      </w:tr>
      <w:tr w:rsidR="00030972" w:rsidRPr="00481015" w14:paraId="2C713579"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1242A672" w14:textId="77777777" w:rsidR="001E2EA8" w:rsidRPr="00481015" w:rsidRDefault="001E2EA8" w:rsidP="00FA5E19">
            <w:pPr>
              <w:rPr>
                <w:rFonts w:ascii="Lato" w:hAnsi="Lato"/>
                <w:sz w:val="20"/>
                <w:szCs w:val="20"/>
              </w:rPr>
            </w:pPr>
          </w:p>
        </w:tc>
        <w:tc>
          <w:tcPr>
            <w:tcW w:w="607" w:type="dxa"/>
          </w:tcPr>
          <w:p w14:paraId="342C6487" w14:textId="31AA49F2" w:rsidR="001E2EA8"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4.</w:t>
            </w:r>
          </w:p>
        </w:tc>
        <w:tc>
          <w:tcPr>
            <w:tcW w:w="4465" w:type="dxa"/>
          </w:tcPr>
          <w:p w14:paraId="4DCDBDA3" w14:textId="3BF4AA0C"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b/>
                <w:bCs/>
                <w:sz w:val="20"/>
                <w:szCs w:val="20"/>
              </w:rPr>
              <w:t>Jakie kody resortowe komórek organizacyjnych CZ75+</w:t>
            </w:r>
            <w:r w:rsidRPr="00481015">
              <w:rPr>
                <w:rFonts w:ascii="Lato" w:hAnsi="Lato"/>
                <w:sz w:val="20"/>
                <w:szCs w:val="20"/>
              </w:rPr>
              <w:t xml:space="preserve"> należy nadać przy rejestrowaniu centrum w Rejestrze Podmiotów Wykonujących Działalność Leczniczą? </w:t>
            </w:r>
          </w:p>
          <w:p w14:paraId="21F824D4" w14:textId="68F102A2"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Czy planowana jest </w:t>
            </w:r>
            <w:r w:rsidRPr="00481015">
              <w:rPr>
                <w:rFonts w:ascii="Lato" w:hAnsi="Lato"/>
                <w:b/>
                <w:bCs/>
                <w:sz w:val="20"/>
                <w:szCs w:val="20"/>
              </w:rPr>
              <w:t>zmiana rozporządzenia Ministra Zdrowia w sprawie systemu resortowych kodów identyfikacyjnych oraz szczegółowego sposobu ich nadawania</w:t>
            </w:r>
            <w:r w:rsidRPr="00481015">
              <w:rPr>
                <w:rFonts w:ascii="Lato" w:hAnsi="Lato"/>
                <w:sz w:val="20"/>
                <w:szCs w:val="20"/>
              </w:rPr>
              <w:t>, w celu dodania nowych kodów dla ww. komórek organizacyjnych?</w:t>
            </w:r>
          </w:p>
        </w:tc>
        <w:tc>
          <w:tcPr>
            <w:tcW w:w="2831" w:type="dxa"/>
          </w:tcPr>
          <w:p w14:paraId="47A9A272" w14:textId="77777777"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942" w:type="dxa"/>
          </w:tcPr>
          <w:p w14:paraId="51C9C98D" w14:textId="6B436F2E" w:rsidR="001E2EA8" w:rsidRPr="00481015" w:rsidRDefault="003B36AA" w:rsidP="00FA5E1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Kody resortowe używane są w związku z działalnością leczniczą, a ich sposób nadawania nie zmienił się. Należy stosować kody właściwe dla specjalizacji danej komórki organizacyjnej. Zmiana rozporządzenia w nieokreślonym jeszcze terminie będzie rozpatrywana</w:t>
            </w:r>
            <w:r w:rsidR="005339D5">
              <w:rPr>
                <w:rFonts w:ascii="Lato" w:hAnsi="Lato"/>
                <w:sz w:val="16"/>
                <w:szCs w:val="16"/>
              </w:rPr>
              <w:t>,</w:t>
            </w:r>
            <w:r w:rsidRPr="00481015">
              <w:rPr>
                <w:rFonts w:ascii="Lato" w:hAnsi="Lato"/>
                <w:sz w:val="16"/>
                <w:szCs w:val="16"/>
              </w:rPr>
              <w:t xml:space="preserve"> ale obecnie obowiązujące kody pozwalają na zarejestrowanie wszystkich niezbędnych komórek org.</w:t>
            </w:r>
          </w:p>
        </w:tc>
      </w:tr>
      <w:tr w:rsidR="005A4B73" w:rsidRPr="00481015" w14:paraId="2E1014E4"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1D2A2AD5" w14:textId="77777777" w:rsidR="001E2EA8" w:rsidRPr="00481015" w:rsidRDefault="001E2EA8" w:rsidP="00FA5E19">
            <w:pPr>
              <w:rPr>
                <w:rFonts w:ascii="Lato" w:hAnsi="Lato"/>
                <w:sz w:val="20"/>
                <w:szCs w:val="20"/>
              </w:rPr>
            </w:pPr>
          </w:p>
        </w:tc>
        <w:tc>
          <w:tcPr>
            <w:tcW w:w="607" w:type="dxa"/>
          </w:tcPr>
          <w:p w14:paraId="7D2288CA" w14:textId="66EF737E" w:rsidR="001E2EA8"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16.</w:t>
            </w:r>
          </w:p>
        </w:tc>
        <w:tc>
          <w:tcPr>
            <w:tcW w:w="4465" w:type="dxa"/>
          </w:tcPr>
          <w:p w14:paraId="75B9FCCD" w14:textId="0628AEB0"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użyte w ustawie sformułowanie </w:t>
            </w:r>
            <w:r w:rsidRPr="00481015">
              <w:rPr>
                <w:rFonts w:ascii="Lato" w:hAnsi="Lato"/>
                <w:b/>
                <w:bCs/>
                <w:sz w:val="20"/>
                <w:szCs w:val="20"/>
              </w:rPr>
              <w:t>„powiaty”</w:t>
            </w:r>
            <w:r w:rsidRPr="00481015">
              <w:rPr>
                <w:rFonts w:ascii="Lato" w:hAnsi="Lato"/>
                <w:sz w:val="20"/>
                <w:szCs w:val="20"/>
              </w:rPr>
              <w:t xml:space="preserve"> odnosi się również do innych JST, tj. miasta i gminy na prawach powiatu?</w:t>
            </w:r>
          </w:p>
        </w:tc>
        <w:tc>
          <w:tcPr>
            <w:tcW w:w="2831" w:type="dxa"/>
          </w:tcPr>
          <w:p w14:paraId="7B2432FD"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942" w:type="dxa"/>
          </w:tcPr>
          <w:p w14:paraId="36C5111E" w14:textId="474F73D2"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Odpowiedź zawarta jest przy pyt. 2.</w:t>
            </w:r>
          </w:p>
        </w:tc>
      </w:tr>
      <w:tr w:rsidR="005A4B73" w:rsidRPr="00481015" w14:paraId="255DE6C7"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4820403A" w14:textId="77777777" w:rsidR="001E2EA8" w:rsidRPr="00481015" w:rsidRDefault="001E2EA8" w:rsidP="00FA5E19">
            <w:pPr>
              <w:rPr>
                <w:rFonts w:ascii="Lato" w:hAnsi="Lato"/>
                <w:sz w:val="20"/>
                <w:szCs w:val="20"/>
              </w:rPr>
            </w:pPr>
          </w:p>
        </w:tc>
        <w:tc>
          <w:tcPr>
            <w:tcW w:w="607" w:type="dxa"/>
          </w:tcPr>
          <w:p w14:paraId="591B4E78" w14:textId="1CF99E25" w:rsidR="001E2EA8"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18.</w:t>
            </w:r>
          </w:p>
        </w:tc>
        <w:tc>
          <w:tcPr>
            <w:tcW w:w="4465" w:type="dxa"/>
          </w:tcPr>
          <w:p w14:paraId="0E6F81CF" w14:textId="372D1F6C"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Zgodnie z propozycją przedstawionego na spotkaniu planu, znajduje się w nim</w:t>
            </w:r>
          </w:p>
          <w:p w14:paraId="184CCCB6" w14:textId="3833FC8D" w:rsidR="001E2EA8" w:rsidRPr="00481015" w:rsidRDefault="001E2EA8" w:rsidP="00E33C75">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część odnosząca się do </w:t>
            </w:r>
            <w:r w:rsidRPr="00481015">
              <w:rPr>
                <w:rFonts w:ascii="Lato" w:hAnsi="Lato"/>
                <w:b/>
                <w:bCs/>
                <w:sz w:val="20"/>
                <w:szCs w:val="20"/>
              </w:rPr>
              <w:t>potrzeb infrastrukturalnych</w:t>
            </w:r>
            <w:r w:rsidRPr="00481015">
              <w:rPr>
                <w:rFonts w:ascii="Lato" w:hAnsi="Lato"/>
                <w:sz w:val="20"/>
                <w:szCs w:val="20"/>
              </w:rPr>
              <w:t xml:space="preserve"> – takie dane nie wynikają wprost z zapisów ustawy o szczególnej opiece geriatrycznej, zatem </w:t>
            </w:r>
            <w:r w:rsidRPr="00481015">
              <w:rPr>
                <w:rFonts w:ascii="Lato" w:hAnsi="Lato"/>
                <w:b/>
                <w:bCs/>
                <w:sz w:val="20"/>
                <w:szCs w:val="20"/>
              </w:rPr>
              <w:t>czy muszą być publikowane w planie</w:t>
            </w:r>
            <w:r w:rsidRPr="00481015">
              <w:rPr>
                <w:rFonts w:ascii="Lato" w:hAnsi="Lato"/>
                <w:sz w:val="20"/>
                <w:szCs w:val="20"/>
              </w:rPr>
              <w:t xml:space="preserve">? </w:t>
            </w:r>
            <w:r w:rsidRPr="00481015">
              <w:rPr>
                <w:rFonts w:ascii="Lato" w:hAnsi="Lato"/>
                <w:b/>
                <w:bCs/>
                <w:sz w:val="20"/>
                <w:szCs w:val="20"/>
              </w:rPr>
              <w:t>Jaka jest podstawa żądania przez Wojewodów tych danych</w:t>
            </w:r>
            <w:r w:rsidRPr="00481015">
              <w:rPr>
                <w:rFonts w:ascii="Lato" w:hAnsi="Lato"/>
                <w:sz w:val="20"/>
                <w:szCs w:val="20"/>
              </w:rPr>
              <w:t>?</w:t>
            </w:r>
          </w:p>
        </w:tc>
        <w:tc>
          <w:tcPr>
            <w:tcW w:w="2831" w:type="dxa"/>
          </w:tcPr>
          <w:p w14:paraId="55561B36" w14:textId="77777777"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942" w:type="dxa"/>
          </w:tcPr>
          <w:p w14:paraId="635ED030" w14:textId="3F1AF15B"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Przedstawiony dokument ma na celu kompleksowe zgromadzenie danych dotyczących planowanych inwestycji /potrzeb infrastrukturalnych na rzecz Centrów Zdrowia 75+ . Działanie to pozwoli na rozpoczęcie przez Ministra Zdrowia prac wdrożeniowych w celu prawidłowej realizacji zadań określonych ustawą o Funduszu Medycznym.</w:t>
            </w:r>
          </w:p>
        </w:tc>
      </w:tr>
      <w:tr w:rsidR="00B07E62" w:rsidRPr="00481015" w14:paraId="7B8F1733"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Height w:val="1011"/>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23872AEB" w14:textId="7D96DD56" w:rsidR="001E2EA8" w:rsidRPr="00481015" w:rsidRDefault="001E2EA8" w:rsidP="00FA7116">
            <w:pPr>
              <w:jc w:val="center"/>
              <w:rPr>
                <w:rFonts w:ascii="Lato" w:hAnsi="Lato"/>
                <w:sz w:val="20"/>
                <w:szCs w:val="20"/>
              </w:rPr>
            </w:pPr>
            <w:r w:rsidRPr="00481015">
              <w:rPr>
                <w:rFonts w:ascii="Lato" w:hAnsi="Lato"/>
                <w:sz w:val="20"/>
                <w:szCs w:val="20"/>
              </w:rPr>
              <w:t>Świętokrzyski UW</w:t>
            </w:r>
          </w:p>
        </w:tc>
        <w:tc>
          <w:tcPr>
            <w:tcW w:w="607" w:type="dxa"/>
          </w:tcPr>
          <w:p w14:paraId="5D678B4B" w14:textId="09AD099E" w:rsidR="001E2EA8"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19.</w:t>
            </w:r>
          </w:p>
        </w:tc>
        <w:tc>
          <w:tcPr>
            <w:tcW w:w="4465" w:type="dxa"/>
          </w:tcPr>
          <w:p w14:paraId="13863E62" w14:textId="58CBA989" w:rsidR="001E2EA8" w:rsidRPr="00481015" w:rsidRDefault="001E2EA8" w:rsidP="00403DAC">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znany jest przybliżony </w:t>
            </w:r>
            <w:r w:rsidRPr="00481015">
              <w:rPr>
                <w:rFonts w:ascii="Lato" w:hAnsi="Lato"/>
                <w:b/>
                <w:bCs/>
                <w:sz w:val="20"/>
                <w:szCs w:val="20"/>
              </w:rPr>
              <w:t>termin wydania rozporządzenia wykonawczego</w:t>
            </w:r>
            <w:r w:rsidRPr="00481015">
              <w:rPr>
                <w:rFonts w:ascii="Lato" w:hAnsi="Lato"/>
                <w:sz w:val="20"/>
                <w:szCs w:val="20"/>
              </w:rPr>
              <w:t xml:space="preserve"> (dot.  dziennych ośrodków opieki geriatrycznej)?</w:t>
            </w:r>
          </w:p>
        </w:tc>
        <w:tc>
          <w:tcPr>
            <w:tcW w:w="2831" w:type="dxa"/>
          </w:tcPr>
          <w:p w14:paraId="2013F43E"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942" w:type="dxa"/>
          </w:tcPr>
          <w:p w14:paraId="388DC2AB" w14:textId="150D26AF" w:rsidR="001E2EA8" w:rsidRPr="00481015" w:rsidRDefault="003B36AA" w:rsidP="00FA5E19">
            <w:pPr>
              <w:cnfStyle w:val="000000100000" w:firstRow="0" w:lastRow="0" w:firstColumn="0" w:lastColumn="0" w:oddVBand="0" w:evenVBand="0" w:oddHBand="1" w:evenHBand="0" w:firstRowFirstColumn="0" w:firstRowLastColumn="0" w:lastRowFirstColumn="0" w:lastRowLastColumn="0"/>
              <w:rPr>
                <w:rFonts w:ascii="Lato" w:hAnsi="Lato"/>
                <w:b/>
                <w:bCs/>
                <w:sz w:val="16"/>
                <w:szCs w:val="16"/>
              </w:rPr>
            </w:pPr>
            <w:r w:rsidRPr="00481015">
              <w:rPr>
                <w:rFonts w:ascii="Lato" w:hAnsi="Lato"/>
                <w:sz w:val="16"/>
                <w:szCs w:val="16"/>
              </w:rPr>
              <w:t>Projekt rozporządzenia jest w opracowaniu, przed konsultacjami wewnętrznymi. Nie jest możliwe obecnie wskazanie terminu wydania rozporządzenia.</w:t>
            </w:r>
          </w:p>
        </w:tc>
      </w:tr>
      <w:tr w:rsidR="00B07E62" w:rsidRPr="00481015" w14:paraId="665E0C37"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62D2C244" w14:textId="77777777" w:rsidR="001E2EA8" w:rsidRPr="00481015" w:rsidRDefault="001E2EA8" w:rsidP="00FA5E19">
            <w:pPr>
              <w:rPr>
                <w:rFonts w:ascii="Lato" w:hAnsi="Lato"/>
                <w:sz w:val="20"/>
                <w:szCs w:val="20"/>
              </w:rPr>
            </w:pPr>
          </w:p>
        </w:tc>
        <w:tc>
          <w:tcPr>
            <w:tcW w:w="607" w:type="dxa"/>
          </w:tcPr>
          <w:p w14:paraId="7C986666" w14:textId="7E855940" w:rsidR="001E2EA8"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25.</w:t>
            </w:r>
          </w:p>
        </w:tc>
        <w:tc>
          <w:tcPr>
            <w:tcW w:w="4465" w:type="dxa"/>
          </w:tcPr>
          <w:p w14:paraId="4A739088" w14:textId="250FCE02"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b/>
                <w:bCs/>
                <w:sz w:val="20"/>
                <w:szCs w:val="20"/>
              </w:rPr>
              <w:t>Czy powiat powinien zawrzeć porozumienie/umowę z gminą, która jest organem tworzącym dla podmiotu leczniczego,</w:t>
            </w:r>
            <w:r w:rsidRPr="00481015">
              <w:rPr>
                <w:rFonts w:ascii="Lato" w:hAnsi="Lato"/>
                <w:sz w:val="20"/>
                <w:szCs w:val="20"/>
              </w:rPr>
              <w:t xml:space="preserve"> w którym miałoby powstać Centrum? </w:t>
            </w:r>
          </w:p>
        </w:tc>
        <w:tc>
          <w:tcPr>
            <w:tcW w:w="2831" w:type="dxa"/>
          </w:tcPr>
          <w:p w14:paraId="4E7C857A" w14:textId="77777777"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2942" w:type="dxa"/>
          </w:tcPr>
          <w:p w14:paraId="079166C0" w14:textId="46B71BB9" w:rsidR="001E2EA8" w:rsidRPr="00481015" w:rsidRDefault="001E2EA8" w:rsidP="00593D71">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Biorąc pod uwagę treść art. 9-19 ustawy, należy podkreślić, że ustawa nie przewiduje wymogu zawarcia porozumienia/umowy z gminą, która jest organem tworzącym dla podmiotu leczniczego, w którym miałoby powstać CZ75+. Art. 19 ustawy przewiduje możliwość zawarcia porozumienia z sąsiednim powiatem w zakresie powierzenia zadania utworzenia przedmiotowego centrum. Wymóg zawarcia porozumienia został również określony w art. 35 ustawy i dotyczy określenia współpracy pomiędzy podmiotem leczniczym prowadzącym szpital a centrum w zakresie udzielania przez te centra świadczeń opieki zdrowotnej osobom uprawnionym.</w:t>
            </w:r>
          </w:p>
          <w:p w14:paraId="701F7B76" w14:textId="77777777" w:rsidR="001E2EA8" w:rsidRPr="00481015" w:rsidRDefault="001E2EA8" w:rsidP="00593D71">
            <w:pPr>
              <w:cnfStyle w:val="000000000000" w:firstRow="0" w:lastRow="0" w:firstColumn="0" w:lastColumn="0" w:oddVBand="0" w:evenVBand="0" w:oddHBand="0" w:evenHBand="0" w:firstRowFirstColumn="0" w:firstRowLastColumn="0" w:lastRowFirstColumn="0" w:lastRowLastColumn="0"/>
              <w:rPr>
                <w:rFonts w:ascii="Lato" w:hAnsi="Lato"/>
                <w:b/>
                <w:bCs/>
                <w:sz w:val="16"/>
                <w:szCs w:val="16"/>
              </w:rPr>
            </w:pPr>
            <w:r w:rsidRPr="00481015">
              <w:rPr>
                <w:rFonts w:ascii="Lato" w:hAnsi="Lato"/>
                <w:sz w:val="16"/>
                <w:szCs w:val="16"/>
              </w:rPr>
              <w:t xml:space="preserve">Jednakże jako quasi wytyczną można wziąć pod uwagę treść art. 13 ust. 4 ustawy. </w:t>
            </w:r>
          </w:p>
          <w:p w14:paraId="1A196B85" w14:textId="02D0420D" w:rsidR="001E2EA8" w:rsidRPr="00481015" w:rsidRDefault="001E2EA8" w:rsidP="00593D71">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W przypadku gdy tworzy się centrum, w ramach struktury organizacyjnej podmiotu leczniczego wskazanego w wojewódzkim planie, wówczas do zgłoszenia dołącza się pisemną deklarację podmiotu leczniczego o gotowości utworzenia w tym podmiocie centrum, a w przypadku, gdy dwa sąsiednie powiaty ustalają kto utworzy centrum, to również zawiera się porozumienie o przyjęciu do realizacji zadania o utworzeniu centrum.</w:t>
            </w:r>
          </w:p>
        </w:tc>
      </w:tr>
      <w:tr w:rsidR="00B07E62" w:rsidRPr="00481015" w14:paraId="7753F33F"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1C7439D5" w14:textId="77777777" w:rsidR="001E2EA8" w:rsidRPr="00481015" w:rsidRDefault="001E2EA8" w:rsidP="00FA5E19">
            <w:pPr>
              <w:rPr>
                <w:rFonts w:ascii="Lato" w:hAnsi="Lato"/>
                <w:sz w:val="20"/>
                <w:szCs w:val="20"/>
              </w:rPr>
            </w:pPr>
          </w:p>
        </w:tc>
        <w:tc>
          <w:tcPr>
            <w:tcW w:w="607" w:type="dxa"/>
          </w:tcPr>
          <w:p w14:paraId="14D96257" w14:textId="7319371F" w:rsidR="001E2EA8"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26.</w:t>
            </w:r>
          </w:p>
        </w:tc>
        <w:tc>
          <w:tcPr>
            <w:tcW w:w="4465" w:type="dxa"/>
          </w:tcPr>
          <w:p w14:paraId="31DB6F34" w14:textId="7D9D412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b/>
                <w:bCs/>
                <w:sz w:val="20"/>
                <w:szCs w:val="20"/>
              </w:rPr>
              <w:t>Czy w ramach działalności CZ75+ na terenie Powiatu będzie obowiązywać rejonizacja pacjentów</w:t>
            </w:r>
            <w:r w:rsidRPr="00481015">
              <w:rPr>
                <w:rFonts w:ascii="Lato" w:hAnsi="Lato"/>
                <w:sz w:val="20"/>
                <w:szCs w:val="20"/>
              </w:rPr>
              <w:t xml:space="preserve"> (art. 21)?</w:t>
            </w:r>
          </w:p>
        </w:tc>
        <w:tc>
          <w:tcPr>
            <w:tcW w:w="2831" w:type="dxa"/>
          </w:tcPr>
          <w:p w14:paraId="4A45FB07"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2942" w:type="dxa"/>
          </w:tcPr>
          <w:p w14:paraId="04F48991" w14:textId="77777777" w:rsidR="003B36AA" w:rsidRPr="00481015" w:rsidRDefault="003B36AA" w:rsidP="003B36AA">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Zgodnie z art. 21 ustawy z dnia 17 sierpnia 2023 r. o szczególnej opiece geriatrycznej: W centrum udziela się świadczeń opieki zdrowotnej osobom uprawnionym mającym miejsce zamieszkania na obszarze działania centrum. Kolejno w myśl art. 36 ust. 1 Lekarz podstawowej opieki zdrowotnej, lekarz udzielający </w:t>
            </w:r>
            <w:r w:rsidRPr="00481015">
              <w:rPr>
                <w:rFonts w:ascii="Lato" w:hAnsi="Lato"/>
                <w:sz w:val="16"/>
                <w:szCs w:val="16"/>
              </w:rPr>
              <w:lastRenderedPageBreak/>
              <w:t>świadczeń ambulatoryjnej specjalistycznej opieki zdrowotnej w zakresie geriatrii, lekarz wykonujący zawód w oddziale geriatrycznym albo lekarz wykonujący zawód w innym oddziale szpitala, w którym nie ma oddziału geriatrycznego, będący lekarzami ubezpieczenia zdrowotnego, kierują osobę uprawnioną do centrum właściwego ze względu na miejsce jej zamieszkania.</w:t>
            </w:r>
          </w:p>
          <w:p w14:paraId="344E340D" w14:textId="77777777" w:rsidR="003B36AA" w:rsidRPr="00481015" w:rsidRDefault="003B36AA" w:rsidP="003B36AA">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Podkreślenia przy tym wymaga, że zgodnie z art. 48 ww. ustawy o szczególnej opiece geriatrycznej wprowadzono zmiany w ustawie z dnia 27 sierpnia 2004 r. o świadczeniach opieki zdrowotnej finansowanych ze środków publicznych (Dz. U. z 2022 r. poz. 2561, z późn. zm.). </w:t>
            </w:r>
          </w:p>
          <w:p w14:paraId="372FAF4A" w14:textId="77777777" w:rsidR="003B36AA" w:rsidRPr="00481015" w:rsidRDefault="003B36AA" w:rsidP="003B36AA">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Art. 29 ustawy o świadczeniach opieki zdrowotnej finansowanych ze środków publicznych otrzymał brzmienie: Świadczeniobiorca ma prawo wyboru świadczeniodawcy udzielającego ambulatoryjnych świadczeń specjalistycznych spośród tych świadczeniodawców, którzy zawarli umowy o udzielanie świadczeń opieki zdrowotnej, z zastrzeżeniem art. 325 i art. 599 ustawy z dnia 11 marca 2022 r. o obronie Ojczyzny, art. 153 ust. 7a ustawy z dnia 12 października 1990 r. o Straży Granicznej (Dz. U. z 2023 r. poz. 1080, 1088, 1489 i 1723), art. 115 § 1a Kodeksu karnego wykonawczego, art. 112 ust. 1 i 2 ustawy z dnia 9 czerwca 2022 r. o wspieraniu i resocjalizacji nieletnich (Dz. U. poz. 1700 oraz z 2023 r. poz. 289) oraz art. 21 i art. 36 ust. 1 ustawy z dnia 17 sierpnia 2023 r. o szczególnej opiece geriatrycznej (Dz. U. poz. 1831).</w:t>
            </w:r>
          </w:p>
          <w:p w14:paraId="79BC0CE9" w14:textId="3B64782F" w:rsidR="001E2EA8" w:rsidRPr="00481015" w:rsidRDefault="003B36AA" w:rsidP="003B36AA">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Podsumowując można przyjąć, że intencją projektodawcy było to, aby </w:t>
            </w:r>
            <w:r w:rsidRPr="00481015">
              <w:rPr>
                <w:rFonts w:ascii="Lato" w:hAnsi="Lato"/>
                <w:sz w:val="16"/>
                <w:szCs w:val="16"/>
              </w:rPr>
              <w:lastRenderedPageBreak/>
              <w:t>pacjenci, którzy ukończyli 75 rok życia byli kierowani do właściwych centrów zdrowia 75+ ze względu na miejsce ich zamieszkania.</w:t>
            </w:r>
          </w:p>
        </w:tc>
      </w:tr>
      <w:tr w:rsidR="00B07E62" w:rsidRPr="00481015" w14:paraId="1E930C45"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41D70133" w14:textId="77777777" w:rsidR="001E2EA8" w:rsidRPr="00481015" w:rsidRDefault="001E2EA8" w:rsidP="00FA5E19">
            <w:pPr>
              <w:rPr>
                <w:rFonts w:ascii="Lato" w:hAnsi="Lato"/>
                <w:sz w:val="20"/>
                <w:szCs w:val="20"/>
              </w:rPr>
            </w:pPr>
          </w:p>
        </w:tc>
        <w:tc>
          <w:tcPr>
            <w:tcW w:w="607" w:type="dxa"/>
          </w:tcPr>
          <w:p w14:paraId="572CFABC" w14:textId="6474C339" w:rsidR="001E2EA8"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28.</w:t>
            </w:r>
          </w:p>
        </w:tc>
        <w:tc>
          <w:tcPr>
            <w:tcW w:w="4465" w:type="dxa"/>
          </w:tcPr>
          <w:p w14:paraId="7055E0D5" w14:textId="1FF75DF8"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Prośba o odniesienie się do sugestii zawartej w kolejnej kolumnie</w:t>
            </w:r>
          </w:p>
        </w:tc>
        <w:tc>
          <w:tcPr>
            <w:tcW w:w="2831" w:type="dxa"/>
          </w:tcPr>
          <w:p w14:paraId="299F4D62" w14:textId="707F54D7"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Odroczenie terminów wynikających z ustawy do czasu wprowadzenia przepisów wykonawczych</w:t>
            </w:r>
            <w:r w:rsidRPr="00481015">
              <w:rPr>
                <w:rFonts w:ascii="Lato" w:hAnsi="Lato"/>
                <w:sz w:val="20"/>
                <w:szCs w:val="20"/>
              </w:rPr>
              <w:t>.</w:t>
            </w:r>
          </w:p>
        </w:tc>
        <w:tc>
          <w:tcPr>
            <w:tcW w:w="2942" w:type="dxa"/>
          </w:tcPr>
          <w:p w14:paraId="5F6861C5" w14:textId="4C0C4DC6"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W zakresie odroczenia terminów wynikających z przepisów ustawy do czasu wprowadzenia przepisów wykonawczych należy wskazać, że zgodnie z art. 50 ustawy wojewoda rozpoczyna prace nad opracowaniem pierwszego wojewódzkiego planu, udostępniając w Biuletynie Informacji Publicznej urzędu wojewódzkiego informację o rozpoczęciu prac nad projektem wojewódzkiego planu w terminie 14 dni od dnia wejścia w życie ustawy, czyli od dnia 1 stycznia 2024 r. Natomiast zgodnie z art. 55 ustawy powiat jest obowiązany do utworzenia centrum w przypadku gdy wynika to z wojewódzkiego planu, albo do zawarcia porozumienia, o którym mowa w art. 19 ust. 1 ustawy, nie później niż w terminie 5 lat od dnia wejścia w życie ustawy. Ww. przepisy są podstawowymi w zakresie terminów wdrożenia przepisów ustawy. Jedyny akt wykonawczy ma zostać wydany przez ministra właściwego do spraw zdrowia na podstawie art. 24 ust. 4 ustawy (ustawa nie przewiduje późniejszego terminu dla wydania tego aktu wykonawczego, dlatego przedmiotowe rozporządzenie powinno zostać wydane niezwłocznie).</w:t>
            </w:r>
          </w:p>
        </w:tc>
      </w:tr>
      <w:tr w:rsidR="00B07E62" w:rsidRPr="00481015" w14:paraId="2B54E9AE"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487699A1" w14:textId="77777777" w:rsidR="001E2EA8" w:rsidRPr="00481015" w:rsidRDefault="001E2EA8" w:rsidP="00FA5E19">
            <w:pPr>
              <w:rPr>
                <w:rFonts w:ascii="Lato" w:hAnsi="Lato"/>
                <w:sz w:val="20"/>
                <w:szCs w:val="20"/>
              </w:rPr>
            </w:pPr>
          </w:p>
        </w:tc>
        <w:tc>
          <w:tcPr>
            <w:tcW w:w="607" w:type="dxa"/>
          </w:tcPr>
          <w:p w14:paraId="3C9D09F0" w14:textId="7BE08B54" w:rsidR="001E2EA8"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29.</w:t>
            </w:r>
          </w:p>
        </w:tc>
        <w:tc>
          <w:tcPr>
            <w:tcW w:w="4465" w:type="dxa"/>
          </w:tcPr>
          <w:p w14:paraId="08F093AD" w14:textId="739BD73C"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w:t>
            </w:r>
            <w:r w:rsidRPr="00481015">
              <w:rPr>
                <w:rFonts w:ascii="Lato" w:hAnsi="Lato"/>
                <w:b/>
                <w:bCs/>
                <w:sz w:val="20"/>
                <w:szCs w:val="20"/>
              </w:rPr>
              <w:t>wnioski dotyczące inwestycji</w:t>
            </w:r>
            <w:r w:rsidRPr="00481015">
              <w:rPr>
                <w:rFonts w:ascii="Lato" w:hAnsi="Lato"/>
                <w:sz w:val="20"/>
                <w:szCs w:val="20"/>
              </w:rPr>
              <w:t xml:space="preserve"> realizowanych ze środków Funduszu Medycznego na podstawie ustawy o szczególnej opiece geriatrycznej </w:t>
            </w:r>
            <w:r w:rsidRPr="00481015">
              <w:rPr>
                <w:rFonts w:ascii="Lato" w:hAnsi="Lato"/>
                <w:b/>
                <w:bCs/>
                <w:sz w:val="20"/>
                <w:szCs w:val="20"/>
              </w:rPr>
              <w:t>będą składane za pośrednictwem wojewodów</w:t>
            </w:r>
            <w:r w:rsidRPr="00481015">
              <w:rPr>
                <w:rFonts w:ascii="Lato" w:hAnsi="Lato"/>
                <w:sz w:val="20"/>
                <w:szCs w:val="20"/>
              </w:rPr>
              <w:t>?</w:t>
            </w:r>
          </w:p>
        </w:tc>
        <w:tc>
          <w:tcPr>
            <w:tcW w:w="2831" w:type="dxa"/>
          </w:tcPr>
          <w:p w14:paraId="105E13B1"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0426177D" w14:textId="60B572FF"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Mając na uwadze przepisy art.  19 ust. 3  i następnie art. 20-27 ustawy z dnia 7 października 2020 r. o Funduszu</w:t>
            </w:r>
            <w:r w:rsidR="0089731C">
              <w:rPr>
                <w:rFonts w:ascii="Lato" w:hAnsi="Lato"/>
                <w:sz w:val="16"/>
                <w:szCs w:val="16"/>
              </w:rPr>
              <w:t xml:space="preserve"> Medycznym</w:t>
            </w:r>
            <w:r w:rsidRPr="00481015">
              <w:rPr>
                <w:rFonts w:ascii="Lato" w:hAnsi="Lato"/>
                <w:sz w:val="16"/>
                <w:szCs w:val="16"/>
              </w:rPr>
              <w:t xml:space="preserve"> (Dz. U. z 2023 r. poz. 1758, z późn. zm.)</w:t>
            </w:r>
            <w:r w:rsidR="0089731C">
              <w:rPr>
                <w:rFonts w:ascii="Lato" w:hAnsi="Lato"/>
                <w:sz w:val="16"/>
                <w:szCs w:val="16"/>
              </w:rPr>
              <w:t>,</w:t>
            </w:r>
            <w:r w:rsidRPr="00481015">
              <w:rPr>
                <w:rFonts w:ascii="Lato" w:hAnsi="Lato"/>
                <w:sz w:val="16"/>
                <w:szCs w:val="16"/>
              </w:rPr>
              <w:t xml:space="preserve"> Minister Zdrowia przeprowadza konkurs na wybór wniosków o dofinansowanie zadań realizowanych w ramach Subfunduszu Modernizacji Podmiotów Leczniczych. </w:t>
            </w:r>
            <w:r w:rsidRPr="00481015">
              <w:rPr>
                <w:rFonts w:ascii="Lato" w:hAnsi="Lato"/>
                <w:sz w:val="16"/>
                <w:szCs w:val="16"/>
              </w:rPr>
              <w:lastRenderedPageBreak/>
              <w:t>Ustawa nie przewiduje, aby wnioski o dofinansowanie były składane za pośrednictwem Wojewodów.</w:t>
            </w:r>
          </w:p>
        </w:tc>
      </w:tr>
      <w:tr w:rsidR="00B07E62" w:rsidRPr="00481015" w14:paraId="0A1C7EAA"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6A2F0A96" w14:textId="77777777" w:rsidR="001E2EA8" w:rsidRPr="00481015" w:rsidRDefault="001E2EA8" w:rsidP="00FA5E19">
            <w:pPr>
              <w:rPr>
                <w:rFonts w:ascii="Lato" w:hAnsi="Lato"/>
                <w:sz w:val="20"/>
                <w:szCs w:val="20"/>
              </w:rPr>
            </w:pPr>
          </w:p>
        </w:tc>
        <w:tc>
          <w:tcPr>
            <w:tcW w:w="607" w:type="dxa"/>
          </w:tcPr>
          <w:p w14:paraId="7A5EC997" w14:textId="14E05290" w:rsidR="001E2EA8"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30.</w:t>
            </w:r>
          </w:p>
        </w:tc>
        <w:tc>
          <w:tcPr>
            <w:tcW w:w="4465" w:type="dxa"/>
          </w:tcPr>
          <w:p w14:paraId="29B61E0B" w14:textId="6F9320D0"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Czy </w:t>
            </w:r>
            <w:r w:rsidRPr="00481015">
              <w:rPr>
                <w:rFonts w:ascii="Lato" w:hAnsi="Lato"/>
                <w:b/>
                <w:bCs/>
                <w:sz w:val="20"/>
                <w:szCs w:val="20"/>
              </w:rPr>
              <w:t>Beneficjentem środków</w:t>
            </w:r>
            <w:r w:rsidRPr="00481015">
              <w:rPr>
                <w:rFonts w:ascii="Lato" w:hAnsi="Lato"/>
                <w:sz w:val="20"/>
                <w:szCs w:val="20"/>
              </w:rPr>
              <w:t xml:space="preserve"> z Funduszu Medycznego na utworzenie centrum </w:t>
            </w:r>
            <w:r w:rsidRPr="00481015">
              <w:rPr>
                <w:rFonts w:ascii="Lato" w:hAnsi="Lato"/>
                <w:b/>
                <w:bCs/>
                <w:sz w:val="20"/>
                <w:szCs w:val="20"/>
              </w:rPr>
              <w:t>mogą być podmioty prywatne (NZOZ)</w:t>
            </w:r>
            <w:r w:rsidRPr="00481015">
              <w:rPr>
                <w:rFonts w:ascii="Lato" w:hAnsi="Lato"/>
                <w:sz w:val="20"/>
                <w:szCs w:val="20"/>
              </w:rPr>
              <w:t>?</w:t>
            </w:r>
          </w:p>
        </w:tc>
        <w:tc>
          <w:tcPr>
            <w:tcW w:w="2831" w:type="dxa"/>
          </w:tcPr>
          <w:p w14:paraId="4AAB6802" w14:textId="77777777"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2CC1F0AA" w14:textId="1A21431A" w:rsidR="001E2EA8" w:rsidRPr="00481015" w:rsidRDefault="001E2EA8" w:rsidP="00FA5E1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Na podstawie art. 19 ust. 5 ustawy o Funduszu Medycznym, w przypadku kiedy podmioty prywatne są podmiotami udzielającymi świadczeń opieki zdrowotnej finansowanych ze środków publicznych, mogą zostać beneficjentami środków z Funduszu Medycznego.</w:t>
            </w:r>
          </w:p>
        </w:tc>
      </w:tr>
      <w:tr w:rsidR="00B07E62" w:rsidRPr="00481015" w14:paraId="1B3E2AC0"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1D4F4464" w14:textId="77777777" w:rsidR="001E2EA8" w:rsidRPr="00481015" w:rsidRDefault="001E2EA8" w:rsidP="00FA5E19">
            <w:pPr>
              <w:rPr>
                <w:rFonts w:ascii="Lato" w:hAnsi="Lato"/>
                <w:sz w:val="20"/>
                <w:szCs w:val="20"/>
              </w:rPr>
            </w:pPr>
          </w:p>
        </w:tc>
        <w:tc>
          <w:tcPr>
            <w:tcW w:w="607" w:type="dxa"/>
          </w:tcPr>
          <w:p w14:paraId="43F9FEC0" w14:textId="7F1BAF97" w:rsidR="001E2EA8"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31.</w:t>
            </w:r>
          </w:p>
        </w:tc>
        <w:tc>
          <w:tcPr>
            <w:tcW w:w="4465" w:type="dxa"/>
          </w:tcPr>
          <w:p w14:paraId="04FF750B" w14:textId="59D6B508"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Ile będzie wynosić </w:t>
            </w:r>
            <w:r w:rsidRPr="00481015">
              <w:rPr>
                <w:rFonts w:ascii="Lato" w:hAnsi="Lato"/>
                <w:b/>
                <w:bCs/>
                <w:sz w:val="20"/>
                <w:szCs w:val="20"/>
              </w:rPr>
              <w:t>procentowa wysokość dofinansowania z Funduszu Medycznego</w:t>
            </w:r>
            <w:r w:rsidRPr="00481015">
              <w:rPr>
                <w:rFonts w:ascii="Lato" w:hAnsi="Lato"/>
                <w:sz w:val="20"/>
                <w:szCs w:val="20"/>
              </w:rPr>
              <w:t xml:space="preserve"> przeznaczona na budowę, modernizację, przebudowę lub doposażenie CZ75+ (np. 100%, 80% lub inna wartość procentowa)?</w:t>
            </w:r>
          </w:p>
        </w:tc>
        <w:tc>
          <w:tcPr>
            <w:tcW w:w="2831" w:type="dxa"/>
          </w:tcPr>
          <w:p w14:paraId="5739C9C3" w14:textId="77777777"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5EFE2278" w14:textId="40E69930" w:rsidR="001E2EA8" w:rsidRPr="00481015" w:rsidRDefault="001E2EA8" w:rsidP="00FA5E19">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Ustalenie zasad konkursu w zakresie  procentowej wysokości dofinansowania (wysokości możliwego dofinansowania) możliwe będzie po dokładnym zbadaniu potrzeb określonych przez Wojewodów w Wojewódzkich Planach.</w:t>
            </w:r>
          </w:p>
        </w:tc>
      </w:tr>
      <w:tr w:rsidR="0018292C" w:rsidRPr="00481015" w14:paraId="51E473D2"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1191BBBF" w14:textId="4891E025" w:rsidR="0018292C" w:rsidRPr="00481015" w:rsidRDefault="0018292C" w:rsidP="00FA7116">
            <w:pPr>
              <w:jc w:val="center"/>
              <w:rPr>
                <w:rFonts w:ascii="Lato" w:hAnsi="Lato"/>
                <w:sz w:val="20"/>
                <w:szCs w:val="20"/>
              </w:rPr>
            </w:pPr>
            <w:r w:rsidRPr="00481015">
              <w:rPr>
                <w:rFonts w:ascii="Lato" w:hAnsi="Lato"/>
                <w:sz w:val="20"/>
                <w:szCs w:val="20"/>
              </w:rPr>
              <w:t>Pomorski UW</w:t>
            </w:r>
          </w:p>
        </w:tc>
        <w:tc>
          <w:tcPr>
            <w:tcW w:w="607" w:type="dxa"/>
          </w:tcPr>
          <w:p w14:paraId="1ADB2A50" w14:textId="417E6C51" w:rsidR="0018292C" w:rsidRPr="00481015" w:rsidRDefault="0018292C"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32.</w:t>
            </w:r>
          </w:p>
        </w:tc>
        <w:tc>
          <w:tcPr>
            <w:tcW w:w="4465" w:type="dxa"/>
          </w:tcPr>
          <w:p w14:paraId="1EDC392C" w14:textId="45284F55" w:rsidR="0018292C" w:rsidRPr="00481015" w:rsidRDefault="0018292C" w:rsidP="0016584C">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Jakie konkretnie </w:t>
            </w:r>
            <w:r w:rsidRPr="00481015">
              <w:rPr>
                <w:rFonts w:ascii="Lato" w:hAnsi="Lato"/>
                <w:b/>
                <w:bCs/>
                <w:sz w:val="20"/>
                <w:szCs w:val="20"/>
              </w:rPr>
              <w:t>dane powinny przesłać powiaty dot. wskazania lokalizacji CZ75+</w:t>
            </w:r>
            <w:r w:rsidRPr="00481015">
              <w:rPr>
                <w:rFonts w:ascii="Lato" w:hAnsi="Lato"/>
                <w:sz w:val="20"/>
                <w:szCs w:val="20"/>
              </w:rPr>
              <w:t>?</w:t>
            </w:r>
          </w:p>
        </w:tc>
        <w:tc>
          <w:tcPr>
            <w:tcW w:w="2831" w:type="dxa"/>
          </w:tcPr>
          <w:p w14:paraId="018A1BF7" w14:textId="77777777" w:rsidR="0018292C" w:rsidRPr="00481015" w:rsidRDefault="0018292C"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2A5F7114" w14:textId="34F0546A" w:rsidR="0018292C" w:rsidRPr="00481015" w:rsidRDefault="0018292C" w:rsidP="0041629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Na potrzeby inwestycji z Funduszu Medycznego niezbędne są dane, takie jak:  nazwa podmiotu i wskazanie miejscowości ulokowania Centrum Zdrowia 75+.</w:t>
            </w:r>
          </w:p>
        </w:tc>
      </w:tr>
      <w:tr w:rsidR="0018292C" w:rsidRPr="00481015" w14:paraId="6A16F511"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3CEF38D" w14:textId="77777777" w:rsidR="0018292C" w:rsidRPr="00481015" w:rsidRDefault="0018292C" w:rsidP="00FA5E19">
            <w:pPr>
              <w:rPr>
                <w:rFonts w:ascii="Lato" w:hAnsi="Lato"/>
                <w:sz w:val="20"/>
                <w:szCs w:val="20"/>
              </w:rPr>
            </w:pPr>
          </w:p>
        </w:tc>
        <w:tc>
          <w:tcPr>
            <w:tcW w:w="607" w:type="dxa"/>
          </w:tcPr>
          <w:p w14:paraId="578BC716" w14:textId="7076AD82" w:rsidR="0018292C" w:rsidRPr="00481015" w:rsidRDefault="0018292C"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33.</w:t>
            </w:r>
          </w:p>
        </w:tc>
        <w:tc>
          <w:tcPr>
            <w:tcW w:w="4465" w:type="dxa"/>
          </w:tcPr>
          <w:p w14:paraId="35621EFF" w14:textId="2683AEB4"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Co powinna zawierać </w:t>
            </w:r>
            <w:r w:rsidRPr="00481015">
              <w:rPr>
                <w:rFonts w:ascii="Lato" w:hAnsi="Lato"/>
                <w:b/>
                <w:bCs/>
                <w:sz w:val="20"/>
                <w:szCs w:val="20"/>
              </w:rPr>
              <w:t>pisemna deklaracja o gotowości włączenia oddziału geriatrycznego</w:t>
            </w:r>
            <w:r w:rsidRPr="00481015">
              <w:rPr>
                <w:rFonts w:ascii="Lato" w:hAnsi="Lato"/>
                <w:sz w:val="20"/>
                <w:szCs w:val="20"/>
              </w:rPr>
              <w:t xml:space="preserve"> przesłana przez podmiot leczniczy prowadzący szpital – czy zostanie </w:t>
            </w:r>
            <w:r w:rsidRPr="00481015">
              <w:rPr>
                <w:rFonts w:ascii="Lato" w:hAnsi="Lato"/>
                <w:b/>
                <w:bCs/>
                <w:sz w:val="20"/>
                <w:szCs w:val="20"/>
              </w:rPr>
              <w:t>udostępniony ogólny wzór takiego dokumentu</w:t>
            </w:r>
            <w:r w:rsidRPr="00481015">
              <w:rPr>
                <w:rFonts w:ascii="Lato" w:hAnsi="Lato"/>
                <w:sz w:val="20"/>
                <w:szCs w:val="20"/>
              </w:rPr>
              <w:t>?</w:t>
            </w:r>
          </w:p>
        </w:tc>
        <w:tc>
          <w:tcPr>
            <w:tcW w:w="2831" w:type="dxa"/>
          </w:tcPr>
          <w:p w14:paraId="104BEE03" w14:textId="77777777"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4BF6A69B" w14:textId="28D63983"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Odnośnie brzmienia treści deklaracji (czy brzmienia jej wzoru), należy wskazać, że zgodnie z treścią art. 10 ust. 4 projektu ustawy wojewoda określi lokalizację oddziału geriatrycznego po otrzymaniu pisemnej deklaracji podmiotu leczniczego prowadzącego szpital o gotowości włączenia oddziału geriatrycznego do wojewódzkiego planu. Wprowadzenie wskaźnika liczby łóżek przypadających na określoną populację oraz konieczność określenia w wojewódzkim planie działania rozmieszczenia oddziałów geriatrycznych (stosownie do art. 9 ustawy) ma stworzyć podstawy do zarządzania dostępem do szczególnej opieki geriatrycznej w skali kraju. Ponadto w przypadku gdy Centrum zostanie utworzone w ramach </w:t>
            </w:r>
            <w:r w:rsidRPr="00481015">
              <w:rPr>
                <w:rFonts w:ascii="Lato" w:hAnsi="Lato"/>
                <w:sz w:val="16"/>
                <w:szCs w:val="16"/>
              </w:rPr>
              <w:lastRenderedPageBreak/>
              <w:t>struktury organizacyjnej istniejącego już podmiotu leczniczego, do zgłoszenia dołącza się pisemną deklarację tego podmiotu o gotowości utworzenia w tym podmiocie centrum. W przypadku, gdy centrum będzie utworzone dla kilku sąsiadujących ze sobą powiatów, do wniosku należy dołączyć również porozumienie o przyjęciu do realizacji zadania utworzenia centrum.</w:t>
            </w:r>
          </w:p>
        </w:tc>
      </w:tr>
      <w:tr w:rsidR="0018292C" w:rsidRPr="00481015" w14:paraId="14B369A9"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34138CCB" w14:textId="77777777" w:rsidR="0018292C" w:rsidRPr="00481015" w:rsidRDefault="0018292C" w:rsidP="00FA5E19">
            <w:pPr>
              <w:rPr>
                <w:rFonts w:ascii="Lato" w:hAnsi="Lato"/>
                <w:sz w:val="20"/>
                <w:szCs w:val="20"/>
              </w:rPr>
            </w:pPr>
          </w:p>
        </w:tc>
        <w:tc>
          <w:tcPr>
            <w:tcW w:w="607" w:type="dxa"/>
          </w:tcPr>
          <w:p w14:paraId="109353CD" w14:textId="6CA4E6DD" w:rsidR="0018292C" w:rsidRPr="00481015" w:rsidRDefault="0018292C"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35.</w:t>
            </w:r>
          </w:p>
        </w:tc>
        <w:tc>
          <w:tcPr>
            <w:tcW w:w="4465" w:type="dxa"/>
          </w:tcPr>
          <w:p w14:paraId="6D0D24BB" w14:textId="118A4EDD" w:rsidR="0018292C" w:rsidRPr="00481015" w:rsidRDefault="0018292C"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W jaki sposób </w:t>
            </w:r>
            <w:r w:rsidRPr="00481015">
              <w:rPr>
                <w:rFonts w:ascii="Lato" w:hAnsi="Lato"/>
                <w:b/>
                <w:bCs/>
                <w:sz w:val="20"/>
                <w:szCs w:val="20"/>
              </w:rPr>
              <w:t>CZ75+</w:t>
            </w:r>
            <w:r w:rsidRPr="00481015">
              <w:rPr>
                <w:rFonts w:ascii="Lato" w:hAnsi="Lato"/>
                <w:sz w:val="20"/>
                <w:szCs w:val="20"/>
              </w:rPr>
              <w:t xml:space="preserve"> ma widnieć </w:t>
            </w:r>
            <w:r w:rsidRPr="00481015">
              <w:rPr>
                <w:rFonts w:ascii="Lato" w:hAnsi="Lato"/>
                <w:b/>
                <w:bCs/>
                <w:sz w:val="20"/>
                <w:szCs w:val="20"/>
              </w:rPr>
              <w:t>w Księdze Rejestrowej</w:t>
            </w:r>
            <w:r w:rsidRPr="00481015">
              <w:rPr>
                <w:rFonts w:ascii="Lato" w:hAnsi="Lato"/>
                <w:sz w:val="20"/>
                <w:szCs w:val="20"/>
              </w:rPr>
              <w:t>?</w:t>
            </w:r>
          </w:p>
        </w:tc>
        <w:tc>
          <w:tcPr>
            <w:tcW w:w="2831" w:type="dxa"/>
          </w:tcPr>
          <w:p w14:paraId="2C4703BC" w14:textId="77777777" w:rsidR="0018292C" w:rsidRPr="00481015" w:rsidRDefault="0018292C" w:rsidP="00FA5E19">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591D6A38" w14:textId="77777777" w:rsidR="0018292C" w:rsidRPr="00481015" w:rsidRDefault="0018292C" w:rsidP="009D1B18">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W zależności od sposobu organizacji będzie to oddzielny podmiot leczniczy lub części składowe podmiotu leczniczego.  Na potrzeby RPWDL należałby wydzielić z istniejących już zakładów np. ze szpitala, z ambulatorium, zakłady (jednorodzajowe), które wejdą w skład CZ75+. </w:t>
            </w:r>
          </w:p>
          <w:p w14:paraId="3B67090E" w14:textId="5880C9D9" w:rsidR="0018292C" w:rsidRPr="00481015" w:rsidRDefault="0018292C" w:rsidP="009D1B18">
            <w:pPr>
              <w:cnfStyle w:val="000000000000" w:firstRow="0" w:lastRow="0" w:firstColumn="0" w:lastColumn="0" w:oddVBand="0" w:evenVBand="0" w:oddHBand="0" w:evenHBand="0" w:firstRowFirstColumn="0" w:firstRowLastColumn="0" w:lastRowFirstColumn="0" w:lastRowLastColumn="0"/>
              <w:rPr>
                <w:rFonts w:ascii="Lato" w:hAnsi="Lato"/>
                <w:b/>
                <w:bCs/>
                <w:sz w:val="16"/>
                <w:szCs w:val="16"/>
              </w:rPr>
            </w:pPr>
            <w:r w:rsidRPr="00481015">
              <w:rPr>
                <w:rFonts w:ascii="Lato" w:hAnsi="Lato"/>
                <w:sz w:val="16"/>
                <w:szCs w:val="16"/>
              </w:rPr>
              <w:t>W praktyce ww. zakłady mogłyby być wpisywane do rejestru (przykładowo) pod nazwą: „CZ75+ szpital”, „ CZ75+ ambulatorium”.</w:t>
            </w:r>
          </w:p>
        </w:tc>
      </w:tr>
      <w:tr w:rsidR="0018292C" w:rsidRPr="00481015" w14:paraId="1D331122"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3A813ADF" w14:textId="181D2069" w:rsidR="0018292C" w:rsidRPr="00481015" w:rsidRDefault="0018292C" w:rsidP="00FA5E19">
            <w:pPr>
              <w:rPr>
                <w:rFonts w:ascii="Lato" w:hAnsi="Lato"/>
                <w:sz w:val="20"/>
                <w:szCs w:val="20"/>
              </w:rPr>
            </w:pPr>
          </w:p>
        </w:tc>
        <w:tc>
          <w:tcPr>
            <w:tcW w:w="607" w:type="dxa"/>
          </w:tcPr>
          <w:p w14:paraId="1CF2C205" w14:textId="4FC71717" w:rsidR="0018292C" w:rsidRPr="00481015" w:rsidRDefault="0018292C"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39.</w:t>
            </w:r>
          </w:p>
        </w:tc>
        <w:tc>
          <w:tcPr>
            <w:tcW w:w="4465" w:type="dxa"/>
          </w:tcPr>
          <w:p w14:paraId="0ABC4625" w14:textId="13175AC8"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w:t>
            </w:r>
            <w:r w:rsidRPr="00481015">
              <w:rPr>
                <w:rFonts w:ascii="Lato" w:hAnsi="Lato"/>
                <w:b/>
                <w:bCs/>
                <w:sz w:val="20"/>
                <w:szCs w:val="20"/>
              </w:rPr>
              <w:t>miasta na prawach powiatu</w:t>
            </w:r>
            <w:r w:rsidRPr="00481015">
              <w:rPr>
                <w:rFonts w:ascii="Lato" w:hAnsi="Lato"/>
                <w:sz w:val="20"/>
                <w:szCs w:val="20"/>
              </w:rPr>
              <w:t xml:space="preserve"> również obowiązuje obszar działania CZ75+, zamieszkały nie  mniej niż 6 tys. i nie  więcej niż 12 tys. osób?</w:t>
            </w:r>
          </w:p>
        </w:tc>
        <w:tc>
          <w:tcPr>
            <w:tcW w:w="2831" w:type="dxa"/>
          </w:tcPr>
          <w:p w14:paraId="73DBB7B4" w14:textId="77777777"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4F23726B" w14:textId="615A7C04" w:rsidR="0018292C" w:rsidRPr="00481015" w:rsidRDefault="0018292C" w:rsidP="00FA5E19">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Miasta na prawach powiatu wykonują zadania powiatu w zakresie szczególnej opieki geriatrycznej, dlatego wydaje się, że w przypadku braku odrębnych przesłanek dla działania centrum, miasta na prawach powiatu obowiązuje te same wymagania co dla powiatów.</w:t>
            </w:r>
          </w:p>
        </w:tc>
      </w:tr>
      <w:tr w:rsidR="0018292C" w:rsidRPr="00481015" w14:paraId="44D1E863"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21BA01D2" w14:textId="77777777" w:rsidR="0018292C" w:rsidRPr="00481015" w:rsidRDefault="0018292C" w:rsidP="001F41DD">
            <w:pPr>
              <w:rPr>
                <w:rFonts w:ascii="Lato" w:hAnsi="Lato"/>
                <w:sz w:val="20"/>
                <w:szCs w:val="20"/>
              </w:rPr>
            </w:pPr>
          </w:p>
        </w:tc>
        <w:tc>
          <w:tcPr>
            <w:tcW w:w="607" w:type="dxa"/>
          </w:tcPr>
          <w:p w14:paraId="560072E5" w14:textId="0CDA243A" w:rsidR="0018292C" w:rsidRPr="00481015" w:rsidRDefault="0018292C"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41.</w:t>
            </w:r>
          </w:p>
        </w:tc>
        <w:tc>
          <w:tcPr>
            <w:tcW w:w="4465" w:type="dxa"/>
          </w:tcPr>
          <w:p w14:paraId="77E4A2B0" w14:textId="7B2E6525"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Jakie będą zasady dotyczące </w:t>
            </w:r>
            <w:r w:rsidRPr="00481015">
              <w:rPr>
                <w:rFonts w:ascii="Lato" w:hAnsi="Lato"/>
                <w:b/>
                <w:bCs/>
                <w:sz w:val="20"/>
                <w:szCs w:val="20"/>
              </w:rPr>
              <w:t xml:space="preserve">finansowania kontraktów, godzin, łóżek? </w:t>
            </w:r>
            <w:r w:rsidRPr="00481015">
              <w:rPr>
                <w:rFonts w:ascii="Lato" w:hAnsi="Lato"/>
                <w:sz w:val="20"/>
                <w:szCs w:val="20"/>
              </w:rPr>
              <w:t>– takie pytania kierowane są przez powiaty</w:t>
            </w:r>
          </w:p>
        </w:tc>
        <w:tc>
          <w:tcPr>
            <w:tcW w:w="2831" w:type="dxa"/>
          </w:tcPr>
          <w:p w14:paraId="19422C22"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176A5AD4" w14:textId="2C0983FE"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Zgodnie ze stroną 41 uzasadnienia - Finansowanie oddziałów geriatrycznych będzie odbywało się w oparciu o zasady ogólne i na podstawie umów o udzielanie świadczeń opieki zdrowotnej, które podmiot leczniczy, w którym powstanie oddział realizujący szczególną opiekę geriatryczną zawarł z Narodowym Funduszem Zdrowia. Finansowanie oddziałów geriatrycznych szczegółowo regulowane jest w zarządzeniu Nr </w:t>
            </w:r>
            <w:r w:rsidRPr="00481015">
              <w:rPr>
                <w:rFonts w:ascii="Lato" w:hAnsi="Lato"/>
                <w:sz w:val="16"/>
                <w:szCs w:val="16"/>
              </w:rPr>
              <w:lastRenderedPageBreak/>
              <w:t>1/2022/DSOZ Prezesa Narodowego Funduszu Zdrowia z dnia 3 stycznia 2022 r. w sprawie określenia warunków zawierania i realizacji umów w rodzaju leczenie szpitalne oraz leczenie szpitalne –</w:t>
            </w:r>
            <w:r w:rsidR="0089731C">
              <w:rPr>
                <w:rFonts w:ascii="Lato" w:hAnsi="Lato"/>
                <w:sz w:val="16"/>
                <w:szCs w:val="16"/>
              </w:rPr>
              <w:t xml:space="preserve"> </w:t>
            </w:r>
            <w:r w:rsidRPr="00481015">
              <w:rPr>
                <w:rFonts w:ascii="Lato" w:hAnsi="Lato"/>
                <w:sz w:val="16"/>
                <w:szCs w:val="16"/>
              </w:rPr>
              <w:t>świadczenia wysokospecjalistyczne.</w:t>
            </w:r>
          </w:p>
          <w:p w14:paraId="662B41CB"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0FCBC306"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Powyższa kwestia została zawarta w uzasadnieniu do ww. ustawy, tj. zgodnie z art. 20 ust. 5 świadczenia opieki zdrowotnej, które będą realizowane w Centrum Zdrowia 75+, będą świadczeniami ambulatoryjnej opieki zdrowotnej w rozumieniu art. 10 ustawy z dnia 15 kwietnia 2011 r. o działalności leczniczej. Ambulatoryjne świadczenia zdrowotne obejmują świadczenia podstawowej lub specjalistycznej opieki zdrowotnej oraz świadczenia z zakresu rehabilitacji leczniczej, udzielane w warunkach niewymagających ich udzielania w trybie stacjonarnym i całodobowym w odpowiednio urządzonym, stałym pomieszczeniu. Udzielanie tych świadczeń może odbywać się w pomieszczeniach zakładu leczniczego, w tym w pojeździe przeznaczonym do udzielania tych świadczeń, lub w miejscu pobytu pacjenta. Świadczenia, które będą udzielane w Centrum Zdrowia 75+ zostaną uwzględnione w „rozporządzeniu koszykowym” w sprawie określenia wykazu świadczeń opieki zdrowotnej wymagających ustalenia odrębnego sposobu finansowania. Zgodnie z art. 45 do finansowania świadczeń realizowanych w Centrum Zdrowia 75+ stosuje się przepisy ustawy z dnia 27 sierpnia 2004 r. o świadczeniach opieki zdrowotnej finansowanych ze środków publicznych, z wyłączeniem przepisów </w:t>
            </w:r>
            <w:r w:rsidRPr="00481015">
              <w:rPr>
                <w:rFonts w:ascii="Lato" w:hAnsi="Lato"/>
                <w:sz w:val="16"/>
                <w:szCs w:val="16"/>
              </w:rPr>
              <w:lastRenderedPageBreak/>
              <w:t>dotyczących zawierania umów w trybie konkursu ofert i rokowań. Oznacza to, że świadczenia finansowane są na podstawie umów zawieranych przez Narodowy Fundusz Zdrowia z Centrum, jednak podstawą do zawarcia umowy nie jest postępowanie konkursowe a umieszczenie danego podmiotu zdrowotnego w wojewódzkim planie. Podmiot ten musi spełniać warunki do zawarcia umowy na realizację świadczeń w Centrum, określone przez Prezesa Narodowego Funduszu Zdrowia. Przepisy art. 146 ustawy z dnia 27 sierpnia 2004 r. o świadczeniach opieki zdrowotnej finansowanych ze środków publicznych stosuje się odpowiednio (dotyczy trybu określania przedmiotu postępowania i szczegółowych warunków umów).</w:t>
            </w:r>
          </w:p>
          <w:p w14:paraId="170577A0"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Finansowanie oddziałów geriatrycznych będzie odbywało się w oparciu o zasady ogólne i na podstawie umów o udzielanie świadczeń opieki zdrowotnej, które podmiot leczniczy, w którym powstanie oddział realizujący szczególną opiekę geriatryczną zawarł z Narodowym Funduszem Zdrowia. Finansowanie oddziałów geriatrycznych szczegółowo regulowane jest w zarządzeniu Nr 1/2022/DSOZ Prezesa Narodowego Funduszu Zdrowia z dnia 3 stycznia 2022 r. w sprawie określenia warunków zawierania i realizacji umów w rodzaju leczenie szpitalne oraz leczenie szpitalne – świadczenia wysokospecjalistyczne. Głównym mechanizmem rozliczania oddziałów geriatrycznych, podobnie jak ma to miejsce w całym systemie szpitalnym są tzw. 42 jednorodne grupy pacjentów (JGP), finansowanie zaś odbywa się w oparciu o ryczałt systemu </w:t>
            </w:r>
            <w:r w:rsidRPr="00481015">
              <w:rPr>
                <w:rFonts w:ascii="Lato" w:hAnsi="Lato"/>
                <w:sz w:val="16"/>
                <w:szCs w:val="16"/>
              </w:rPr>
              <w:lastRenderedPageBreak/>
              <w:t>podstawowego szpitalnego zabezpieczenia świadczeń.</w:t>
            </w:r>
          </w:p>
          <w:p w14:paraId="1AA3C0F0" w14:textId="2F509B0D"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W kwestii wyceny świadczeń – właściwe są wyjaśnienia do pkt 51 i 52.</w:t>
            </w:r>
          </w:p>
        </w:tc>
      </w:tr>
      <w:tr w:rsidR="0018292C" w:rsidRPr="00481015" w14:paraId="42FA9B39"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43CCF016" w14:textId="77777777" w:rsidR="0018292C" w:rsidRPr="00481015" w:rsidRDefault="0018292C" w:rsidP="001F41DD">
            <w:pPr>
              <w:rPr>
                <w:rFonts w:ascii="Lato" w:hAnsi="Lato"/>
                <w:sz w:val="20"/>
                <w:szCs w:val="20"/>
              </w:rPr>
            </w:pPr>
          </w:p>
        </w:tc>
        <w:tc>
          <w:tcPr>
            <w:tcW w:w="607" w:type="dxa"/>
          </w:tcPr>
          <w:p w14:paraId="64A01F5E" w14:textId="7CDDFE73" w:rsidR="0018292C" w:rsidRPr="00481015" w:rsidRDefault="0018292C"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42.</w:t>
            </w:r>
          </w:p>
        </w:tc>
        <w:tc>
          <w:tcPr>
            <w:tcW w:w="4465" w:type="dxa"/>
          </w:tcPr>
          <w:p w14:paraId="282358D5" w14:textId="3F203122"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Jakie są możliwości </w:t>
            </w:r>
            <w:r w:rsidRPr="00481015">
              <w:rPr>
                <w:rFonts w:ascii="Lato" w:hAnsi="Lato"/>
                <w:b/>
                <w:bCs/>
                <w:sz w:val="20"/>
                <w:szCs w:val="20"/>
              </w:rPr>
              <w:t>zwiększenia kontraktów w szpitalach, które oddziały geriatryczne na ten czas posiadają</w:t>
            </w:r>
            <w:r w:rsidRPr="00481015">
              <w:rPr>
                <w:rFonts w:ascii="Lato" w:hAnsi="Lato"/>
                <w:sz w:val="20"/>
                <w:szCs w:val="20"/>
              </w:rPr>
              <w:t>?</w:t>
            </w:r>
          </w:p>
        </w:tc>
        <w:tc>
          <w:tcPr>
            <w:tcW w:w="2831" w:type="dxa"/>
          </w:tcPr>
          <w:p w14:paraId="6F1398E0"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02C880AD" w14:textId="504591E3"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Rozpatrując kwestię finansowania świadczeń opieki zdrowotnej przez Narodowy Fundusz Zdrowia (NFZ), należy mieć na uwadze fakt, że środki finansowe, jakimi dysponuje NFZ i jakie kieruje na finansowanie świadczeń opieki zdrowotnej są ograniczone, bowiem pochodzą one w szczególności ze składek na ubezpieczenie zdrowotne. Tym samym wartość finansowanych przez NFZ świadczeń opieki zdrowotnej w danym roku zdeterminowana jest poziomem środków zapisanych na ten cel w planie finansowym funduszu zatwierdzonym przez ministra zdrowia w porozumieniu z ministrem finansów.</w:t>
            </w:r>
          </w:p>
          <w:p w14:paraId="60FD18C1"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W odniesieniu do podmiotów finansowanych w oparciu o ryczałt systemu podstawowego szpitalnego zabezpieczenia świadczeń należy wskazać, że zgodnie z art. 136c ust. 4 ustawy o świadczeniach opieki zdrowotnej finansowanych ze środków publicznych: „Przy ustalaniu wysokości ryczałtu systemu zabezpieczenia w sytuacjach związanych z przerwą w udzielaniu świadczeń opieki zdrowotnej przez świadczeniodawcę, o której mowa w przepisach wydanych na podstawie art. 137 ust. 2 ustawy, albo w innych uzasadnionych sytuacjach związanych ze zmianą zakresu działalności leczniczej świadczeniodawcy, która będzie mieć albo miała wpływ na dane określone w art. 136c ust. 3 pkt 2 ustawy, jest możliwe dokonanie odpowiedniej korekty wysokości ryczałtu” (możliwe zmniejszenie/zwiększenie liczby </w:t>
            </w:r>
            <w:r w:rsidRPr="00481015">
              <w:rPr>
                <w:rFonts w:ascii="Lato" w:hAnsi="Lato"/>
                <w:sz w:val="16"/>
                <w:szCs w:val="16"/>
              </w:rPr>
              <w:lastRenderedPageBreak/>
              <w:t xml:space="preserve">jednostek sprawozdawczych, a w konsekwencji wartości ryczałtu PSZ, na podstawie ww. art. 136c ust. 4 ustawy). </w:t>
            </w:r>
          </w:p>
          <w:p w14:paraId="68AB8EE3" w14:textId="2A6CCC0F"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Jednocześnie pragnę podkreślić, że nakłady na koszty świadczeń opieki zdrowotnej NFZ systematycznie rosną - zgodnie z planem finansowym NFZ na 2024 rok (plan aktualny, wg stanu na dzień 29.01.2024 r.) wynoszą 157,5 mld zł i są wyższe niż w 2019 r. o 67,4 mld zł tj. 74,73%. Poniżej przedstawiono wartość planowanych nakładów na 2024 r. w następujących rodzajach świadczeń oraz ich wzrost w stosunku do wykonania planu finansowego 2019 r.:</w:t>
            </w:r>
          </w:p>
          <w:p w14:paraId="18958517"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ambulatoryjna opieka specjalistyczna: 15 mld zł (wzrost o 9,9 mld zł tj. 193,37%),</w:t>
            </w:r>
          </w:p>
          <w:p w14:paraId="3B1F890A"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podstawowa opieka zdrowotna: 17,5 mld zł (wzrost o 5 mld zł tj. 40,57%),</w:t>
            </w:r>
          </w:p>
          <w:p w14:paraId="43D91BA0"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leczenie szpitalne: 79,3 mld zł (wzrost o 31,9 mld zł tj. 67,35%),</w:t>
            </w:r>
          </w:p>
          <w:p w14:paraId="7B059E8A"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rehabilitacja lecznicza: 6,2 mld zł (wzrost o 3,2 mld zł tj. 107,33%),</w:t>
            </w:r>
          </w:p>
          <w:p w14:paraId="21A01709"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świadczenia pielęgnacyjne i opiekuńcze w ramach opieki długoterminowej: 3,7 mld zł (wzrost o 1,8 mld zł tj. 98,61%).</w:t>
            </w:r>
          </w:p>
          <w:p w14:paraId="15A07456" w14:textId="3298119C"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Ponadto należy wskazać, że zgodnie z uzasadnieniem do ww. ustawy rozwiązania przewidują następujące skutki finansowe dla NFZ: </w:t>
            </w:r>
          </w:p>
          <w:p w14:paraId="479BC655" w14:textId="77777777"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 Finansowanie świadczeń realizowanych w Centrum Zdrowia 75+. Zgodnie z szacunkami w pierwszym roku funkcjonowania ustawy na ten cel zostanie przeznaczone od 210 mln do 630 mln zł (w zależności od tempa powstawania placówek Centrum). W projekcie ustawy przyjęto, że w ciągu pięciu lat od wejścia w życie powinno powstać </w:t>
            </w:r>
            <w:r w:rsidRPr="00481015">
              <w:rPr>
                <w:rFonts w:ascii="Lato" w:hAnsi="Lato"/>
                <w:sz w:val="16"/>
                <w:szCs w:val="16"/>
              </w:rPr>
              <w:lastRenderedPageBreak/>
              <w:t xml:space="preserve">ok. 300 Centrów w skali kraju. Roczny koszt ich prowadzenia będzie kształtował się na poziomie ok. 2 102 mln zł. </w:t>
            </w:r>
          </w:p>
          <w:p w14:paraId="5DDCBDBD" w14:textId="3E148278" w:rsidR="0018292C" w:rsidRPr="00481015" w:rsidRDefault="0018292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związane z finansowaniem świadczeń realizowanych w szpitalnych oddziałach geriatrycznych (świadczenia będą realizowane na dotychczasowych zasadach).</w:t>
            </w:r>
          </w:p>
        </w:tc>
      </w:tr>
      <w:tr w:rsidR="0018292C" w:rsidRPr="00481015" w14:paraId="416092C3"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C806959" w14:textId="77777777" w:rsidR="0018292C" w:rsidRPr="00481015" w:rsidRDefault="0018292C" w:rsidP="001F41DD">
            <w:pPr>
              <w:rPr>
                <w:rFonts w:ascii="Lato" w:hAnsi="Lato"/>
                <w:sz w:val="20"/>
                <w:szCs w:val="20"/>
              </w:rPr>
            </w:pPr>
          </w:p>
        </w:tc>
        <w:tc>
          <w:tcPr>
            <w:tcW w:w="607" w:type="dxa"/>
          </w:tcPr>
          <w:p w14:paraId="1A7E4B60" w14:textId="71A69715" w:rsidR="0018292C" w:rsidRPr="00481015" w:rsidRDefault="0018292C"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45.</w:t>
            </w:r>
          </w:p>
        </w:tc>
        <w:tc>
          <w:tcPr>
            <w:tcW w:w="4465" w:type="dxa"/>
          </w:tcPr>
          <w:p w14:paraId="35563F71" w14:textId="6F78EC1C"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W jaki sposób będą </w:t>
            </w:r>
            <w:r w:rsidRPr="00481015">
              <w:rPr>
                <w:rFonts w:ascii="Lato" w:hAnsi="Lato"/>
                <w:b/>
                <w:bCs/>
                <w:sz w:val="20"/>
                <w:szCs w:val="20"/>
              </w:rPr>
              <w:t>finansowane oddziały oraz CZ75+?</w:t>
            </w:r>
          </w:p>
        </w:tc>
        <w:tc>
          <w:tcPr>
            <w:tcW w:w="2831" w:type="dxa"/>
          </w:tcPr>
          <w:p w14:paraId="48CCB029"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34FA2D1D"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7CA173FE" w14:textId="77777777"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6F8EF420" w14:textId="58EBDBE5" w:rsidR="0018292C" w:rsidRPr="00481015" w:rsidRDefault="0018292C"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Odpowiedź analogicznie jak do pkt 41</w:t>
            </w:r>
          </w:p>
        </w:tc>
      </w:tr>
      <w:tr w:rsidR="00030972" w:rsidRPr="00481015" w14:paraId="6499471A"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45E447E4" w14:textId="22111F2F" w:rsidR="001F41DD" w:rsidRPr="00481015" w:rsidRDefault="001F41DD" w:rsidP="001F41DD">
            <w:pPr>
              <w:jc w:val="center"/>
              <w:rPr>
                <w:rFonts w:ascii="Lato" w:hAnsi="Lato"/>
                <w:sz w:val="20"/>
                <w:szCs w:val="20"/>
              </w:rPr>
            </w:pPr>
            <w:r w:rsidRPr="00481015">
              <w:rPr>
                <w:rFonts w:ascii="Lato" w:hAnsi="Lato"/>
                <w:sz w:val="20"/>
                <w:szCs w:val="20"/>
              </w:rPr>
              <w:t xml:space="preserve">Pomorski UW </w:t>
            </w:r>
            <w:r w:rsidRPr="00481015">
              <w:rPr>
                <w:rFonts w:ascii="Lato" w:hAnsi="Lato"/>
                <w:sz w:val="20"/>
                <w:szCs w:val="20"/>
              </w:rPr>
              <w:br/>
            </w:r>
            <w:r w:rsidRPr="00481015">
              <w:rPr>
                <w:rFonts w:ascii="Lato" w:hAnsi="Lato"/>
                <w:sz w:val="20"/>
                <w:szCs w:val="20"/>
              </w:rPr>
              <w:br/>
            </w:r>
            <w:r w:rsidRPr="00481015">
              <w:rPr>
                <w:rFonts w:ascii="Lato" w:hAnsi="Lato"/>
                <w:i/>
                <w:iCs/>
                <w:sz w:val="20"/>
                <w:szCs w:val="20"/>
              </w:rPr>
              <w:t>(uwagi Pani dr n. med. Hanny Kujawskiej-Daneckiej, konsultanta wojewódzkiego w dziedzinie geriatrii)</w:t>
            </w:r>
          </w:p>
          <w:p w14:paraId="3E1743E2" w14:textId="13CB2085" w:rsidR="001F41DD" w:rsidRPr="00481015" w:rsidRDefault="001F41DD" w:rsidP="001F41DD">
            <w:pPr>
              <w:rPr>
                <w:rFonts w:ascii="Lato" w:hAnsi="Lato"/>
                <w:sz w:val="20"/>
                <w:szCs w:val="20"/>
              </w:rPr>
            </w:pPr>
          </w:p>
        </w:tc>
        <w:tc>
          <w:tcPr>
            <w:tcW w:w="607" w:type="dxa"/>
          </w:tcPr>
          <w:p w14:paraId="7C18A8B2" w14:textId="5225DA2A" w:rsidR="001F41DD"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46.</w:t>
            </w:r>
          </w:p>
        </w:tc>
        <w:tc>
          <w:tcPr>
            <w:tcW w:w="4465" w:type="dxa"/>
          </w:tcPr>
          <w:p w14:paraId="1D9403B4" w14:textId="3D3839EA"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Prośba o odniesienie się do rozważań zawartych w kolejnej kolumnie</w:t>
            </w:r>
          </w:p>
        </w:tc>
        <w:tc>
          <w:tcPr>
            <w:tcW w:w="2831" w:type="dxa"/>
          </w:tcPr>
          <w:p w14:paraId="2B2BE4D3"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i/>
                <w:iCs/>
                <w:sz w:val="20"/>
                <w:szCs w:val="20"/>
              </w:rPr>
              <w:t>Ad art.11 pkt. 2</w:t>
            </w:r>
            <w:r w:rsidRPr="00481015">
              <w:rPr>
                <w:rFonts w:ascii="Lato" w:hAnsi="Lato"/>
                <w:sz w:val="20"/>
                <w:szCs w:val="20"/>
              </w:rPr>
              <w:t xml:space="preserve"> – dla województwa pomorskiego (ok. 500 tys. osób po 60 roku życia) oznacza </w:t>
            </w:r>
          </w:p>
          <w:p w14:paraId="4DF64719"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to stworzenie ok. 250 łóżek szpitalnych w ramach oddziałów geriatrycznych. Obecnie tych łóżek jest: </w:t>
            </w:r>
          </w:p>
          <w:p w14:paraId="7C1258C1" w14:textId="77777777" w:rsidR="001F41DD" w:rsidRPr="00481015" w:rsidRDefault="001F41DD" w:rsidP="001F41DD">
            <w:pPr>
              <w:pStyle w:val="Akapitzlist"/>
              <w:numPr>
                <w:ilvl w:val="0"/>
                <w:numId w:val="27"/>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b/>
                <w:bCs/>
                <w:sz w:val="20"/>
                <w:szCs w:val="20"/>
              </w:rPr>
              <w:t>Szpital geriatryczny w Sopocie</w:t>
            </w:r>
            <w:r w:rsidRPr="00481015">
              <w:rPr>
                <w:rFonts w:ascii="Lato" w:hAnsi="Lato"/>
                <w:sz w:val="20"/>
                <w:szCs w:val="20"/>
              </w:rPr>
              <w:t xml:space="preserve"> – 25 łóżek</w:t>
            </w:r>
          </w:p>
          <w:p w14:paraId="6E10051F" w14:textId="77777777" w:rsidR="001F41DD" w:rsidRPr="00481015" w:rsidRDefault="001F41DD" w:rsidP="001F41DD">
            <w:pPr>
              <w:pStyle w:val="Akapitzlist"/>
              <w:numPr>
                <w:ilvl w:val="0"/>
                <w:numId w:val="27"/>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b/>
                <w:bCs/>
                <w:sz w:val="20"/>
                <w:szCs w:val="20"/>
              </w:rPr>
              <w:t>Szpital UCK w Gdańsku</w:t>
            </w:r>
            <w:r w:rsidRPr="00481015">
              <w:rPr>
                <w:rFonts w:ascii="Lato" w:hAnsi="Lato"/>
                <w:sz w:val="20"/>
                <w:szCs w:val="20"/>
              </w:rPr>
              <w:t xml:space="preserve"> – oddział jest 21- łóżkowy, ale obecnie jest to oddział internistyczno-geriatryczny, jeśli chodzi o kontrakt, ponadto hospitalizowani są też tam pacjenci reumatologiczni zgodnie z nazwą kliniki. W związku z powyższym, żeby móc wliczyć ok. 18 łóżek do tego systemu</w:t>
            </w:r>
            <w:r w:rsidRPr="00481015">
              <w:rPr>
                <w:rFonts w:ascii="Lato" w:hAnsi="Lato"/>
                <w:b/>
                <w:bCs/>
                <w:sz w:val="20"/>
                <w:szCs w:val="20"/>
              </w:rPr>
              <w:t>, kontrakt musiał by się zdecydowanie zwiększyć.</w:t>
            </w:r>
          </w:p>
          <w:p w14:paraId="525ED89F" w14:textId="1FADEAA8" w:rsidR="001F41DD" w:rsidRPr="00481015" w:rsidRDefault="001F41DD" w:rsidP="001F41DD">
            <w:pPr>
              <w:pStyle w:val="Akapitzlist"/>
              <w:numPr>
                <w:ilvl w:val="0"/>
                <w:numId w:val="27"/>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b/>
                <w:bCs/>
                <w:sz w:val="20"/>
                <w:szCs w:val="20"/>
              </w:rPr>
              <w:lastRenderedPageBreak/>
              <w:t>Szpital w Lęborku</w:t>
            </w:r>
            <w:r w:rsidRPr="00481015">
              <w:rPr>
                <w:rFonts w:ascii="Lato" w:hAnsi="Lato"/>
                <w:sz w:val="20"/>
                <w:szCs w:val="20"/>
              </w:rPr>
              <w:t xml:space="preserve"> – oddział internistyczno-kardiologiczno-geriatryczny; wysokość kontraktu wystarcza na ok. 6 łóżek. Podobnie więc jak w przypadku UCK – </w:t>
            </w:r>
            <w:r w:rsidRPr="00481015">
              <w:rPr>
                <w:rFonts w:ascii="Lato" w:hAnsi="Lato"/>
                <w:b/>
                <w:bCs/>
                <w:sz w:val="20"/>
                <w:szCs w:val="20"/>
              </w:rPr>
              <w:t>aby wyższą liczbę łóżek wliczyć do zalecanych, kontrakt musiałby się zdecydowanie zwiększyć.</w:t>
            </w:r>
          </w:p>
        </w:tc>
        <w:tc>
          <w:tcPr>
            <w:tcW w:w="2942" w:type="dxa"/>
          </w:tcPr>
          <w:p w14:paraId="1BA92980" w14:textId="6B5FCD82"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lastRenderedPageBreak/>
              <w:t>Kwestia dotycząca zwiększenia kontraktu została przedstawiona w odp. na pytanie 42</w:t>
            </w:r>
          </w:p>
        </w:tc>
      </w:tr>
      <w:tr w:rsidR="00B07E62" w:rsidRPr="00481015" w14:paraId="4D0A0771"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34074CC2" w14:textId="77777777" w:rsidR="001F41DD" w:rsidRPr="00481015" w:rsidRDefault="001F41DD" w:rsidP="001F41DD">
            <w:pPr>
              <w:rPr>
                <w:rFonts w:ascii="Lato" w:hAnsi="Lato"/>
                <w:sz w:val="20"/>
                <w:szCs w:val="20"/>
              </w:rPr>
            </w:pPr>
          </w:p>
        </w:tc>
        <w:tc>
          <w:tcPr>
            <w:tcW w:w="607" w:type="dxa"/>
          </w:tcPr>
          <w:p w14:paraId="5431101D" w14:textId="54B99C0A" w:rsidR="001F41DD"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57.</w:t>
            </w:r>
          </w:p>
        </w:tc>
        <w:tc>
          <w:tcPr>
            <w:tcW w:w="4465" w:type="dxa"/>
          </w:tcPr>
          <w:p w14:paraId="5CC377F7" w14:textId="2C3CFEB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Niezbędne jest jak najszybsze wyjaśnienie kwestii </w:t>
            </w:r>
            <w:r w:rsidRPr="00481015">
              <w:rPr>
                <w:rFonts w:ascii="Lato" w:hAnsi="Lato"/>
                <w:b/>
                <w:bCs/>
                <w:sz w:val="20"/>
                <w:szCs w:val="20"/>
              </w:rPr>
              <w:t>finansowania świadczeń w centrach, przekazanie wytycznych odnośnie wpisów do RPWDL</w:t>
            </w:r>
            <w:r w:rsidRPr="00481015">
              <w:rPr>
                <w:rFonts w:ascii="Lato" w:hAnsi="Lato"/>
                <w:sz w:val="20"/>
                <w:szCs w:val="20"/>
              </w:rPr>
              <w:t xml:space="preserve"> (kod rejestrowy) oraz ustalenie </w:t>
            </w:r>
            <w:r w:rsidRPr="00481015">
              <w:rPr>
                <w:rFonts w:ascii="Lato" w:hAnsi="Lato"/>
                <w:b/>
                <w:bCs/>
                <w:sz w:val="20"/>
                <w:szCs w:val="20"/>
              </w:rPr>
              <w:t>czy powiaty, które w celu utworzenia centrum będą musiały tworzyć podmioty lecznicze, będą mogły korzystać z Funduszu Medycznego</w:t>
            </w:r>
            <w:r w:rsidRPr="00481015">
              <w:rPr>
                <w:rFonts w:ascii="Lato" w:hAnsi="Lato"/>
                <w:sz w:val="20"/>
                <w:szCs w:val="20"/>
              </w:rPr>
              <w:t>.</w:t>
            </w:r>
          </w:p>
          <w:p w14:paraId="17188D1D"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831" w:type="dxa"/>
          </w:tcPr>
          <w:p w14:paraId="23EA54D3"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6FC4DA79" w14:textId="0DB242D8"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Odpowiedź analogicznie jak do pkt 41 (w części dot.  finansowania świadczeń w centrach)</w:t>
            </w:r>
          </w:p>
        </w:tc>
      </w:tr>
      <w:tr w:rsidR="00B07E62" w:rsidRPr="00481015" w14:paraId="6A673AC4"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63B6DEB8" w14:textId="169C117B" w:rsidR="001F41DD" w:rsidRPr="00481015" w:rsidRDefault="001F41DD" w:rsidP="001F41DD">
            <w:pPr>
              <w:jc w:val="center"/>
              <w:rPr>
                <w:rFonts w:ascii="Lato" w:hAnsi="Lato"/>
                <w:b w:val="0"/>
                <w:bCs w:val="0"/>
                <w:sz w:val="20"/>
                <w:szCs w:val="20"/>
              </w:rPr>
            </w:pPr>
            <w:r w:rsidRPr="00481015">
              <w:rPr>
                <w:rFonts w:ascii="Lato" w:hAnsi="Lato"/>
                <w:sz w:val="20"/>
                <w:szCs w:val="20"/>
              </w:rPr>
              <w:t>Kujawsko-Pomorski UW</w:t>
            </w:r>
          </w:p>
        </w:tc>
        <w:tc>
          <w:tcPr>
            <w:tcW w:w="607" w:type="dxa"/>
          </w:tcPr>
          <w:p w14:paraId="57E4F796" w14:textId="454911A6" w:rsidR="001F41DD"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58.</w:t>
            </w:r>
          </w:p>
        </w:tc>
        <w:tc>
          <w:tcPr>
            <w:tcW w:w="4465" w:type="dxa"/>
          </w:tcPr>
          <w:p w14:paraId="798B202B" w14:textId="64C44EB0"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w:t>
            </w:r>
            <w:r w:rsidRPr="00481015">
              <w:rPr>
                <w:rFonts w:ascii="Lato" w:hAnsi="Lato"/>
                <w:b/>
                <w:bCs/>
                <w:sz w:val="20"/>
                <w:szCs w:val="20"/>
              </w:rPr>
              <w:t>informacje dotyczące</w:t>
            </w:r>
            <w:r w:rsidRPr="00481015">
              <w:rPr>
                <w:rFonts w:ascii="Lato" w:hAnsi="Lato"/>
                <w:sz w:val="20"/>
                <w:szCs w:val="20"/>
              </w:rPr>
              <w:t xml:space="preserve"> </w:t>
            </w:r>
            <w:r w:rsidRPr="00481015">
              <w:rPr>
                <w:rFonts w:ascii="Lato" w:hAnsi="Lato"/>
                <w:b/>
                <w:bCs/>
                <w:sz w:val="20"/>
                <w:szCs w:val="20"/>
              </w:rPr>
              <w:t xml:space="preserve">inwestycji </w:t>
            </w:r>
            <w:r w:rsidRPr="00481015">
              <w:rPr>
                <w:rFonts w:ascii="Lato" w:hAnsi="Lato"/>
                <w:sz w:val="20"/>
                <w:szCs w:val="20"/>
              </w:rPr>
              <w:t xml:space="preserve">planowanych w związku z utworzeniem CZ75+ </w:t>
            </w:r>
            <w:r w:rsidRPr="00481015">
              <w:rPr>
                <w:rFonts w:ascii="Lato" w:hAnsi="Lato"/>
                <w:b/>
                <w:bCs/>
                <w:sz w:val="20"/>
                <w:szCs w:val="20"/>
              </w:rPr>
              <w:t>mają uwzględniać również zakup sprzętu</w:t>
            </w:r>
            <w:r w:rsidRPr="00481015">
              <w:rPr>
                <w:rFonts w:ascii="Lato" w:hAnsi="Lato"/>
                <w:sz w:val="20"/>
                <w:szCs w:val="20"/>
              </w:rPr>
              <w:t>?</w:t>
            </w:r>
          </w:p>
        </w:tc>
        <w:tc>
          <w:tcPr>
            <w:tcW w:w="2831" w:type="dxa"/>
          </w:tcPr>
          <w:p w14:paraId="695DFDF7"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55E4DFBF" w14:textId="0754C2F3"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Zgodnie z zasadami szacowania i określania wartości kosztorysowej inwestycji, o której mowa w rozporządzeniu Rady Ministrów z dnia 2 grudnia 2010 r. w sprawie szczegółowego sposobu i trybu finansowania inwestycji z budżetu państwa  (Dz. U. Nr 238, poz. 1579), do wartości inwestycji wlicza się zakupy środków trwałych (sprzętu).</w:t>
            </w:r>
          </w:p>
        </w:tc>
      </w:tr>
      <w:tr w:rsidR="00B07E62" w:rsidRPr="00481015" w14:paraId="1854A2F9"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5A4D424E" w14:textId="0202E08E" w:rsidR="001F41DD" w:rsidRPr="00481015" w:rsidRDefault="001F41DD" w:rsidP="001F41DD">
            <w:pPr>
              <w:rPr>
                <w:rFonts w:ascii="Lato" w:hAnsi="Lato"/>
                <w:sz w:val="20"/>
                <w:szCs w:val="20"/>
              </w:rPr>
            </w:pPr>
          </w:p>
        </w:tc>
        <w:tc>
          <w:tcPr>
            <w:tcW w:w="607" w:type="dxa"/>
          </w:tcPr>
          <w:p w14:paraId="0B208636" w14:textId="3E9F9ECC" w:rsidR="001F41DD"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59.</w:t>
            </w:r>
          </w:p>
        </w:tc>
        <w:tc>
          <w:tcPr>
            <w:tcW w:w="4465" w:type="dxa"/>
          </w:tcPr>
          <w:p w14:paraId="60F5A345" w14:textId="523A3BE3"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Jak należy rozumieć użyte w ustawie słowo "</w:t>
            </w:r>
            <w:r w:rsidRPr="00481015">
              <w:rPr>
                <w:rFonts w:ascii="Lato" w:hAnsi="Lato"/>
                <w:b/>
                <w:bCs/>
                <w:sz w:val="20"/>
                <w:szCs w:val="20"/>
              </w:rPr>
              <w:t>powiat</w:t>
            </w:r>
            <w:r w:rsidRPr="00481015">
              <w:rPr>
                <w:rFonts w:ascii="Lato" w:hAnsi="Lato"/>
                <w:sz w:val="20"/>
                <w:szCs w:val="20"/>
              </w:rPr>
              <w:t xml:space="preserve">"? Jakich </w:t>
            </w:r>
            <w:r w:rsidRPr="00481015">
              <w:rPr>
                <w:rFonts w:ascii="Lato" w:hAnsi="Lato"/>
                <w:b/>
                <w:bCs/>
                <w:sz w:val="20"/>
                <w:szCs w:val="20"/>
              </w:rPr>
              <w:t>organów władzy w powiecie dotyczą przepisy</w:t>
            </w:r>
            <w:r w:rsidRPr="00481015">
              <w:rPr>
                <w:rFonts w:ascii="Lato" w:hAnsi="Lato"/>
                <w:sz w:val="20"/>
                <w:szCs w:val="20"/>
              </w:rPr>
              <w:t xml:space="preserve">? Czy w sformułowaniu "powiat" mieszczą się </w:t>
            </w:r>
            <w:r w:rsidRPr="00481015">
              <w:rPr>
                <w:rFonts w:ascii="Lato" w:hAnsi="Lato"/>
                <w:b/>
                <w:bCs/>
                <w:sz w:val="20"/>
                <w:szCs w:val="20"/>
              </w:rPr>
              <w:t>również miasta na prawach powiatu</w:t>
            </w:r>
            <w:r w:rsidRPr="00481015">
              <w:rPr>
                <w:rFonts w:ascii="Lato" w:hAnsi="Lato"/>
                <w:sz w:val="20"/>
                <w:szCs w:val="20"/>
              </w:rPr>
              <w:t>?</w:t>
            </w:r>
          </w:p>
        </w:tc>
        <w:tc>
          <w:tcPr>
            <w:tcW w:w="2831" w:type="dxa"/>
          </w:tcPr>
          <w:p w14:paraId="4A85855A"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2109FFC6"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 dot. miast na prawach powiatu została wskazana przy pyt. 2.</w:t>
            </w:r>
          </w:p>
          <w:p w14:paraId="5971A207"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7F59AE20" w14:textId="6775B9BB"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W zakresie pierwszej części pytania należy zaznaczyć, że ustawa posługuje się ogólnym pojęciem powiatu nie precyzując czy konkretne działania powiatu wskazane przez ustawę powinny być wykonywane przez radę </w:t>
            </w:r>
            <w:r w:rsidRPr="00481015">
              <w:rPr>
                <w:rFonts w:ascii="Lato" w:hAnsi="Lato"/>
                <w:sz w:val="16"/>
                <w:szCs w:val="16"/>
              </w:rPr>
              <w:lastRenderedPageBreak/>
              <w:t>powiatu, czy przez zarząd powiatu. Mając na uwadze powyższe, w celu rozstrzygnięcia podziału kompetencji organów powiatu (rada powiatu oraz zarząd powiatu) na gruncie zadań wynikających z ustawy należy sięgnąć do wykładni systemowej odnośnie do podziału ww. kompetencji wskazanych w ustawie o powiecie. Rada powiatu jest organem stanowiącym i kontrolnym powiatu, a jej zadania zostały enumeratywnie wskazane w art. 12 ustawy o powiecie. Można przyjąć, że rada powiatu jako organ stanowiąco-kontrolny jest właściwy przede wszystkim do podejmowania pewnych ogólnych działań, o znaczeniu, z punktu widzenia powiatu, strategicznym. Zadania przekazane radzie powiatu mają w dużej mierze charakter kierunkowy. Organ ten wyznacza bowiem przede wszystkim pewien kurs, którym podążać mają sprawy powiatowe. Chodzi tutaj zatem o kwestie fundamentalne z perspektywy kierunków rozwoju powiatu. Natomiast zarząd powiatu jako organ wykonawczy wykonuje uchwały rady powiatu oraz zadania powiatu określone przepisami prawa. W art. 32 ust. 2 ustawy o powiecie zostały wskazane przykładowe zadania zarządu powiatu. Zarząd powiatu jest organem wykonawczym powiatu</w:t>
            </w:r>
            <w:r w:rsidR="0089731C">
              <w:rPr>
                <w:rFonts w:ascii="Lato" w:hAnsi="Lato"/>
                <w:sz w:val="16"/>
                <w:szCs w:val="16"/>
              </w:rPr>
              <w:t>,</w:t>
            </w:r>
            <w:r w:rsidRPr="00481015">
              <w:rPr>
                <w:rFonts w:ascii="Lato" w:hAnsi="Lato"/>
                <w:sz w:val="16"/>
                <w:szCs w:val="16"/>
              </w:rPr>
              <w:t xml:space="preserve"> stąd jego zadania wiążą się z realizacją przede wszystkim tej funkcji. Jednocześnie art. 32 ust. 3 ustawy o powiecie określa więź organizacyjną występującą pomiędzy organami powiatu. Rada jest organem stanowiącym i kontrolnym, zarząd – organem wykonawczym. Zgodnie z art. 32 ust. 1 ustawy o powiecie zarząd powiatu wykonuje również zadania </w:t>
            </w:r>
            <w:r w:rsidRPr="00481015">
              <w:rPr>
                <w:rFonts w:ascii="Lato" w:hAnsi="Lato"/>
                <w:sz w:val="16"/>
                <w:szCs w:val="16"/>
              </w:rPr>
              <w:lastRenderedPageBreak/>
              <w:t>określone przez przepisy prawa materialnego. Dlatego można przyjąć, że na podstawie art. 13 ust. 2 ustawy w zw. z art. 32 ust. 1 ustawy o powiecie to zarząd powiatu jest organem decyzyjnym w zakresie wdrażania przepisów ustawy.</w:t>
            </w:r>
          </w:p>
        </w:tc>
      </w:tr>
      <w:tr w:rsidR="00B07E62" w:rsidRPr="00481015" w14:paraId="4FDC5A50"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7CE76C4E" w14:textId="77777777" w:rsidR="001F41DD" w:rsidRPr="00481015" w:rsidRDefault="001F41DD" w:rsidP="001F41DD">
            <w:pPr>
              <w:rPr>
                <w:rFonts w:ascii="Lato" w:hAnsi="Lato"/>
                <w:sz w:val="20"/>
                <w:szCs w:val="20"/>
              </w:rPr>
            </w:pPr>
          </w:p>
        </w:tc>
        <w:tc>
          <w:tcPr>
            <w:tcW w:w="607" w:type="dxa"/>
          </w:tcPr>
          <w:p w14:paraId="5AB55866" w14:textId="70B31467" w:rsidR="001F41DD"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69.</w:t>
            </w:r>
          </w:p>
        </w:tc>
        <w:tc>
          <w:tcPr>
            <w:tcW w:w="4465" w:type="dxa"/>
            <w:shd w:val="clear" w:color="auto" w:fill="auto"/>
          </w:tcPr>
          <w:p w14:paraId="5532DF20" w14:textId="455BE411"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Podczas spotkania roboczego, została przekazana informacja, iż </w:t>
            </w:r>
            <w:r w:rsidRPr="00481015">
              <w:rPr>
                <w:rFonts w:ascii="Lato" w:hAnsi="Lato"/>
                <w:b/>
                <w:bCs/>
                <w:sz w:val="20"/>
                <w:szCs w:val="20"/>
              </w:rPr>
              <w:t>zatwierdzony przez ministra właściwego do spraw zdrowia wojewódzki plan działania szczególnej opieki geriatrycznej</w:t>
            </w:r>
            <w:r w:rsidRPr="00481015">
              <w:rPr>
                <w:rFonts w:ascii="Lato" w:hAnsi="Lato"/>
                <w:sz w:val="20"/>
                <w:szCs w:val="20"/>
              </w:rPr>
              <w:t xml:space="preserve"> ma zostać udostępniony w BIP Urzędu z dniem 01.01.2025 r., aby zachować tę datę jesteśmy zobligowani udostępnić projekt wojewódzkiego planu w BIP Urzędu do 15 czerwca 2024 r., w celu przedstawienia przez zainteresowane podmioty opinii dot. projektu (art. 14. ust. 1), następnie po rozpatrzeniu opinii podmiotów, wojewoda w porozumieniu z OW NFZ przygotowuje projekt wojewódzkiego planu, który powinien zostać przekazany do Ministerstwa Zdrowia do 15 września 2024 r., w celu jego zatwierdzenia, aby został spełniony warunek art. 15 ust. 1 i 3?</w:t>
            </w:r>
          </w:p>
        </w:tc>
        <w:tc>
          <w:tcPr>
            <w:tcW w:w="2831" w:type="dxa"/>
            <w:shd w:val="clear" w:color="auto" w:fill="auto"/>
          </w:tcPr>
          <w:p w14:paraId="1BA6B2F5"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shd w:val="clear" w:color="auto" w:fill="auto"/>
          </w:tcPr>
          <w:p w14:paraId="14A5401D" w14:textId="77777777" w:rsidR="001F41DD"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Podczas spotkania nie został wyznaczony oficjalny i wiążący termin opracowania wojewódzkich planów działania szczególnej opieki geriatrycznej. Trwały jedynie </w:t>
            </w:r>
            <w:r w:rsidR="0089731C">
              <w:rPr>
                <w:rFonts w:ascii="Lato" w:hAnsi="Lato"/>
                <w:sz w:val="16"/>
                <w:szCs w:val="16"/>
              </w:rPr>
              <w:t>dyskusje</w:t>
            </w:r>
            <w:r w:rsidRPr="00481015">
              <w:rPr>
                <w:rFonts w:ascii="Lato" w:hAnsi="Lato"/>
                <w:sz w:val="16"/>
                <w:szCs w:val="16"/>
              </w:rPr>
              <w:t xml:space="preserve"> robocze odnośnie orientacyjnych terminów, które przy uwzględnieniu wszystkich prac przygotowawczych oraz konsultacji, byłyby realne w tym wypadku. Należy podkreślić, że w ustawie o szczególnej opiece geriatrycznej nie został określony termin, w którym wojewoda byłby zobligowany do opublikowania planu. </w:t>
            </w:r>
          </w:p>
          <w:p w14:paraId="652C1CCB" w14:textId="262B1E70" w:rsidR="0089731C" w:rsidRPr="00481015" w:rsidRDefault="0089731C"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Ewentualne dalsze ustalenia precyzujące terminy</w:t>
            </w:r>
            <w:r w:rsidR="00817DBA">
              <w:rPr>
                <w:rFonts w:ascii="Lato" w:hAnsi="Lato"/>
                <w:sz w:val="16"/>
                <w:szCs w:val="16"/>
              </w:rPr>
              <w:t xml:space="preserve"> poszczególnych procesów </w:t>
            </w:r>
            <w:r>
              <w:rPr>
                <w:rFonts w:ascii="Lato" w:hAnsi="Lato"/>
                <w:sz w:val="16"/>
                <w:szCs w:val="16"/>
              </w:rPr>
              <w:t>będziemy przekazywać</w:t>
            </w:r>
            <w:r w:rsidR="00817DBA">
              <w:rPr>
                <w:rFonts w:ascii="Lato" w:hAnsi="Lato"/>
                <w:sz w:val="16"/>
                <w:szCs w:val="16"/>
              </w:rPr>
              <w:t xml:space="preserve"> na bieżąco.</w:t>
            </w:r>
            <w:r>
              <w:rPr>
                <w:rFonts w:ascii="Lato" w:hAnsi="Lato"/>
                <w:sz w:val="16"/>
                <w:szCs w:val="16"/>
              </w:rPr>
              <w:t xml:space="preserve"> </w:t>
            </w:r>
          </w:p>
        </w:tc>
      </w:tr>
      <w:tr w:rsidR="00B07E62" w:rsidRPr="00481015" w14:paraId="0EBF1C14"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9F8A8FC" w14:textId="77777777" w:rsidR="001F41DD" w:rsidRPr="00481015" w:rsidRDefault="001F41DD" w:rsidP="001F41DD">
            <w:pPr>
              <w:rPr>
                <w:rFonts w:ascii="Lato" w:hAnsi="Lato"/>
                <w:sz w:val="20"/>
                <w:szCs w:val="20"/>
              </w:rPr>
            </w:pPr>
          </w:p>
        </w:tc>
        <w:tc>
          <w:tcPr>
            <w:tcW w:w="607" w:type="dxa"/>
          </w:tcPr>
          <w:p w14:paraId="4D998086" w14:textId="6626A674" w:rsidR="001F41DD" w:rsidRPr="00481015" w:rsidRDefault="00030972" w:rsidP="00030972">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70.</w:t>
            </w:r>
          </w:p>
        </w:tc>
        <w:tc>
          <w:tcPr>
            <w:tcW w:w="4465" w:type="dxa"/>
          </w:tcPr>
          <w:p w14:paraId="23778D56" w14:textId="5F81E1AD"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Czy zostanie określona </w:t>
            </w:r>
            <w:r w:rsidRPr="00481015">
              <w:rPr>
                <w:rFonts w:ascii="Lato" w:hAnsi="Lato"/>
                <w:b/>
                <w:bCs/>
                <w:sz w:val="20"/>
                <w:szCs w:val="20"/>
              </w:rPr>
              <w:t>liczba łóżek w oddziałach geriatrycznych</w:t>
            </w:r>
            <w:r w:rsidRPr="00481015">
              <w:rPr>
                <w:rFonts w:ascii="Lato" w:hAnsi="Lato"/>
                <w:sz w:val="20"/>
                <w:szCs w:val="20"/>
              </w:rPr>
              <w:t xml:space="preserve"> (art. 53), </w:t>
            </w:r>
            <w:r w:rsidRPr="00481015">
              <w:rPr>
                <w:rFonts w:ascii="Lato" w:hAnsi="Lato"/>
                <w:b/>
                <w:bCs/>
                <w:sz w:val="20"/>
                <w:szCs w:val="20"/>
              </w:rPr>
              <w:t>w okresie 5 lat od dnia wejścia w życie ustawy</w:t>
            </w:r>
            <w:r w:rsidRPr="00481015">
              <w:rPr>
                <w:rFonts w:ascii="Lato" w:hAnsi="Lato"/>
                <w:sz w:val="20"/>
                <w:szCs w:val="20"/>
              </w:rPr>
              <w:t>, ujętych w wojewódzkim planie?</w:t>
            </w:r>
          </w:p>
        </w:tc>
        <w:tc>
          <w:tcPr>
            <w:tcW w:w="2831" w:type="dxa"/>
          </w:tcPr>
          <w:p w14:paraId="3C75E227"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1171B7B4" w14:textId="5F3B7844"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Zgodnie z art. 9 ust. 2 pkt 3 w zw. z art. 10 ust. 3 ustawy</w:t>
            </w:r>
            <w:r w:rsidR="00817DBA">
              <w:rPr>
                <w:rFonts w:ascii="Lato" w:hAnsi="Lato"/>
                <w:sz w:val="16"/>
                <w:szCs w:val="16"/>
              </w:rPr>
              <w:t>,</w:t>
            </w:r>
            <w:r w:rsidRPr="00481015">
              <w:rPr>
                <w:rFonts w:ascii="Lato" w:hAnsi="Lato"/>
                <w:sz w:val="16"/>
                <w:szCs w:val="16"/>
              </w:rPr>
              <w:t xml:space="preserve"> wojewódzki plan powinien określać minimalną liczbę łóżek w poszczególnych oddziałach geriatrycznych. Art. 53 ustawy jest przepisem przejściowym, który zakłada, że w okresie 5 lat od dnia wejścia w życie ustawy, liczba łóżek może być mniejsza niż określona na podstawie art. 10 ust. 3 ustawy.</w:t>
            </w:r>
          </w:p>
        </w:tc>
      </w:tr>
      <w:tr w:rsidR="00030972" w:rsidRPr="00481015" w14:paraId="2C880123"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5B8ACD2" w14:textId="77777777" w:rsidR="001F41DD" w:rsidRPr="00481015" w:rsidRDefault="001F41DD" w:rsidP="001F41DD">
            <w:pPr>
              <w:rPr>
                <w:rFonts w:ascii="Lato" w:hAnsi="Lato"/>
                <w:sz w:val="20"/>
                <w:szCs w:val="20"/>
              </w:rPr>
            </w:pPr>
          </w:p>
        </w:tc>
        <w:tc>
          <w:tcPr>
            <w:tcW w:w="607" w:type="dxa"/>
          </w:tcPr>
          <w:p w14:paraId="1B39ECF0" w14:textId="3EDECBA1" w:rsidR="001F41DD" w:rsidRPr="00481015" w:rsidRDefault="00030972" w:rsidP="00030972">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71.</w:t>
            </w:r>
          </w:p>
        </w:tc>
        <w:tc>
          <w:tcPr>
            <w:tcW w:w="4465" w:type="dxa"/>
          </w:tcPr>
          <w:p w14:paraId="18CAA4FF" w14:textId="0EAC6922"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Czy będzie określony </w:t>
            </w:r>
            <w:r w:rsidRPr="00481015">
              <w:rPr>
                <w:rFonts w:ascii="Lato" w:hAnsi="Lato"/>
                <w:b/>
                <w:bCs/>
                <w:sz w:val="20"/>
                <w:szCs w:val="20"/>
              </w:rPr>
              <w:t>czas zapewnienia czasowej, dziennej opieki dla pacjentów</w:t>
            </w:r>
            <w:r w:rsidRPr="00481015">
              <w:rPr>
                <w:rFonts w:ascii="Lato" w:hAnsi="Lato"/>
                <w:sz w:val="20"/>
                <w:szCs w:val="20"/>
              </w:rPr>
              <w:t xml:space="preserve"> w dziennym ośrodku opieki geriatrycznej   </w:t>
            </w:r>
            <w:r w:rsidRPr="00481015">
              <w:rPr>
                <w:rFonts w:ascii="Lato" w:hAnsi="Lato"/>
                <w:sz w:val="20"/>
                <w:szCs w:val="20"/>
              </w:rPr>
              <w:br/>
              <w:t>(art. 24 ust.1)?</w:t>
            </w:r>
          </w:p>
        </w:tc>
        <w:tc>
          <w:tcPr>
            <w:tcW w:w="2831" w:type="dxa"/>
          </w:tcPr>
          <w:p w14:paraId="312880A9"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0937F732" w14:textId="73CFC749"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Ośrodek powinien funkcjonować przez 5 dni w tygodniu</w:t>
            </w:r>
            <w:r w:rsidR="00817DBA">
              <w:rPr>
                <w:rFonts w:ascii="Lato" w:hAnsi="Lato"/>
                <w:sz w:val="16"/>
                <w:szCs w:val="16"/>
              </w:rPr>
              <w:t xml:space="preserve"> p</w:t>
            </w:r>
            <w:r w:rsidRPr="00481015">
              <w:rPr>
                <w:rFonts w:ascii="Lato" w:hAnsi="Lato"/>
                <w:sz w:val="16"/>
                <w:szCs w:val="16"/>
              </w:rPr>
              <w:t>rzez co najmniej 5 godzin dziennie – strona 55 uzasadnienia do ustawy.</w:t>
            </w:r>
          </w:p>
          <w:p w14:paraId="4312DF3A"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79DCABCF" w14:textId="460A9866"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lastRenderedPageBreak/>
              <w:t>NFZ w ramach osobodnia. Zgodnie z zapisem uzasadnienia str. 44</w:t>
            </w:r>
          </w:p>
        </w:tc>
      </w:tr>
      <w:tr w:rsidR="00B07E62" w:rsidRPr="00481015" w14:paraId="7538DC19"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tcPr>
          <w:p w14:paraId="3C035654" w14:textId="04A8C835" w:rsidR="001F41DD" w:rsidRPr="00481015" w:rsidRDefault="001F41DD" w:rsidP="001F41DD">
            <w:pPr>
              <w:jc w:val="center"/>
              <w:rPr>
                <w:rFonts w:ascii="Lato" w:hAnsi="Lato"/>
                <w:b w:val="0"/>
                <w:bCs w:val="0"/>
                <w:sz w:val="20"/>
                <w:szCs w:val="20"/>
              </w:rPr>
            </w:pPr>
            <w:r w:rsidRPr="00481015">
              <w:rPr>
                <w:rFonts w:ascii="Lato" w:hAnsi="Lato"/>
                <w:sz w:val="20"/>
                <w:szCs w:val="20"/>
              </w:rPr>
              <w:lastRenderedPageBreak/>
              <w:t>Warmińsko-Mazurski UW</w:t>
            </w:r>
          </w:p>
          <w:p w14:paraId="1513A0AD" w14:textId="53D5B421" w:rsidR="001F41DD" w:rsidRPr="00481015" w:rsidRDefault="001F41DD" w:rsidP="001F41DD">
            <w:pPr>
              <w:rPr>
                <w:rFonts w:ascii="Lato" w:hAnsi="Lato"/>
                <w:sz w:val="20"/>
                <w:szCs w:val="20"/>
              </w:rPr>
            </w:pPr>
          </w:p>
        </w:tc>
        <w:tc>
          <w:tcPr>
            <w:tcW w:w="607" w:type="dxa"/>
          </w:tcPr>
          <w:p w14:paraId="12DADBB3" w14:textId="04788A6A" w:rsidR="001F41DD" w:rsidRPr="00481015" w:rsidRDefault="00030972" w:rsidP="00030972">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b/>
                <w:bCs/>
                <w:sz w:val="20"/>
                <w:szCs w:val="20"/>
              </w:rPr>
            </w:pPr>
            <w:r w:rsidRPr="00481015">
              <w:rPr>
                <w:rFonts w:ascii="Lato" w:hAnsi="Lato" w:cstheme="minorHAnsi"/>
                <w:b/>
                <w:bCs/>
                <w:sz w:val="20"/>
                <w:szCs w:val="20"/>
              </w:rPr>
              <w:t>74.</w:t>
            </w:r>
          </w:p>
        </w:tc>
        <w:tc>
          <w:tcPr>
            <w:tcW w:w="4465" w:type="dxa"/>
          </w:tcPr>
          <w:p w14:paraId="769C472E" w14:textId="5EB64DFD" w:rsidR="001F41DD" w:rsidRPr="00481015" w:rsidRDefault="001F41DD" w:rsidP="001F41DD">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sz w:val="20"/>
                <w:szCs w:val="20"/>
              </w:rPr>
              <w:t xml:space="preserve">Proszę o opinię dotyczącą wyłączenia z realizacji przedmiotowych zadań </w:t>
            </w:r>
            <w:r w:rsidRPr="00481015">
              <w:rPr>
                <w:rFonts w:ascii="Lato" w:hAnsi="Lato" w:cstheme="minorHAnsi"/>
                <w:b/>
                <w:sz w:val="20"/>
                <w:szCs w:val="20"/>
              </w:rPr>
              <w:t>miast na prawach powiatu</w:t>
            </w:r>
            <w:r w:rsidRPr="00481015">
              <w:rPr>
                <w:rFonts w:ascii="Lato" w:hAnsi="Lato" w:cstheme="minorHAnsi"/>
                <w:sz w:val="20"/>
                <w:szCs w:val="20"/>
              </w:rPr>
              <w:t>, gdyż zgodnie</w:t>
            </w:r>
          </w:p>
          <w:p w14:paraId="6463A160" w14:textId="7F97A34F" w:rsidR="001F41DD" w:rsidRPr="00481015" w:rsidRDefault="001F41DD" w:rsidP="001F41DD">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sz w:val="20"/>
                <w:szCs w:val="20"/>
              </w:rPr>
              <w:t xml:space="preserve"> z </w:t>
            </w:r>
            <w:r w:rsidRPr="00481015">
              <w:rPr>
                <w:rStyle w:val="ppogrubienie"/>
                <w:rFonts w:ascii="Lato" w:hAnsi="Lato" w:cstheme="minorHAnsi"/>
                <w:sz w:val="20"/>
                <w:szCs w:val="20"/>
              </w:rPr>
              <w:t>art. 5.</w:t>
            </w:r>
            <w:r w:rsidRPr="00481015">
              <w:rPr>
                <w:rFonts w:ascii="Lato" w:hAnsi="Lato" w:cstheme="minorHAnsi"/>
                <w:sz w:val="20"/>
                <w:szCs w:val="20"/>
              </w:rPr>
              <w:t> zadania z zakresu szczególnej opieki geriatrycznej wykonują:</w:t>
            </w:r>
          </w:p>
          <w:p w14:paraId="5D32CED8" w14:textId="77777777" w:rsidR="001F41DD" w:rsidRPr="00481015" w:rsidRDefault="001F41DD" w:rsidP="001F41DD">
            <w:pPr>
              <w:pStyle w:val="pktpunk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sz w:val="20"/>
                <w:szCs w:val="20"/>
              </w:rPr>
              <w:t>1) minister właściwy do spraw zdrowia;</w:t>
            </w:r>
          </w:p>
          <w:p w14:paraId="01360EB0" w14:textId="77777777" w:rsidR="001F41DD" w:rsidRPr="00481015" w:rsidRDefault="001F41DD" w:rsidP="001F41DD">
            <w:pPr>
              <w:pStyle w:val="pktpunk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sz w:val="20"/>
                <w:szCs w:val="20"/>
              </w:rPr>
              <w:t>2) wojewoda;</w:t>
            </w:r>
          </w:p>
          <w:p w14:paraId="2D07C1AC" w14:textId="11DE1DBA"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sz w:val="20"/>
                <w:szCs w:val="20"/>
              </w:rPr>
              <w:t>3) powiat</w:t>
            </w:r>
          </w:p>
        </w:tc>
        <w:tc>
          <w:tcPr>
            <w:tcW w:w="2831" w:type="dxa"/>
          </w:tcPr>
          <w:p w14:paraId="1D9DBF80"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47C84713" w14:textId="50974E6F"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Odpowiedź jest zawarta przy pytaniu nr 2.</w:t>
            </w:r>
          </w:p>
        </w:tc>
      </w:tr>
      <w:tr w:rsidR="00030972" w:rsidRPr="00481015" w14:paraId="0078CB0C"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val="restart"/>
          </w:tcPr>
          <w:p w14:paraId="10DF171B" w14:textId="77777777" w:rsidR="001F41DD" w:rsidRPr="00481015" w:rsidRDefault="001F41DD" w:rsidP="001F41DD">
            <w:pPr>
              <w:rPr>
                <w:rFonts w:ascii="Lato" w:hAnsi="Lato"/>
                <w:sz w:val="20"/>
                <w:szCs w:val="20"/>
              </w:rPr>
            </w:pPr>
          </w:p>
        </w:tc>
        <w:tc>
          <w:tcPr>
            <w:tcW w:w="607" w:type="dxa"/>
          </w:tcPr>
          <w:p w14:paraId="298FF134" w14:textId="48C859A2"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b/>
                <w:bCs/>
                <w:kern w:val="0"/>
                <w:sz w:val="20"/>
                <w:szCs w:val="20"/>
                <w:lang w:eastAsia="pl-PL"/>
                <w14:ligatures w14:val="none"/>
              </w:rPr>
            </w:pPr>
            <w:r w:rsidRPr="00481015">
              <w:rPr>
                <w:rFonts w:ascii="Lato" w:hAnsi="Lato" w:cstheme="minorHAnsi"/>
                <w:b/>
                <w:bCs/>
                <w:kern w:val="0"/>
                <w:sz w:val="20"/>
                <w:szCs w:val="20"/>
                <w:lang w:eastAsia="pl-PL"/>
                <w14:ligatures w14:val="none"/>
              </w:rPr>
              <w:t>94.</w:t>
            </w:r>
          </w:p>
        </w:tc>
        <w:tc>
          <w:tcPr>
            <w:tcW w:w="4465" w:type="dxa"/>
          </w:tcPr>
          <w:p w14:paraId="59E9CF7B" w14:textId="36F24466"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i/>
                <w:iCs/>
                <w:kern w:val="0"/>
                <w:sz w:val="20"/>
                <w:szCs w:val="20"/>
                <w:lang w:eastAsia="pl-PL"/>
                <w14:ligatures w14:val="none"/>
              </w:rPr>
              <w:t>Art. 22</w:t>
            </w:r>
            <w:r w:rsidRPr="00481015">
              <w:rPr>
                <w:rFonts w:ascii="Lato" w:hAnsi="Lato" w:cstheme="minorHAnsi"/>
                <w:kern w:val="0"/>
                <w:sz w:val="20"/>
                <w:szCs w:val="20"/>
                <w:lang w:eastAsia="pl-PL"/>
                <w14:ligatures w14:val="none"/>
              </w:rPr>
              <w:t xml:space="preserve"> - należy precyzyjnie określić </w:t>
            </w:r>
            <w:r w:rsidRPr="00481015">
              <w:rPr>
                <w:rFonts w:ascii="Lato" w:hAnsi="Lato" w:cstheme="minorHAnsi"/>
                <w:b/>
                <w:bCs/>
                <w:kern w:val="0"/>
                <w:sz w:val="20"/>
                <w:szCs w:val="20"/>
                <w:lang w:eastAsia="pl-PL"/>
                <w14:ligatures w14:val="none"/>
              </w:rPr>
              <w:t>strukturę centrum</w:t>
            </w:r>
            <w:r w:rsidRPr="00481015">
              <w:rPr>
                <w:rFonts w:ascii="Lato" w:hAnsi="Lato" w:cstheme="minorHAnsi"/>
                <w:kern w:val="0"/>
                <w:sz w:val="20"/>
                <w:szCs w:val="20"/>
                <w:lang w:eastAsia="pl-PL"/>
                <w14:ligatures w14:val="none"/>
              </w:rPr>
              <w:t xml:space="preserve">, tak aby była jednolita w skali nie tylko województwa, ale też i kraju. </w:t>
            </w:r>
            <w:r w:rsidRPr="00481015">
              <w:rPr>
                <w:rFonts w:ascii="Lato" w:hAnsi="Lato" w:cstheme="minorHAnsi"/>
                <w:i/>
                <w:iCs/>
                <w:kern w:val="0"/>
                <w:sz w:val="20"/>
                <w:szCs w:val="20"/>
                <w:lang w:eastAsia="pl-PL"/>
                <w14:ligatures w14:val="none"/>
              </w:rPr>
              <w:t>To zdecydowanie ułatwi nie tylko proces tworzenia kolejnych centr, ale także proces finansowania świadczeń szczególnej opieki geriatrycznej.</w:t>
            </w:r>
          </w:p>
          <w:p w14:paraId="59D9CF29"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p w14:paraId="79C98496"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 xml:space="preserve">Zgodnie z art. 20 </w:t>
            </w:r>
            <w:r w:rsidRPr="00481015">
              <w:rPr>
                <w:rFonts w:ascii="Lato" w:hAnsi="Lato" w:cstheme="minorHAnsi"/>
                <w:b/>
                <w:bCs/>
                <w:kern w:val="0"/>
                <w:sz w:val="20"/>
                <w:szCs w:val="20"/>
                <w:lang w:eastAsia="pl-PL"/>
                <w14:ligatures w14:val="none"/>
              </w:rPr>
              <w:t>centrum jest zakładem leczniczym</w:t>
            </w:r>
            <w:r w:rsidRPr="00481015">
              <w:rPr>
                <w:rFonts w:ascii="Lato" w:hAnsi="Lato" w:cstheme="minorHAnsi"/>
                <w:kern w:val="0"/>
                <w:sz w:val="20"/>
                <w:szCs w:val="20"/>
                <w:lang w:eastAsia="pl-PL"/>
                <w14:ligatures w14:val="none"/>
              </w:rPr>
              <w:t xml:space="preserve">. Analizując dalszą treść Rozdziału 5 wydaje się, że </w:t>
            </w:r>
            <w:r w:rsidRPr="00481015">
              <w:rPr>
                <w:rFonts w:ascii="Lato" w:hAnsi="Lato" w:cstheme="minorHAnsi"/>
                <w:b/>
                <w:bCs/>
                <w:kern w:val="0"/>
                <w:sz w:val="20"/>
                <w:szCs w:val="20"/>
                <w:lang w:eastAsia="pl-PL"/>
                <w14:ligatures w14:val="none"/>
              </w:rPr>
              <w:t>poradnia konsultacyjna powinna funkcjonować na poziomie jednostki organizacyjnej podmiotu leczniczego</w:t>
            </w:r>
            <w:r w:rsidRPr="00481015">
              <w:rPr>
                <w:rFonts w:ascii="Lato" w:hAnsi="Lato" w:cstheme="minorHAnsi"/>
                <w:kern w:val="0"/>
                <w:sz w:val="20"/>
                <w:szCs w:val="20"/>
                <w:lang w:eastAsia="pl-PL"/>
                <w14:ligatures w14:val="none"/>
              </w:rPr>
              <w:t xml:space="preserve"> (gdyż aktualnie nie istnieje dla niej właściwy kod resortowy części VIII). W strukturze tej jednostki powinna znaleźć się:</w:t>
            </w:r>
          </w:p>
          <w:p w14:paraId="42F065B4" w14:textId="77777777" w:rsidR="001F41DD" w:rsidRPr="00481015" w:rsidRDefault="001F41DD" w:rsidP="001F41DD">
            <w:pPr>
              <w:pStyle w:val="Akapitzlis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poradnia lekarza geriatry,</w:t>
            </w:r>
          </w:p>
          <w:p w14:paraId="1B7A83EF" w14:textId="77777777" w:rsidR="001F41DD" w:rsidRPr="00481015" w:rsidRDefault="001F41DD" w:rsidP="001F41DD">
            <w:pPr>
              <w:pStyle w:val="Akapitzlis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poradnia pielęgniarki geriatrycznej,</w:t>
            </w:r>
          </w:p>
          <w:p w14:paraId="46241D9F" w14:textId="77777777" w:rsidR="001F41DD" w:rsidRPr="00481015" w:rsidRDefault="001F41DD" w:rsidP="001F41DD">
            <w:pPr>
              <w:pStyle w:val="Akapitzlis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 xml:space="preserve">poradnia psychologiczna. </w:t>
            </w:r>
          </w:p>
          <w:p w14:paraId="729146A2"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Odrębnie powinna funkcjonować:</w:t>
            </w:r>
          </w:p>
          <w:p w14:paraId="4A4FA7F1" w14:textId="77777777" w:rsidR="001F41DD" w:rsidRPr="00481015" w:rsidRDefault="001F41DD" w:rsidP="001F41DD">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struktura dla fizjoterapii (pracownia fizjoterapii czy zakład fizjoterapii?),</w:t>
            </w:r>
          </w:p>
          <w:p w14:paraId="6CEAA263" w14:textId="77777777" w:rsidR="001F41DD" w:rsidRPr="00481015" w:rsidRDefault="001F41DD" w:rsidP="001F41DD">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 xml:space="preserve">dzienny ośrodek opieki geriatrycznej – dookreślenia wymaga minimalna liczba miejsc dziennych w stosunku do liczby osób objętych opieką, gdyż to przekłada się </w:t>
            </w:r>
            <w:r w:rsidRPr="00481015">
              <w:rPr>
                <w:rFonts w:ascii="Lato" w:hAnsi="Lato" w:cstheme="minorHAnsi"/>
                <w:kern w:val="0"/>
                <w:sz w:val="20"/>
                <w:szCs w:val="20"/>
                <w:lang w:eastAsia="pl-PL"/>
                <w14:ligatures w14:val="none"/>
              </w:rPr>
              <w:lastRenderedPageBreak/>
              <w:t>wprost na wymagania infrastrukturalne i kadrowe ośrodka,</w:t>
            </w:r>
          </w:p>
          <w:p w14:paraId="0064A801" w14:textId="77777777" w:rsidR="001F41DD" w:rsidRPr="00481015" w:rsidRDefault="001F41DD" w:rsidP="001F41DD">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zespół koordynatorów opieki geriatrycznej,</w:t>
            </w:r>
          </w:p>
          <w:p w14:paraId="308DE18A" w14:textId="77777777" w:rsidR="001F41DD" w:rsidRPr="00481015" w:rsidRDefault="001F41DD" w:rsidP="001F41DD">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zespół edukatorów zdrowotnych.</w:t>
            </w:r>
          </w:p>
          <w:p w14:paraId="5986302A" w14:textId="4E12474C"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 xml:space="preserve">Przy czym zaznaczyć należy, że </w:t>
            </w:r>
            <w:r w:rsidRPr="00481015">
              <w:rPr>
                <w:rFonts w:ascii="Lato" w:hAnsi="Lato" w:cstheme="minorHAnsi"/>
                <w:b/>
                <w:bCs/>
                <w:kern w:val="0"/>
                <w:sz w:val="20"/>
                <w:szCs w:val="20"/>
                <w:lang w:eastAsia="pl-PL"/>
                <w14:ligatures w14:val="none"/>
              </w:rPr>
              <w:t>dla tych dwóch ostatnich obecne przepisy rozporządzenia o systemie resortowych kodów identyfikacyjnych nie przywidują właściwych kodów.</w:t>
            </w:r>
          </w:p>
        </w:tc>
        <w:tc>
          <w:tcPr>
            <w:tcW w:w="2831" w:type="dxa"/>
          </w:tcPr>
          <w:p w14:paraId="0BF28E6F"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25AD4672"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W zależności od sposobu organizacji będzie to oddzielny podmiot leczniczy lub części składowe podmiotu leczniczego.  Na potrzeby RPWDL należałby wydzielić z istniejących już zakładów np. ze szpitala, z ambulatorium, zakłady (jednorodzajowe), które wejdą w skład CZ75+. </w:t>
            </w:r>
          </w:p>
          <w:p w14:paraId="03745191"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W praktyce ww. zakłady mogłyby być wpisywane do rejestru (przykładowo) pod nazwą: „CZ75+ szpital”, „ CZ75+ ambulatorium”.</w:t>
            </w:r>
          </w:p>
          <w:p w14:paraId="734EDD43" w14:textId="2069EC76"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Na podobnej zasadzie zorganizowane są i funkcjonują centra urazowe oraz centra zdrowia psychicznego. Poradnia konsultacyjna może otrzymać kod części VIII 1060. Do wskazania szczegółowego zakresu działalności danej komórki służą profile medyczne i za ich pomocą można uszczegółowić zakres działania. Istnieje również możliwość wpisania komórek org. zespołu koordynatorów i zespołu edukatorów z kodem części VIII 9000 – oczywiście warunkiem jest wykonywanie świadczeń zdrowotnych przez te komórki.</w:t>
            </w:r>
          </w:p>
        </w:tc>
      </w:tr>
      <w:tr w:rsidR="00030972" w:rsidRPr="00481015" w14:paraId="252B74EE"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632FF283" w14:textId="77777777" w:rsidR="001F41DD" w:rsidRPr="00481015" w:rsidRDefault="001F41DD" w:rsidP="001F41DD">
            <w:pPr>
              <w:rPr>
                <w:rFonts w:ascii="Lato" w:hAnsi="Lato"/>
                <w:sz w:val="20"/>
                <w:szCs w:val="20"/>
              </w:rPr>
            </w:pPr>
          </w:p>
        </w:tc>
        <w:tc>
          <w:tcPr>
            <w:tcW w:w="607" w:type="dxa"/>
          </w:tcPr>
          <w:p w14:paraId="432496D7" w14:textId="4C79865B"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b/>
                <w:bCs/>
                <w:kern w:val="0"/>
                <w:sz w:val="20"/>
                <w:szCs w:val="20"/>
                <w:lang w:eastAsia="pl-PL"/>
                <w14:ligatures w14:val="none"/>
              </w:rPr>
            </w:pPr>
            <w:r w:rsidRPr="00481015">
              <w:rPr>
                <w:rFonts w:ascii="Lato" w:hAnsi="Lato" w:cstheme="minorHAnsi"/>
                <w:b/>
                <w:bCs/>
                <w:kern w:val="0"/>
                <w:sz w:val="20"/>
                <w:szCs w:val="20"/>
                <w:lang w:eastAsia="pl-PL"/>
                <w14:ligatures w14:val="none"/>
              </w:rPr>
              <w:t>100.</w:t>
            </w:r>
          </w:p>
        </w:tc>
        <w:tc>
          <w:tcPr>
            <w:tcW w:w="4465" w:type="dxa"/>
          </w:tcPr>
          <w:p w14:paraId="41777AA2" w14:textId="352C8B93"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Prośba o odniesienie się do sugestii zawartej w kolumnie obok</w:t>
            </w:r>
          </w:p>
        </w:tc>
        <w:tc>
          <w:tcPr>
            <w:tcW w:w="2831" w:type="dxa"/>
          </w:tcPr>
          <w:p w14:paraId="1FA87A09" w14:textId="0C4E0DE5"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cstheme="minorHAnsi"/>
                <w:b/>
                <w:bCs/>
                <w:kern w:val="0"/>
                <w:sz w:val="20"/>
                <w:szCs w:val="20"/>
                <w:lang w:eastAsia="pl-PL"/>
                <w14:ligatures w14:val="none"/>
              </w:rPr>
              <w:t>Powiat – miasto na prawach powiatu</w:t>
            </w:r>
            <w:r w:rsidRPr="00481015">
              <w:rPr>
                <w:rFonts w:ascii="Lato" w:hAnsi="Lato" w:cstheme="minorHAnsi"/>
                <w:kern w:val="0"/>
                <w:sz w:val="20"/>
                <w:szCs w:val="20"/>
                <w:lang w:eastAsia="pl-PL"/>
                <w14:ligatures w14:val="none"/>
              </w:rPr>
              <w:t xml:space="preserve"> – zgodnie z art. 92 ust. 2 ustawy o samorządzie powiatowym - miasto na prawach powiatu jest gminą wykonującą zadania powiatu na zasadach określonych w tej ustawie, co jednoznacznie wskazuje na </w:t>
            </w:r>
            <w:r w:rsidRPr="00481015">
              <w:rPr>
                <w:rFonts w:ascii="Lato" w:hAnsi="Lato" w:cstheme="minorHAnsi"/>
                <w:b/>
                <w:bCs/>
                <w:kern w:val="0"/>
                <w:sz w:val="20"/>
                <w:szCs w:val="20"/>
                <w:lang w:eastAsia="pl-PL"/>
                <w14:ligatures w14:val="none"/>
              </w:rPr>
              <w:t>możliwość włączenia miast na prawach powiatu w realizację zadań wynikających z ustawy o szczególnej opiece geriatrycznej.</w:t>
            </w:r>
          </w:p>
        </w:tc>
        <w:tc>
          <w:tcPr>
            <w:tcW w:w="2942" w:type="dxa"/>
          </w:tcPr>
          <w:p w14:paraId="1D5E754D" w14:textId="4D5A4D75"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Odpowiedź jest zawarta przy pytaniu nr 2.</w:t>
            </w:r>
          </w:p>
        </w:tc>
      </w:tr>
      <w:tr w:rsidR="00030972" w:rsidRPr="00481015" w14:paraId="412125F4"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shd w:val="clear" w:color="auto" w:fill="FFFFFF" w:themeFill="background1"/>
          </w:tcPr>
          <w:p w14:paraId="79ECA020" w14:textId="77777777" w:rsidR="001F41DD" w:rsidRPr="00481015" w:rsidRDefault="001F41DD" w:rsidP="001F41DD">
            <w:pPr>
              <w:rPr>
                <w:rFonts w:ascii="Lato" w:hAnsi="Lato"/>
                <w:sz w:val="20"/>
                <w:szCs w:val="20"/>
              </w:rPr>
            </w:pPr>
          </w:p>
        </w:tc>
        <w:tc>
          <w:tcPr>
            <w:tcW w:w="607" w:type="dxa"/>
          </w:tcPr>
          <w:p w14:paraId="3E0BC3FB" w14:textId="05AF997B"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b/>
                <w:bCs/>
                <w:kern w:val="0"/>
                <w:sz w:val="20"/>
                <w:szCs w:val="20"/>
                <w:lang w:eastAsia="pl-PL"/>
                <w14:ligatures w14:val="none"/>
              </w:rPr>
            </w:pPr>
            <w:r w:rsidRPr="00481015">
              <w:rPr>
                <w:rFonts w:ascii="Lato" w:hAnsi="Lato" w:cstheme="minorHAnsi"/>
                <w:b/>
                <w:bCs/>
                <w:kern w:val="0"/>
                <w:sz w:val="20"/>
                <w:szCs w:val="20"/>
                <w:lang w:eastAsia="pl-PL"/>
                <w14:ligatures w14:val="none"/>
              </w:rPr>
              <w:t>104.</w:t>
            </w:r>
          </w:p>
        </w:tc>
        <w:tc>
          <w:tcPr>
            <w:tcW w:w="4465" w:type="dxa"/>
          </w:tcPr>
          <w:p w14:paraId="05C7EF47" w14:textId="590B659C"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cstheme="minorHAnsi"/>
                <w:kern w:val="0"/>
                <w:sz w:val="20"/>
                <w:szCs w:val="20"/>
                <w:lang w:eastAsia="pl-PL"/>
                <w14:ligatures w14:val="none"/>
              </w:rPr>
              <w:t xml:space="preserve">Czy </w:t>
            </w:r>
            <w:r w:rsidRPr="00481015">
              <w:rPr>
                <w:rFonts w:ascii="Lato" w:hAnsi="Lato" w:cstheme="minorHAnsi"/>
                <w:b/>
                <w:bCs/>
                <w:kern w:val="0"/>
                <w:sz w:val="20"/>
                <w:szCs w:val="20"/>
                <w:lang w:eastAsia="pl-PL"/>
                <w14:ligatures w14:val="none"/>
              </w:rPr>
              <w:t>miasta na prawach powiatu</w:t>
            </w:r>
            <w:r w:rsidRPr="00481015">
              <w:rPr>
                <w:rFonts w:ascii="Lato" w:hAnsi="Lato" w:cstheme="minorHAnsi"/>
                <w:kern w:val="0"/>
                <w:sz w:val="20"/>
                <w:szCs w:val="20"/>
                <w:lang w:eastAsia="pl-PL"/>
                <w14:ligatures w14:val="none"/>
              </w:rPr>
              <w:t xml:space="preserve"> są uprawnione do tworzenia „centrum zdrowia 75+”.  </w:t>
            </w:r>
          </w:p>
        </w:tc>
        <w:tc>
          <w:tcPr>
            <w:tcW w:w="2831" w:type="dxa"/>
          </w:tcPr>
          <w:p w14:paraId="62332FD0"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60BE212B" w14:textId="5E7323F0"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Odpowiedź jest zawarta przy pytaniu nr 2.</w:t>
            </w:r>
          </w:p>
        </w:tc>
      </w:tr>
      <w:tr w:rsidR="00030972" w:rsidRPr="00481015" w14:paraId="7B1C4D37"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shd w:val="clear" w:color="auto" w:fill="FFFFFF" w:themeFill="background1"/>
          </w:tcPr>
          <w:p w14:paraId="01CD8196" w14:textId="77777777" w:rsidR="001F41DD" w:rsidRPr="00481015" w:rsidRDefault="001F41DD" w:rsidP="001F41DD">
            <w:pPr>
              <w:rPr>
                <w:rFonts w:ascii="Lato" w:hAnsi="Lato"/>
                <w:sz w:val="20"/>
                <w:szCs w:val="20"/>
              </w:rPr>
            </w:pPr>
          </w:p>
        </w:tc>
        <w:tc>
          <w:tcPr>
            <w:tcW w:w="607" w:type="dxa"/>
          </w:tcPr>
          <w:p w14:paraId="3ED9C215" w14:textId="6E85D0D1"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sz w:val="20"/>
                <w:szCs w:val="20"/>
              </w:rPr>
            </w:pPr>
            <w:r w:rsidRPr="00481015">
              <w:rPr>
                <w:rFonts w:ascii="Lato" w:hAnsi="Lato"/>
                <w:b/>
                <w:sz w:val="20"/>
                <w:szCs w:val="20"/>
              </w:rPr>
              <w:t>108.</w:t>
            </w:r>
          </w:p>
        </w:tc>
        <w:tc>
          <w:tcPr>
            <w:tcW w:w="4465" w:type="dxa"/>
          </w:tcPr>
          <w:p w14:paraId="43F113CF" w14:textId="14108A40"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481015">
              <w:rPr>
                <w:rFonts w:ascii="Lato" w:hAnsi="Lato"/>
                <w:b/>
                <w:sz w:val="20"/>
                <w:szCs w:val="20"/>
              </w:rPr>
              <w:t xml:space="preserve">Brak jest określenia specjalności poradni i kodu resortowego </w:t>
            </w:r>
            <w:r w:rsidRPr="00481015">
              <w:rPr>
                <w:rFonts w:ascii="Lato" w:hAnsi="Lato"/>
                <w:sz w:val="20"/>
                <w:szCs w:val="20"/>
              </w:rPr>
              <w:t xml:space="preserve">(co najmniej w zakresie </w:t>
            </w:r>
            <w:r w:rsidRPr="00481015">
              <w:rPr>
                <w:rFonts w:ascii="Lato" w:hAnsi="Lato"/>
                <w:b/>
                <w:bCs/>
                <w:sz w:val="20"/>
                <w:szCs w:val="20"/>
              </w:rPr>
              <w:t>zespołu koordynatorów opieki geriatrycznej i zespołu edukatorów zdrowotnych</w:t>
            </w:r>
            <w:r w:rsidRPr="00481015">
              <w:rPr>
                <w:rFonts w:ascii="Lato" w:hAnsi="Lato"/>
                <w:sz w:val="20"/>
                <w:szCs w:val="20"/>
              </w:rPr>
              <w:t>)</w:t>
            </w:r>
          </w:p>
        </w:tc>
        <w:tc>
          <w:tcPr>
            <w:tcW w:w="2831" w:type="dxa"/>
          </w:tcPr>
          <w:p w14:paraId="1291CE83"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7EAC27B1" w14:textId="7C58005E"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Obowiązujący system kodów resortowych daje szerokie możliwości opisania struktury organizacyjnej i zakresu działalności poszczególnych komórek organizacyjnych. Istnieje również możliwość wpisania komórek org. tj.  zespołu koordynatorów i zespołu edukatorów z kodem części VIII 9000 – oczywiście warunkiem jest wykonywanie świadczeń zdrowotnych przez te komórki. Szczegółowy zakres określany za pomocą profili medycznych musi zostać ustalony na </w:t>
            </w:r>
            <w:r w:rsidRPr="00481015">
              <w:rPr>
                <w:rFonts w:ascii="Lato" w:hAnsi="Lato"/>
                <w:sz w:val="16"/>
                <w:szCs w:val="16"/>
              </w:rPr>
              <w:lastRenderedPageBreak/>
              <w:t>bazie wymagań przepisów z zakresu CZ75+</w:t>
            </w:r>
          </w:p>
        </w:tc>
      </w:tr>
      <w:tr w:rsidR="00030972" w:rsidRPr="00481015" w14:paraId="404C1621"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20129BBD" w14:textId="77777777" w:rsidR="001F41DD" w:rsidRPr="00481015" w:rsidRDefault="001F41DD" w:rsidP="001F41DD">
            <w:pPr>
              <w:rPr>
                <w:rFonts w:ascii="Lato" w:hAnsi="Lato"/>
                <w:sz w:val="20"/>
                <w:szCs w:val="20"/>
              </w:rPr>
            </w:pPr>
          </w:p>
        </w:tc>
        <w:tc>
          <w:tcPr>
            <w:tcW w:w="607" w:type="dxa"/>
          </w:tcPr>
          <w:p w14:paraId="66366594" w14:textId="2CA11EFA"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 xml:space="preserve">117. </w:t>
            </w:r>
          </w:p>
        </w:tc>
        <w:tc>
          <w:tcPr>
            <w:tcW w:w="4465" w:type="dxa"/>
          </w:tcPr>
          <w:p w14:paraId="04ED56F0" w14:textId="48393B16"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Prośba o odniesienie się do rozważań w następnej kol.</w:t>
            </w:r>
          </w:p>
        </w:tc>
        <w:tc>
          <w:tcPr>
            <w:tcW w:w="2831" w:type="dxa"/>
          </w:tcPr>
          <w:p w14:paraId="31589FE0"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 xml:space="preserve">Dot.  wątpliwości odnośnie włączenia miast na prawach powiatu do grona realizatorów zadań z zakresu szczególnej opieki geriatrycznej. </w:t>
            </w:r>
          </w:p>
          <w:p w14:paraId="2FFA2E24"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202CEE49" w14:textId="2BC8E5C8"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W opinii Łódzkiego UW, zadania powiatu z zakresu szczególnej opieki geriatrycznej odnoszą się również do miast na prawach powiatu, chociażby z uwagi na podkreślaną w ustawie potrzebę zapewnienia równomiernego rozmieszczenia oddziałów geriatrycznych i CZ 75+. Ponadto, w miastach na prawach powiatu liczba mieszkańców, którzy ukończyli 75. rok życia często jest znacząco większa niż w powiatach; wykluczenie obszarów miast na prawach powiatu z wojewódzkich planów skutkowałoby ograniczeniem dostępności do tego rodzaju świadczeń dla dużej części mieszkańców regionu.</w:t>
            </w:r>
          </w:p>
        </w:tc>
        <w:tc>
          <w:tcPr>
            <w:tcW w:w="2942" w:type="dxa"/>
          </w:tcPr>
          <w:p w14:paraId="76BE29BA" w14:textId="29D38123"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Odpowiedź jest zawarta przy pyt. nr 2.</w:t>
            </w:r>
          </w:p>
        </w:tc>
      </w:tr>
      <w:tr w:rsidR="00B07E62" w:rsidRPr="00481015" w14:paraId="03AB6344"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3BEEC249" w14:textId="77777777" w:rsidR="001F41DD" w:rsidRPr="00481015" w:rsidRDefault="001F41DD" w:rsidP="001F41DD">
            <w:pPr>
              <w:rPr>
                <w:rFonts w:ascii="Lato" w:hAnsi="Lato"/>
                <w:sz w:val="20"/>
                <w:szCs w:val="20"/>
              </w:rPr>
            </w:pPr>
          </w:p>
        </w:tc>
        <w:tc>
          <w:tcPr>
            <w:tcW w:w="607" w:type="dxa"/>
          </w:tcPr>
          <w:p w14:paraId="727DB251" w14:textId="5911286F"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118.</w:t>
            </w:r>
          </w:p>
        </w:tc>
        <w:tc>
          <w:tcPr>
            <w:tcW w:w="4465" w:type="dxa"/>
          </w:tcPr>
          <w:p w14:paraId="6233CA78" w14:textId="4FE3D560"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 xml:space="preserve">Prośba o rezygnację z zamieszczania opisu potrzeb inwestycyjnych podmiotów leczniczych we wzorze dla wojewódzkich planów działania </w:t>
            </w:r>
            <w:r w:rsidRPr="00481015">
              <w:rPr>
                <w:rFonts w:ascii="Lato" w:hAnsi="Lato"/>
                <w:b/>
                <w:bCs/>
                <w:sz w:val="20"/>
                <w:szCs w:val="20"/>
              </w:rPr>
              <w:lastRenderedPageBreak/>
              <w:t xml:space="preserve">szczególnej opieki geriatrycznej i przyjęcie, że dane te zostaną zebrane i przekazane do Ministerstwa Zdrowia w późniejszym czasie, kiedy będą znane wszystkie warunki realizacji tego zadania.  </w:t>
            </w:r>
          </w:p>
          <w:p w14:paraId="77EB533A"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51A049E7" w14:textId="73B4180B"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Mimo, iż MZ, jako dysponent Funduszu Medycznego, potrzebuje informacji o skali środków finansowych, jakie będą potrzebne na dofinansowanie zadań określonych w ustawie o szczególnej opiece geriatrycznej, </w:t>
            </w:r>
            <w:r w:rsidRPr="00481015">
              <w:rPr>
                <w:rFonts w:ascii="Lato" w:hAnsi="Lato"/>
                <w:b/>
                <w:bCs/>
                <w:sz w:val="20"/>
                <w:szCs w:val="20"/>
              </w:rPr>
              <w:t>uzyskanie informacji o zamierzeniach inwestycyjnych od podmiotów leczniczych na obecnym etapie</w:t>
            </w:r>
            <w:r w:rsidRPr="00481015">
              <w:rPr>
                <w:rFonts w:ascii="Lato" w:hAnsi="Lato"/>
                <w:sz w:val="20"/>
                <w:szCs w:val="20"/>
              </w:rPr>
              <w:t>, kiedy gromadzimy propozycje powiatów dotyczące utworzenia i lokalizacji CZ75+, jest zadaniem trudnym, a być może nawet niemożliwym do zrealizowania. Podmioty lecznicze, które deklarują gotowość utworzenia centrum, nie mają jeszcze szczegółowej wiedzy o warunkach, w jakich będą musiały być realizowane świadczenia szczególnej opieki geriatrycznej (wymogi lokalowe/sprzętowe /kadrowe itd.), z uwagi na brak przepisów wykonawczych do ustawy. Nie mogą zatem określić zakresu rzeczowego inwestycji koniecznych do zrealizowania w celu uruchomienia CZ75+, a tym bardziej przewidywanych kosztów. Zgodnie z zapisami ustawy, powiaty będą miały 5 lat od momentu wejścia w życie ustawy na utworzenie CZ75+ i potrzeby inwestycyjne zgłoszone w tym momencie mogłyby się zdezaktualizować do czasu, gdy CZ75+ będzie faktycznie powstawało.</w:t>
            </w:r>
          </w:p>
        </w:tc>
        <w:tc>
          <w:tcPr>
            <w:tcW w:w="2831" w:type="dxa"/>
          </w:tcPr>
          <w:p w14:paraId="0D400587"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6C20C104" w14:textId="3A6F7801"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Przedstawiony dokument ma na celu kompleksowe zgromadzenie danych dotyczących planowanych inwestycji /potrzeb infrastrukturalnych na rzecz </w:t>
            </w:r>
            <w:r w:rsidRPr="00481015">
              <w:rPr>
                <w:rFonts w:ascii="Lato" w:hAnsi="Lato"/>
                <w:sz w:val="16"/>
                <w:szCs w:val="16"/>
              </w:rPr>
              <w:lastRenderedPageBreak/>
              <w:t>Centrów Zdrowia 75+ . Działanie to pozwoli na rozpoczęcie przez Ministra Zdrowia prac wdrożeniowych w celu prawidłowej realizacji zadań określonych ustawą o Funduszu Medycznym.</w:t>
            </w:r>
          </w:p>
        </w:tc>
      </w:tr>
      <w:tr w:rsidR="00030972" w:rsidRPr="00481015" w14:paraId="10EFEC53"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1DE3E37D" w14:textId="77777777" w:rsidR="001F41DD" w:rsidRPr="00481015" w:rsidRDefault="001F41DD" w:rsidP="001F41DD">
            <w:pPr>
              <w:rPr>
                <w:rFonts w:ascii="Lato" w:hAnsi="Lato"/>
                <w:sz w:val="20"/>
                <w:szCs w:val="20"/>
              </w:rPr>
            </w:pPr>
          </w:p>
        </w:tc>
        <w:tc>
          <w:tcPr>
            <w:tcW w:w="607" w:type="dxa"/>
          </w:tcPr>
          <w:p w14:paraId="2C123C91" w14:textId="65E20E5B"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119.</w:t>
            </w:r>
          </w:p>
        </w:tc>
        <w:tc>
          <w:tcPr>
            <w:tcW w:w="4465" w:type="dxa"/>
          </w:tcPr>
          <w:p w14:paraId="1D2C23DE" w14:textId="597A386D"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Odnośnie dofinansowania inwestycji związanych z tworzeniem centrów zdrowia 75+ ze środków </w:t>
            </w:r>
            <w:r w:rsidRPr="00481015">
              <w:rPr>
                <w:rFonts w:ascii="Lato" w:hAnsi="Lato"/>
                <w:sz w:val="20"/>
                <w:szCs w:val="20"/>
              </w:rPr>
              <w:lastRenderedPageBreak/>
              <w:t xml:space="preserve">Funduszu Medycznego, </w:t>
            </w:r>
            <w:r w:rsidRPr="00481015">
              <w:rPr>
                <w:rFonts w:ascii="Lato" w:hAnsi="Lato"/>
                <w:b/>
                <w:bCs/>
                <w:sz w:val="20"/>
                <w:szCs w:val="20"/>
              </w:rPr>
              <w:t>w ustawie brakuje jasno określonych zasad finansowania tego zadania.</w:t>
            </w:r>
            <w:r w:rsidRPr="00481015">
              <w:rPr>
                <w:rFonts w:ascii="Lato" w:hAnsi="Lato"/>
                <w:sz w:val="20"/>
                <w:szCs w:val="20"/>
              </w:rPr>
              <w:t xml:space="preserve"> </w:t>
            </w:r>
          </w:p>
          <w:p w14:paraId="4168C11B"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p>
          <w:p w14:paraId="6AC51142"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Nie ma w ustawie określonego sposobu, w jaki podmioty lecznicze, deklarujące chęć utworzenia centrum, będą się ubiegały o środki finansowe na ten cel – jeżeli w drodze konkursu, to będzie oznaczało brak gwarancji faktycznego otrzymania takiego dofinansowania, pomimo konieczności wywiązania się ze złożonej deklaracji utworzenia CZ75+; drugą kwestią jest brak wskazania w usog poziomu dofinansowania takich inwestycji). </w:t>
            </w:r>
          </w:p>
          <w:p w14:paraId="4A9AE3B6" w14:textId="7C4C7B89"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831" w:type="dxa"/>
          </w:tcPr>
          <w:p w14:paraId="331EAAE3"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3A8EA447" w14:textId="73FCD36D"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Ustawa o szczególnej opiece geriatrycznej  jest ustawą regulującą całokształt kwestii dotyczących </w:t>
            </w:r>
            <w:r w:rsidRPr="00481015">
              <w:rPr>
                <w:rFonts w:ascii="Lato" w:hAnsi="Lato"/>
                <w:sz w:val="16"/>
                <w:szCs w:val="16"/>
              </w:rPr>
              <w:lastRenderedPageBreak/>
              <w:t xml:space="preserve">Centrów Zdrowia 75+ , natomiast realizacja jej postanowień w zakresie udzielanego ze środków Funduszu Medycznego  wsparcia następuje  na podstawie art. 19 ust. 3 oraz art. 20-27  ustawy z 7 października 2020 r. o Funduszu Medycznym, odnoszących się do podmiotów, które mogą wziąć udział w konkursie, ogłaszania konkursu i wyłaniania  w ramach konkursu podmiotów, którym wsparcie zostanie udzielone. Ustalenie zasad konkursu w zakresie poziomu dofinansowania inwestycji dotyczących Centrów Zdrowia 75+  możliwe będzie po dokładnym zbadaniu potrzeb określonych przez </w:t>
            </w:r>
            <w:r w:rsidR="00817DBA">
              <w:rPr>
                <w:rFonts w:ascii="Lato" w:hAnsi="Lato"/>
                <w:sz w:val="16"/>
                <w:szCs w:val="16"/>
              </w:rPr>
              <w:t>W</w:t>
            </w:r>
            <w:r w:rsidRPr="00481015">
              <w:rPr>
                <w:rFonts w:ascii="Lato" w:hAnsi="Lato"/>
                <w:sz w:val="16"/>
                <w:szCs w:val="16"/>
              </w:rPr>
              <w:t>ojewodów w Wojewódzkich Planach.</w:t>
            </w:r>
          </w:p>
        </w:tc>
      </w:tr>
      <w:tr w:rsidR="00B07E62" w:rsidRPr="00481015" w14:paraId="47DE158C"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5158F8C3" w14:textId="77777777" w:rsidR="001F41DD" w:rsidRPr="00481015" w:rsidRDefault="001F41DD" w:rsidP="001F41DD">
            <w:pPr>
              <w:rPr>
                <w:rFonts w:ascii="Lato" w:hAnsi="Lato"/>
                <w:sz w:val="20"/>
                <w:szCs w:val="20"/>
              </w:rPr>
            </w:pPr>
          </w:p>
        </w:tc>
        <w:tc>
          <w:tcPr>
            <w:tcW w:w="607" w:type="dxa"/>
          </w:tcPr>
          <w:p w14:paraId="6AC47676" w14:textId="70DF825C"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b/>
                <w:bCs/>
                <w:sz w:val="20"/>
                <w:szCs w:val="20"/>
              </w:rPr>
              <w:t>120</w:t>
            </w:r>
            <w:r w:rsidRPr="00481015">
              <w:rPr>
                <w:rFonts w:ascii="Lato" w:hAnsi="Lato"/>
                <w:sz w:val="20"/>
                <w:szCs w:val="20"/>
              </w:rPr>
              <w:t xml:space="preserve">. </w:t>
            </w:r>
          </w:p>
        </w:tc>
        <w:tc>
          <w:tcPr>
            <w:tcW w:w="4465" w:type="dxa"/>
          </w:tcPr>
          <w:p w14:paraId="54F4D7F7" w14:textId="52AA4FCE"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b/>
                <w:bCs/>
                <w:sz w:val="20"/>
                <w:szCs w:val="20"/>
              </w:rPr>
              <w:t>Brak przepisów wykonawczych do ustawy</w:t>
            </w:r>
            <w:r w:rsidRPr="00481015">
              <w:rPr>
                <w:rFonts w:ascii="Lato" w:hAnsi="Lato"/>
                <w:sz w:val="20"/>
                <w:szCs w:val="20"/>
              </w:rPr>
              <w:t xml:space="preserve">, które w praktyce powinny wejść w życie razem z ustawą (szczególnie z uwagi na długie vacatio legis – od uchwalenia ustawy minęły ponad 4 miesiące), wydaje się być w chwili obecnej najistotniejszym problemem, ponieważ skutkuje ogromnymi wątpliwościami ze strony powiatów i niechęcią podmiotów leczniczych do zgłaszania deklaracji gotowości utworzenia CZ75+. </w:t>
            </w:r>
          </w:p>
          <w:p w14:paraId="500DF040"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41C6B911"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Brak przepisów wykonawczych będzie problemem m.in. w przypadku konieczności zawarcia przez powiaty porozumienia. W porozumieniu powinny się znaleźć m.in. warunki wzajemnych rozliczeń między powiatami, a w chwili obecnej trudno będzie je określić.</w:t>
            </w:r>
          </w:p>
          <w:p w14:paraId="7FB697A4"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1AE45FF2" w14:textId="13D3A831"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Brak rozporządzeń definiujących zasady realizacji świadczeń szczególnej opieki geriatrycznej skutkuje m.in. wątpliwościami </w:t>
            </w:r>
            <w:r w:rsidRPr="00481015">
              <w:rPr>
                <w:rFonts w:ascii="Lato" w:hAnsi="Lato"/>
                <w:sz w:val="20"/>
                <w:szCs w:val="20"/>
              </w:rPr>
              <w:lastRenderedPageBreak/>
              <w:t xml:space="preserve">dotyczącymi świadczeń z zakresu fizjoterapii, które mają być zapewniane w CZ75+. Powiaty mają problem z interpretacją, czy pacjentom centrum będzie trzeba zapewnić fizjoterapię (kinezyterapię, terapię manualną, hydroterapię itp.), czy jedynie poradę fizjoterapeuty w poradni konsultacyjnej; a jeżeli tylko poradę, to na czym ona miałaby polegać?  </w:t>
            </w:r>
          </w:p>
          <w:p w14:paraId="46419A02"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5D4C3FF5" w14:textId="5DBE296C"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W ustawie znalazła się delegacja dla Ministra Zdrowia do określenia, w drodze rozporządzenia, sposobu funkcjonowania i minimalnego zakresu świadczeń realizowanych przez dzienny ośrodek opieki geriatrycznej. W naszej opinii, </w:t>
            </w:r>
            <w:r w:rsidRPr="00481015">
              <w:rPr>
                <w:rFonts w:ascii="Lato" w:hAnsi="Lato"/>
                <w:b/>
                <w:bCs/>
                <w:sz w:val="20"/>
                <w:szCs w:val="20"/>
              </w:rPr>
              <w:t>rozporządzenie powinno precyzować sposób funkcjonowania wszystkich elementów, składających się na centrum.</w:t>
            </w:r>
            <w:r w:rsidRPr="00481015">
              <w:rPr>
                <w:rFonts w:ascii="Lato" w:hAnsi="Lato"/>
                <w:sz w:val="20"/>
                <w:szCs w:val="20"/>
              </w:rPr>
              <w:t xml:space="preserve"> Ponadto, </w:t>
            </w:r>
            <w:r w:rsidRPr="00481015">
              <w:rPr>
                <w:rFonts w:ascii="Lato" w:hAnsi="Lato"/>
                <w:b/>
                <w:bCs/>
                <w:sz w:val="20"/>
                <w:szCs w:val="20"/>
              </w:rPr>
              <w:t>w ustawie brakuje przepisu zobowiązującego Ministra Zdrowia do przygotowania rozporządzenia, o którym mowa w art. 31d ustawy z dnia 27 sierpnia 2004 r. o świadczeniach opieki zdrowotnej finansowanych ze środków publicznych, ewentualnie nowelizacji istniejących rozporządzeń koszykowych w odniesieniu do świadczeń szczególnej opieki geriatrycznej.</w:t>
            </w:r>
          </w:p>
        </w:tc>
        <w:tc>
          <w:tcPr>
            <w:tcW w:w="2831" w:type="dxa"/>
          </w:tcPr>
          <w:p w14:paraId="513E8227"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6613FE70" w14:textId="7F8DD739"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Na podstawie art. 24  ust.1 ustawy z dnia 17 sierpnia 2023 r. o szczególnej opiece geriatrycznej Minister określi, w drodze rozporządzenia, sposób funkcjonowania i minimalny zakres świadczeń realizowanych przez dzienny ośrodek opieki geriatrycznej. Powyższe zostanie zatem określone w drodze rozporządzenia.</w:t>
            </w:r>
          </w:p>
        </w:tc>
      </w:tr>
      <w:tr w:rsidR="005A4B73" w:rsidRPr="00481015" w14:paraId="45D3CE18"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6AAD2C73" w14:textId="77777777" w:rsidR="001F41DD" w:rsidRPr="00481015" w:rsidRDefault="001F41DD" w:rsidP="001F41DD">
            <w:pPr>
              <w:rPr>
                <w:rFonts w:ascii="Lato" w:hAnsi="Lato"/>
                <w:sz w:val="20"/>
                <w:szCs w:val="20"/>
              </w:rPr>
            </w:pPr>
          </w:p>
        </w:tc>
        <w:tc>
          <w:tcPr>
            <w:tcW w:w="607" w:type="dxa"/>
          </w:tcPr>
          <w:p w14:paraId="488F14FC" w14:textId="76829EA7"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481015">
              <w:rPr>
                <w:rFonts w:ascii="Lato" w:hAnsi="Lato"/>
                <w:b/>
                <w:bCs/>
                <w:sz w:val="20"/>
                <w:szCs w:val="20"/>
              </w:rPr>
              <w:t>131.</w:t>
            </w:r>
          </w:p>
        </w:tc>
        <w:tc>
          <w:tcPr>
            <w:tcW w:w="4465" w:type="dxa"/>
          </w:tcPr>
          <w:p w14:paraId="2B3A8FCD" w14:textId="2C754B9D"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b/>
                <w:bCs/>
                <w:sz w:val="20"/>
                <w:szCs w:val="20"/>
              </w:rPr>
              <w:t>Finansowanie utworzenia centrum</w:t>
            </w:r>
            <w:r w:rsidRPr="00481015">
              <w:rPr>
                <w:rFonts w:ascii="Lato" w:hAnsi="Lato"/>
                <w:sz w:val="20"/>
                <w:szCs w:val="20"/>
              </w:rPr>
              <w:t xml:space="preserve"> to zadanie własne powiatu, gdy potrzeba taka będzie wynikała z wojewódzkiego planu działania szczególnej opieki geriatrycznej. W takim przypadku, </w:t>
            </w:r>
            <w:r w:rsidRPr="00481015">
              <w:rPr>
                <w:rFonts w:ascii="Lato" w:hAnsi="Lato"/>
                <w:b/>
                <w:bCs/>
                <w:sz w:val="20"/>
                <w:szCs w:val="20"/>
              </w:rPr>
              <w:t>powiat jest obowiązany do utworzenia centrum nie później niż w terminie 5 lat od dnia wejścia w życie ustawy</w:t>
            </w:r>
            <w:r w:rsidRPr="00481015">
              <w:rPr>
                <w:rFonts w:ascii="Lato" w:hAnsi="Lato"/>
                <w:sz w:val="20"/>
                <w:szCs w:val="20"/>
              </w:rPr>
              <w:t>, albo do zawarcia porozumienia z powiatem sąsiednim (art. 55).</w:t>
            </w:r>
          </w:p>
          <w:p w14:paraId="4E6D7BFA"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1A3F7B66"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i/>
                <w:iCs/>
                <w:sz w:val="20"/>
                <w:szCs w:val="20"/>
              </w:rPr>
              <w:t xml:space="preserve">Zgodnie z art. 7 pkt 9 </w:t>
            </w:r>
            <w:r w:rsidRPr="00481015">
              <w:rPr>
                <w:rFonts w:ascii="Lato" w:hAnsi="Lato"/>
                <w:b/>
                <w:bCs/>
                <w:i/>
                <w:iCs/>
                <w:sz w:val="20"/>
                <w:szCs w:val="20"/>
              </w:rPr>
              <w:t>ustawy o funduszu medycznym</w:t>
            </w:r>
            <w:r w:rsidRPr="00481015">
              <w:rPr>
                <w:rFonts w:ascii="Lato" w:hAnsi="Lato"/>
                <w:sz w:val="20"/>
                <w:szCs w:val="20"/>
              </w:rPr>
              <w:t xml:space="preserve">, w zw. z art. 19 ust. 3 pkt 5 oraz art. 20 ust.1 wsparcie tworzenia centrów zdrowia 75+, o których mowa w ustawie o szczególnej opiece geriatrycznej następować będzie w ramach </w:t>
            </w:r>
            <w:r w:rsidRPr="00481015">
              <w:rPr>
                <w:rFonts w:ascii="Lato" w:hAnsi="Lato"/>
                <w:b/>
                <w:bCs/>
                <w:sz w:val="20"/>
                <w:szCs w:val="20"/>
              </w:rPr>
              <w:t>projektu programu inwestycyjnego</w:t>
            </w:r>
            <w:r w:rsidRPr="00481015">
              <w:rPr>
                <w:rFonts w:ascii="Lato" w:hAnsi="Lato"/>
                <w:sz w:val="20"/>
                <w:szCs w:val="20"/>
              </w:rPr>
              <w:t xml:space="preserve">, który opracowuje minister do spraw zdrowia i przedstawia Radzie Ministrów. </w:t>
            </w:r>
          </w:p>
          <w:p w14:paraId="59579DB7"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58A9EB5A"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W przypadku ustanowienia przez Radę Ministrów programu inwestycyjnego, o dofinansowanie w ramach tego programu mogą ubiegać się podmioty lecznicze udzielające świadczeń opieki zdrowotnej finansowanych ze środków publicznych. Dofinansowanie następuje w formie dotacji celowej ze środków subfunduszu modernizacji podmiotów leczniczych. Wybór wniosków o dofinansowanie w ramach programu inwestycyjnego następuje w drodze konkursu. </w:t>
            </w:r>
          </w:p>
          <w:p w14:paraId="4489B5F9" w14:textId="77777777"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108F2806" w14:textId="09B6CAAB"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481015">
              <w:rPr>
                <w:rFonts w:ascii="Lato" w:hAnsi="Lato"/>
                <w:sz w:val="20"/>
                <w:szCs w:val="20"/>
              </w:rPr>
              <w:t xml:space="preserve">W związku z tym, </w:t>
            </w:r>
            <w:r w:rsidRPr="00481015">
              <w:rPr>
                <w:rFonts w:ascii="Lato" w:hAnsi="Lato"/>
                <w:b/>
                <w:bCs/>
                <w:sz w:val="20"/>
                <w:szCs w:val="20"/>
              </w:rPr>
              <w:t>mogą być przypadki braku otrzymania dotacji i braku możliwości sfinansowania (ze środków Funduszu medycznego) utworzenia centrum na terenie powiatu</w:t>
            </w:r>
            <w:r w:rsidRPr="00481015">
              <w:rPr>
                <w:rFonts w:ascii="Lato" w:hAnsi="Lato"/>
                <w:sz w:val="20"/>
                <w:szCs w:val="20"/>
              </w:rPr>
              <w:t xml:space="preserve">, pomimo wymogów określonych w art. 55.: </w:t>
            </w:r>
            <w:r w:rsidRPr="00481015">
              <w:rPr>
                <w:rFonts w:ascii="Lato" w:hAnsi="Lato"/>
                <w:b/>
                <w:bCs/>
                <w:sz w:val="20"/>
                <w:szCs w:val="20"/>
              </w:rPr>
              <w:t>Powiat jest obowiązany do utworzenia centrum, w przypadku, gdy wynika to z wojewódzkiego planu, albo do zawarcia porozumienia</w:t>
            </w:r>
            <w:r w:rsidRPr="00481015">
              <w:rPr>
                <w:rFonts w:ascii="Lato" w:hAnsi="Lato"/>
                <w:sz w:val="20"/>
                <w:szCs w:val="20"/>
              </w:rPr>
              <w:t>, o którym mowa w art. 19 ust. 1, nie później niż w terminie 5 lat od dnia wejścia w życie ustawy.</w:t>
            </w:r>
          </w:p>
        </w:tc>
        <w:tc>
          <w:tcPr>
            <w:tcW w:w="2831" w:type="dxa"/>
          </w:tcPr>
          <w:p w14:paraId="454ECB89" w14:textId="77777777" w:rsidR="001F41DD" w:rsidRPr="00481015" w:rsidRDefault="001F41DD" w:rsidP="001F41DD">
            <w:pPr>
              <w:pStyle w:val="Akapitzlist"/>
              <w:spacing w:line="256" w:lineRule="auto"/>
              <w:ind w:left="0"/>
              <w:cnfStyle w:val="000000100000" w:firstRow="0" w:lastRow="0" w:firstColumn="0" w:lastColumn="0" w:oddVBand="0" w:evenVBand="0" w:oddHBand="1" w:evenHBand="0" w:firstRowFirstColumn="0" w:firstRowLastColumn="0" w:lastRowFirstColumn="0" w:lastRowLastColumn="0"/>
              <w:rPr>
                <w:rFonts w:ascii="Lato" w:hAnsi="Lato" w:cs="Times New Roman"/>
                <w:sz w:val="20"/>
                <w:szCs w:val="20"/>
              </w:rPr>
            </w:pPr>
            <w:r w:rsidRPr="00481015">
              <w:rPr>
                <w:rFonts w:ascii="Lato" w:hAnsi="Lato"/>
                <w:sz w:val="20"/>
                <w:szCs w:val="20"/>
              </w:rPr>
              <w:lastRenderedPageBreak/>
              <w:t xml:space="preserve">W związku z tym wymogiem, należy rozważyć </w:t>
            </w:r>
            <w:r w:rsidRPr="00481015">
              <w:rPr>
                <w:rFonts w:ascii="Lato" w:hAnsi="Lato"/>
                <w:b/>
                <w:bCs/>
                <w:sz w:val="20"/>
                <w:szCs w:val="20"/>
              </w:rPr>
              <w:t>wyłączenie z trybu konkursowego inwestycji dotyczących centrów zdrowia 75+,</w:t>
            </w:r>
            <w:r w:rsidRPr="00481015">
              <w:rPr>
                <w:rFonts w:ascii="Lato" w:hAnsi="Lato"/>
                <w:sz w:val="20"/>
                <w:szCs w:val="20"/>
              </w:rPr>
              <w:t xml:space="preserve"> o których mowa w art. 7 pkt 9 ustawy o funduszu medycznym</w:t>
            </w:r>
            <w:r w:rsidRPr="00481015">
              <w:rPr>
                <w:rFonts w:ascii="Lato" w:hAnsi="Lato" w:cs="Times New Roman"/>
                <w:sz w:val="20"/>
                <w:szCs w:val="20"/>
              </w:rPr>
              <w:t>.</w:t>
            </w:r>
          </w:p>
          <w:p w14:paraId="5EFF2566" w14:textId="2F3BF2F3"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7D4AB53C" w14:textId="4547FCE0"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 xml:space="preserve">Ustawa o szczególnej opiece geriatrycznej  jest ustawą regulującą całokształt kwestii dotyczących Centrów Zdrowia 75+, natomiast realizacja jej postanowień w zakresie udzielanego ze środków Funduszu Medycznego  wsparcia następuje  na podstawie art. 19 ust. 3 oraz art. 20-27  ustawy z 7 października 2020 r. o Funduszu Medycznym, odnoszących się do podmiotów, które mogą wziąć udział w konkursie, ogłaszania </w:t>
            </w:r>
            <w:r w:rsidRPr="00481015">
              <w:rPr>
                <w:rFonts w:ascii="Lato" w:hAnsi="Lato"/>
                <w:sz w:val="16"/>
                <w:szCs w:val="16"/>
              </w:rPr>
              <w:lastRenderedPageBreak/>
              <w:t>konkursu i wyłaniania  w ramach konkursu podmiotów, którym wsparcie zostanie udzielone.</w:t>
            </w:r>
          </w:p>
        </w:tc>
      </w:tr>
      <w:tr w:rsidR="00030972" w:rsidRPr="00481015" w14:paraId="3C1FC632"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20E833A2" w14:textId="77777777" w:rsidR="001F41DD" w:rsidRPr="00481015" w:rsidRDefault="001F41DD" w:rsidP="001F41DD">
            <w:pPr>
              <w:rPr>
                <w:rFonts w:ascii="Lato" w:hAnsi="Lato"/>
                <w:sz w:val="20"/>
                <w:szCs w:val="20"/>
              </w:rPr>
            </w:pPr>
          </w:p>
        </w:tc>
        <w:tc>
          <w:tcPr>
            <w:tcW w:w="607" w:type="dxa"/>
          </w:tcPr>
          <w:p w14:paraId="077412CB" w14:textId="250C8EBA"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481015">
              <w:rPr>
                <w:rFonts w:ascii="Lato" w:hAnsi="Lato"/>
                <w:b/>
                <w:bCs/>
                <w:sz w:val="20"/>
                <w:szCs w:val="20"/>
              </w:rPr>
              <w:t xml:space="preserve">132. </w:t>
            </w:r>
          </w:p>
        </w:tc>
        <w:tc>
          <w:tcPr>
            <w:tcW w:w="4465" w:type="dxa"/>
          </w:tcPr>
          <w:p w14:paraId="31668480"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i/>
                <w:iCs/>
                <w:sz w:val="20"/>
                <w:szCs w:val="20"/>
              </w:rPr>
              <w:t xml:space="preserve">Ustawa o działalności leczniczej w art. 114 </w:t>
            </w:r>
            <w:r w:rsidRPr="00481015">
              <w:rPr>
                <w:rFonts w:ascii="Lato" w:hAnsi="Lato"/>
                <w:sz w:val="20"/>
                <w:szCs w:val="20"/>
              </w:rPr>
              <w:t xml:space="preserve">wskazuje, że podmiot wykonujący działalność </w:t>
            </w:r>
            <w:r w:rsidRPr="00481015">
              <w:rPr>
                <w:rFonts w:ascii="Lato" w:hAnsi="Lato"/>
                <w:sz w:val="20"/>
                <w:szCs w:val="20"/>
              </w:rPr>
              <w:lastRenderedPageBreak/>
              <w:t xml:space="preserve">leczniczą może otrzymać środki publiczne z przeznaczeniem m.in. 2) remont, 3) inwestycje, w tym zakup aparatury i sprzętu medycznego. </w:t>
            </w:r>
          </w:p>
          <w:p w14:paraId="73AD3185"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Wysokość dotacji zależy m.in. od wysokości przychodów uzyskanych w roku poprzednim </w:t>
            </w:r>
            <w:r w:rsidRPr="00481015">
              <w:rPr>
                <w:rFonts w:ascii="Lato" w:hAnsi="Lato"/>
                <w:sz w:val="20"/>
                <w:szCs w:val="20"/>
              </w:rPr>
              <w:br/>
              <w:t xml:space="preserve">z tytułu udzielania świadczeń opieki zdrowotnej </w:t>
            </w:r>
          </w:p>
          <w:p w14:paraId="147D5E24" w14:textId="7777777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07119FFA" w14:textId="289148F8"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481015">
              <w:rPr>
                <w:rFonts w:ascii="Lato" w:hAnsi="Lato"/>
                <w:sz w:val="20"/>
                <w:szCs w:val="20"/>
              </w:rPr>
              <w:t xml:space="preserve">W związku z tym, po wyliczeniu wskaźnika mogą zaistnieć przypadki, iż dotacja nie będzie 100%, a tym samym może zaistnieć konieczność dodatkowego pokrycia kosztów ze środków własnych powiatu. Podobna sytuacja może zaistnieć z powodu ograniczonych możliwości pozyskania dotacji z </w:t>
            </w:r>
            <w:r w:rsidRPr="00481015">
              <w:rPr>
                <w:rFonts w:ascii="Lato" w:hAnsi="Lato"/>
                <w:b/>
                <w:bCs/>
                <w:sz w:val="20"/>
                <w:szCs w:val="20"/>
              </w:rPr>
              <w:t>funduszu medycznego.</w:t>
            </w:r>
            <w:r w:rsidRPr="00481015">
              <w:rPr>
                <w:rFonts w:ascii="Lato" w:hAnsi="Lato"/>
                <w:sz w:val="20"/>
                <w:szCs w:val="20"/>
              </w:rPr>
              <w:t xml:space="preserve"> W związku z tym, </w:t>
            </w:r>
            <w:r w:rsidRPr="00481015">
              <w:rPr>
                <w:rFonts w:ascii="Lato" w:hAnsi="Lato"/>
                <w:b/>
                <w:bCs/>
                <w:sz w:val="20"/>
                <w:szCs w:val="20"/>
              </w:rPr>
              <w:t>istnieje obawa, że ciężar finansowy pokrycia kosztów realizacji inwestycji skupi się na powiatach</w:t>
            </w:r>
            <w:r w:rsidRPr="00481015">
              <w:rPr>
                <w:rFonts w:ascii="Lato" w:hAnsi="Lato"/>
                <w:sz w:val="20"/>
                <w:szCs w:val="20"/>
              </w:rPr>
              <w:t>, które (w szczególności w sytuacji konieczności budowy nowego obiektu) mogą nie poradzić sobie z zadaniem sfinansowania utworzenia centrum.</w:t>
            </w:r>
          </w:p>
        </w:tc>
        <w:tc>
          <w:tcPr>
            <w:tcW w:w="2831" w:type="dxa"/>
          </w:tcPr>
          <w:p w14:paraId="4A32F04B" w14:textId="77777777"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942" w:type="dxa"/>
          </w:tcPr>
          <w:p w14:paraId="1F39491C" w14:textId="141622C9"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 xml:space="preserve">W odniesieniu do zawartej w pytaniu kwestii udzielania dotacji na podstawie ustawy o działalności leczniczej i </w:t>
            </w:r>
            <w:r w:rsidRPr="00481015">
              <w:rPr>
                <w:rFonts w:ascii="Lato" w:hAnsi="Lato"/>
                <w:sz w:val="16"/>
                <w:szCs w:val="16"/>
              </w:rPr>
              <w:lastRenderedPageBreak/>
              <w:t>wskaźnika p0 należy stwierdzić, że do dotacji udzielanych ze środków Funduszu Medycznego nie mają zastosowania  wskazane przepisy.  Możliwe jest udzielenie ze środków Funduszu Medycznego dotacji do wysokości 100% wartości inwestycji bez stosowania wskaźnika p0.</w:t>
            </w:r>
          </w:p>
        </w:tc>
      </w:tr>
      <w:tr w:rsidR="005A4B73" w:rsidRPr="00481015" w14:paraId="24F4BFD0" w14:textId="77777777" w:rsidTr="00030972">
        <w:trPr>
          <w:gridAfter w:val="1"/>
          <w:cnfStyle w:val="000000100000" w:firstRow="0" w:lastRow="0" w:firstColumn="0" w:lastColumn="0" w:oddVBand="0" w:evenVBand="0" w:oddHBand="1" w:evenHBand="0" w:firstRowFirstColumn="0" w:firstRowLastColumn="0" w:lastRowFirstColumn="0" w:lastRowLastColumn="0"/>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8F134D8" w14:textId="77777777" w:rsidR="001F41DD" w:rsidRPr="00481015" w:rsidRDefault="001F41DD" w:rsidP="001F41DD">
            <w:pPr>
              <w:rPr>
                <w:rFonts w:ascii="Lato" w:hAnsi="Lato"/>
                <w:sz w:val="20"/>
                <w:szCs w:val="20"/>
              </w:rPr>
            </w:pPr>
          </w:p>
        </w:tc>
        <w:tc>
          <w:tcPr>
            <w:tcW w:w="607" w:type="dxa"/>
          </w:tcPr>
          <w:p w14:paraId="146F62C0" w14:textId="4EA10054" w:rsidR="001F41DD" w:rsidRPr="00481015" w:rsidRDefault="005A4B73" w:rsidP="005A4B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r w:rsidRPr="00481015">
              <w:rPr>
                <w:rFonts w:ascii="Lato" w:hAnsi="Lato" w:cstheme="minorHAnsi"/>
                <w:b/>
                <w:bCs/>
                <w:sz w:val="20"/>
                <w:szCs w:val="20"/>
              </w:rPr>
              <w:t>134</w:t>
            </w:r>
            <w:r w:rsidRPr="00481015">
              <w:rPr>
                <w:rFonts w:ascii="Lato" w:hAnsi="Lato" w:cstheme="minorHAnsi"/>
                <w:sz w:val="20"/>
                <w:szCs w:val="20"/>
              </w:rPr>
              <w:t>.</w:t>
            </w:r>
          </w:p>
        </w:tc>
        <w:tc>
          <w:tcPr>
            <w:tcW w:w="4465" w:type="dxa"/>
          </w:tcPr>
          <w:p w14:paraId="2884EA7B" w14:textId="4FE65811" w:rsidR="001F41DD" w:rsidRPr="00481015" w:rsidRDefault="001F41DD" w:rsidP="001F41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r w:rsidRPr="00481015">
              <w:rPr>
                <w:rFonts w:ascii="Lato" w:hAnsi="Lato" w:cstheme="minorHAnsi"/>
                <w:i/>
                <w:iCs/>
                <w:sz w:val="20"/>
                <w:szCs w:val="20"/>
              </w:rPr>
              <w:t>Art. 19 ust. 5</w:t>
            </w:r>
            <w:r w:rsidRPr="00481015">
              <w:rPr>
                <w:rFonts w:ascii="Lato" w:hAnsi="Lato" w:cstheme="minorHAnsi"/>
                <w:sz w:val="20"/>
                <w:szCs w:val="20"/>
              </w:rPr>
              <w:t xml:space="preserve"> </w:t>
            </w:r>
            <w:r w:rsidRPr="00481015">
              <w:rPr>
                <w:rFonts w:ascii="Lato" w:hAnsi="Lato" w:cstheme="minorHAnsi"/>
                <w:b/>
                <w:bCs/>
                <w:sz w:val="20"/>
                <w:szCs w:val="20"/>
              </w:rPr>
              <w:t>ustawy o Funduszu Medycznym</w:t>
            </w:r>
            <w:r w:rsidRPr="00481015">
              <w:rPr>
                <w:rFonts w:ascii="Lato" w:hAnsi="Lato" w:cstheme="minorHAnsi"/>
                <w:sz w:val="20"/>
                <w:szCs w:val="20"/>
              </w:rPr>
              <w:t xml:space="preserve"> wskazuje, że: </w:t>
            </w:r>
            <w:r w:rsidRPr="00481015">
              <w:rPr>
                <w:rFonts w:ascii="Lato" w:hAnsi="Lato" w:cstheme="minorHAnsi"/>
                <w:i/>
                <w:iCs/>
                <w:sz w:val="20"/>
                <w:szCs w:val="20"/>
              </w:rPr>
              <w:t>W przypadku ustanowienia przez Radę Ministrów programu inwestycyjnego, o dofinansowanie w ramach tego programu mogą ubiegać się podmioty lecznicze udzielające świadczeń opieki zdrowotnej finansowanych ze środków publicznych. Dofinansowanie następuje w formie dotacji celowej ze środków subfunduszu modernizacji podmiotów leczniczych</w:t>
            </w:r>
            <w:r w:rsidRPr="00481015">
              <w:rPr>
                <w:rFonts w:ascii="Lato" w:hAnsi="Lato" w:cstheme="minorHAnsi"/>
                <w:sz w:val="20"/>
                <w:szCs w:val="20"/>
              </w:rPr>
              <w:t xml:space="preserve"> - w związku z tym </w:t>
            </w:r>
            <w:r w:rsidRPr="00481015">
              <w:rPr>
                <w:rFonts w:ascii="Lato" w:hAnsi="Lato" w:cstheme="minorHAnsi"/>
                <w:b/>
                <w:bCs/>
                <w:sz w:val="20"/>
                <w:szCs w:val="20"/>
              </w:rPr>
              <w:t>przepis nie będzie mógł mieć zastosowania, gdy Centrum zdrowia 75+ będzie tworzone od podstaw, gdyż na tym etapie Centrum nie będzie jeszcze realizatorem świadczeń finansowanych ze śr. publicznych.</w:t>
            </w:r>
          </w:p>
        </w:tc>
        <w:tc>
          <w:tcPr>
            <w:tcW w:w="2831" w:type="dxa"/>
          </w:tcPr>
          <w:p w14:paraId="0E244A60" w14:textId="77777777"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942" w:type="dxa"/>
          </w:tcPr>
          <w:p w14:paraId="2146089D" w14:textId="0A15B4C6" w:rsidR="001F41DD" w:rsidRPr="00481015" w:rsidRDefault="001F41DD" w:rsidP="001F41D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81015">
              <w:rPr>
                <w:rFonts w:ascii="Lato" w:hAnsi="Lato"/>
                <w:sz w:val="16"/>
                <w:szCs w:val="16"/>
              </w:rPr>
              <w:t>Zgodnie z art. 19 ust. 5  o dofinansowanie w ramach tego programu mogą ubiegać się podmioty lecznicze udzielające świadczeń opieki zdrowotnej finansowanych ze środków publicznych.</w:t>
            </w:r>
          </w:p>
        </w:tc>
      </w:tr>
      <w:tr w:rsidR="005A4B73" w:rsidRPr="00481015" w14:paraId="29B5F1EC" w14:textId="77777777" w:rsidTr="00030972">
        <w:trPr>
          <w:gridAfter w:val="1"/>
          <w:wAfter w:w="247" w:type="dxa"/>
        </w:trPr>
        <w:tc>
          <w:tcPr>
            <w:cnfStyle w:val="001000000000" w:firstRow="0" w:lastRow="0" w:firstColumn="1" w:lastColumn="0" w:oddVBand="0" w:evenVBand="0" w:oddHBand="0" w:evenHBand="0" w:firstRowFirstColumn="0" w:firstRowLastColumn="0" w:lastRowFirstColumn="0" w:lastRowLastColumn="0"/>
            <w:tcW w:w="2912" w:type="dxa"/>
            <w:vMerge/>
          </w:tcPr>
          <w:p w14:paraId="029E88B3" w14:textId="77777777" w:rsidR="001F41DD" w:rsidRPr="00481015" w:rsidRDefault="001F41DD" w:rsidP="001F41DD">
            <w:pPr>
              <w:rPr>
                <w:rFonts w:ascii="Lato" w:hAnsi="Lato"/>
                <w:sz w:val="20"/>
                <w:szCs w:val="20"/>
              </w:rPr>
            </w:pPr>
          </w:p>
        </w:tc>
        <w:tc>
          <w:tcPr>
            <w:tcW w:w="607" w:type="dxa"/>
          </w:tcPr>
          <w:p w14:paraId="05776EEB" w14:textId="046C8DCB" w:rsidR="001F41DD" w:rsidRPr="00481015" w:rsidRDefault="005A4B73" w:rsidP="005A4B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b/>
                <w:bCs/>
                <w:sz w:val="20"/>
                <w:szCs w:val="20"/>
              </w:rPr>
            </w:pPr>
            <w:r w:rsidRPr="00481015">
              <w:rPr>
                <w:rFonts w:ascii="Lato" w:hAnsi="Lato" w:cstheme="minorHAnsi"/>
                <w:b/>
                <w:bCs/>
                <w:sz w:val="20"/>
                <w:szCs w:val="20"/>
              </w:rPr>
              <w:t>135.</w:t>
            </w:r>
          </w:p>
        </w:tc>
        <w:tc>
          <w:tcPr>
            <w:tcW w:w="4465" w:type="dxa"/>
          </w:tcPr>
          <w:p w14:paraId="16EEF519" w14:textId="66D211A7"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481015">
              <w:rPr>
                <w:rFonts w:ascii="Lato" w:hAnsi="Lato" w:cstheme="minorHAnsi"/>
                <w:i/>
                <w:iCs/>
                <w:sz w:val="20"/>
                <w:szCs w:val="20"/>
              </w:rPr>
              <w:t>Art. 8</w:t>
            </w:r>
            <w:r w:rsidRPr="00481015">
              <w:rPr>
                <w:rFonts w:ascii="Lato" w:hAnsi="Lato" w:cstheme="minorHAnsi"/>
                <w:sz w:val="20"/>
                <w:szCs w:val="20"/>
              </w:rPr>
              <w:t xml:space="preserve"> wskazuje na zadania „powiatu”. Jednak ustawa z dnia 5 czerwca 1998 r. o samorządzie powiatowym rozróżnia </w:t>
            </w:r>
            <w:r w:rsidRPr="00481015">
              <w:rPr>
                <w:rFonts w:ascii="Lato" w:hAnsi="Lato" w:cstheme="minorHAnsi"/>
                <w:b/>
                <w:bCs/>
                <w:sz w:val="20"/>
                <w:szCs w:val="20"/>
              </w:rPr>
              <w:t xml:space="preserve">powiaty oraz miasta na prawach powiatu. </w:t>
            </w:r>
          </w:p>
        </w:tc>
        <w:tc>
          <w:tcPr>
            <w:tcW w:w="2831" w:type="dxa"/>
          </w:tcPr>
          <w:p w14:paraId="683D9128" w14:textId="34CD6C63" w:rsidR="001F41DD" w:rsidRPr="00481015" w:rsidRDefault="001F41DD" w:rsidP="001F41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481015">
              <w:rPr>
                <w:rFonts w:ascii="Lato" w:hAnsi="Lato" w:cstheme="minorHAnsi"/>
                <w:sz w:val="20"/>
                <w:szCs w:val="20"/>
              </w:rPr>
              <w:t xml:space="preserve">Wskazane jest uzupełnienie definicyjne tej kwestii poprzez dodatkowy zapis w art. 4 ustawy o szczególnej opiece geriatrycznej, tj., że </w:t>
            </w:r>
            <w:r w:rsidRPr="00481015">
              <w:rPr>
                <w:rFonts w:ascii="Lato" w:hAnsi="Lato" w:cstheme="minorHAnsi"/>
                <w:b/>
                <w:bCs/>
                <w:sz w:val="20"/>
                <w:szCs w:val="20"/>
              </w:rPr>
              <w:t>powiaty to także miasta na prawach powiatu</w:t>
            </w:r>
          </w:p>
        </w:tc>
        <w:tc>
          <w:tcPr>
            <w:tcW w:w="2942" w:type="dxa"/>
          </w:tcPr>
          <w:p w14:paraId="1CF68A8B" w14:textId="535916EA" w:rsidR="001F41DD" w:rsidRPr="00481015" w:rsidRDefault="001F41DD" w:rsidP="001F41D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81015">
              <w:rPr>
                <w:rFonts w:ascii="Lato" w:hAnsi="Lato"/>
                <w:sz w:val="16"/>
                <w:szCs w:val="16"/>
              </w:rPr>
              <w:t>Odpowiedź jest zawarta przy pyt. 2.</w:t>
            </w:r>
          </w:p>
        </w:tc>
      </w:tr>
    </w:tbl>
    <w:p w14:paraId="53F426F0" w14:textId="77777777" w:rsidR="00804B8D" w:rsidRPr="00E91F7A" w:rsidRDefault="00804B8D" w:rsidP="00737111">
      <w:pPr>
        <w:spacing w:after="0" w:line="240" w:lineRule="auto"/>
        <w:rPr>
          <w:rFonts w:ascii="Lato" w:hAnsi="Lato"/>
          <w:b/>
          <w:bCs/>
          <w:sz w:val="20"/>
          <w:szCs w:val="20"/>
        </w:rPr>
      </w:pPr>
    </w:p>
    <w:bookmarkEnd w:id="0"/>
    <w:p w14:paraId="785A824F" w14:textId="77777777" w:rsidR="00E41AAA" w:rsidRPr="00E91F7A" w:rsidRDefault="00E41AAA">
      <w:pPr>
        <w:spacing w:after="0" w:line="240" w:lineRule="auto"/>
        <w:rPr>
          <w:rFonts w:ascii="Lato" w:hAnsi="Lato"/>
          <w:b/>
          <w:bCs/>
          <w:sz w:val="20"/>
          <w:szCs w:val="20"/>
        </w:rPr>
      </w:pPr>
    </w:p>
    <w:sectPr w:rsidR="00E41AAA" w:rsidRPr="00E91F7A" w:rsidSect="00F8376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8D0" w14:textId="77777777" w:rsidR="00105287" w:rsidRDefault="00105287" w:rsidP="00C22FBE">
      <w:pPr>
        <w:spacing w:after="0" w:line="240" w:lineRule="auto"/>
      </w:pPr>
      <w:r>
        <w:separator/>
      </w:r>
    </w:p>
  </w:endnote>
  <w:endnote w:type="continuationSeparator" w:id="0">
    <w:p w14:paraId="1F18F41A" w14:textId="77777777" w:rsidR="00105287" w:rsidRDefault="00105287" w:rsidP="00C2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7491"/>
      <w:docPartObj>
        <w:docPartGallery w:val="Page Numbers (Bottom of Page)"/>
        <w:docPartUnique/>
      </w:docPartObj>
    </w:sdtPr>
    <w:sdtEndPr/>
    <w:sdtContent>
      <w:p w14:paraId="32B5EC98" w14:textId="1B4252D1" w:rsidR="00F42E72" w:rsidRDefault="00F42E72">
        <w:pPr>
          <w:pStyle w:val="Stopka"/>
          <w:jc w:val="center"/>
        </w:pPr>
        <w:r>
          <w:fldChar w:fldCharType="begin"/>
        </w:r>
        <w:r>
          <w:instrText>PAGE   \* MERGEFORMAT</w:instrText>
        </w:r>
        <w:r>
          <w:fldChar w:fldCharType="separate"/>
        </w:r>
        <w:r>
          <w:t>2</w:t>
        </w:r>
        <w:r>
          <w:fldChar w:fldCharType="end"/>
        </w:r>
      </w:p>
    </w:sdtContent>
  </w:sdt>
  <w:p w14:paraId="49F20B64" w14:textId="77777777" w:rsidR="00F42E72" w:rsidRDefault="00F42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3D04" w14:textId="77777777" w:rsidR="00105287" w:rsidRDefault="00105287" w:rsidP="00C22FBE">
      <w:pPr>
        <w:spacing w:after="0" w:line="240" w:lineRule="auto"/>
      </w:pPr>
      <w:r>
        <w:separator/>
      </w:r>
    </w:p>
  </w:footnote>
  <w:footnote w:type="continuationSeparator" w:id="0">
    <w:p w14:paraId="54CC2192" w14:textId="77777777" w:rsidR="00105287" w:rsidRDefault="00105287" w:rsidP="00C22FBE">
      <w:pPr>
        <w:spacing w:after="0" w:line="240" w:lineRule="auto"/>
      </w:pPr>
      <w:r>
        <w:continuationSeparator/>
      </w:r>
    </w:p>
  </w:footnote>
  <w:footnote w:id="1">
    <w:p w14:paraId="640D63AF" w14:textId="3F5784B3" w:rsidR="006749B2" w:rsidRDefault="006749B2">
      <w:pPr>
        <w:pStyle w:val="Tekstprzypisudolnego"/>
      </w:pPr>
      <w:r>
        <w:rPr>
          <w:rStyle w:val="Odwoanieprzypisudolnego"/>
        </w:rPr>
        <w:footnoteRef/>
      </w:r>
      <w:r>
        <w:t xml:space="preserve"> Zachowano punktację z zestawiania wszystkich kwestii problematycznych zgłoszonych po spotkaniu, aby sukcesywnie uzupełniać odpowiedzi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CA9B" w14:textId="704D768D" w:rsidR="00E91F7A" w:rsidRPr="004B26DD" w:rsidRDefault="00A9439D" w:rsidP="00C22FBE">
    <w:pPr>
      <w:pStyle w:val="Nagwek"/>
      <w:jc w:val="center"/>
      <w:rPr>
        <w:rFonts w:ascii="Lato" w:hAnsi="Lato"/>
        <w:b/>
        <w:bCs/>
        <w:color w:val="2F5496" w:themeColor="accent1" w:themeShade="BF"/>
        <w:sz w:val="24"/>
        <w:szCs w:val="24"/>
      </w:rPr>
    </w:pPr>
    <w:r>
      <w:rPr>
        <w:rFonts w:ascii="Lato" w:hAnsi="Lato"/>
        <w:b/>
        <w:bCs/>
        <w:color w:val="2F5496" w:themeColor="accent1" w:themeShade="BF"/>
        <w:sz w:val="24"/>
        <w:szCs w:val="24"/>
      </w:rPr>
      <w:t>I część odpowiedzi na p</w:t>
    </w:r>
    <w:r w:rsidR="00C22FBE" w:rsidRPr="004B26DD">
      <w:rPr>
        <w:rFonts w:ascii="Lato" w:hAnsi="Lato"/>
        <w:b/>
        <w:bCs/>
        <w:color w:val="2F5496" w:themeColor="accent1" w:themeShade="BF"/>
        <w:sz w:val="24"/>
        <w:szCs w:val="24"/>
      </w:rPr>
      <w:t>ytania, uwagi</w:t>
    </w:r>
    <w:r w:rsidR="001D0A14" w:rsidRPr="004B26DD">
      <w:rPr>
        <w:rFonts w:ascii="Lato" w:hAnsi="Lato"/>
        <w:b/>
        <w:bCs/>
        <w:color w:val="2F5496" w:themeColor="accent1" w:themeShade="BF"/>
        <w:sz w:val="24"/>
        <w:szCs w:val="24"/>
      </w:rPr>
      <w:t xml:space="preserve">, </w:t>
    </w:r>
    <w:r w:rsidR="00E91F7A" w:rsidRPr="004B26DD">
      <w:rPr>
        <w:rFonts w:ascii="Lato" w:hAnsi="Lato"/>
        <w:b/>
        <w:bCs/>
        <w:color w:val="2F5496" w:themeColor="accent1" w:themeShade="BF"/>
        <w:sz w:val="24"/>
        <w:szCs w:val="24"/>
      </w:rPr>
      <w:t>post</w:t>
    </w:r>
    <w:r w:rsidR="001D0A14" w:rsidRPr="004B26DD">
      <w:rPr>
        <w:rFonts w:ascii="Lato" w:hAnsi="Lato"/>
        <w:b/>
        <w:bCs/>
        <w:color w:val="2F5496" w:themeColor="accent1" w:themeShade="BF"/>
        <w:sz w:val="24"/>
        <w:szCs w:val="24"/>
      </w:rPr>
      <w:t>ulaty</w:t>
    </w:r>
    <w:r w:rsidR="00C22FBE" w:rsidRPr="004B26DD">
      <w:rPr>
        <w:rFonts w:ascii="Lato" w:hAnsi="Lato"/>
        <w:b/>
        <w:bCs/>
        <w:color w:val="2F5496" w:themeColor="accent1" w:themeShade="BF"/>
        <w:sz w:val="24"/>
        <w:szCs w:val="24"/>
      </w:rPr>
      <w:t xml:space="preserve"> do</w:t>
    </w:r>
    <w:r w:rsidR="005A3F41" w:rsidRPr="004B26DD">
      <w:rPr>
        <w:rFonts w:ascii="Lato" w:hAnsi="Lato"/>
        <w:b/>
        <w:bCs/>
        <w:color w:val="2F5496" w:themeColor="accent1" w:themeShade="BF"/>
        <w:sz w:val="24"/>
        <w:szCs w:val="24"/>
      </w:rPr>
      <w:t>t.</w:t>
    </w:r>
    <w:r w:rsidR="00C22FBE" w:rsidRPr="004B26DD">
      <w:rPr>
        <w:rFonts w:ascii="Lato" w:hAnsi="Lato"/>
        <w:b/>
        <w:bCs/>
        <w:color w:val="2F5496" w:themeColor="accent1" w:themeShade="BF"/>
        <w:sz w:val="24"/>
        <w:szCs w:val="24"/>
      </w:rPr>
      <w:t xml:space="preserve"> założeń oraz sposobu realizacji</w:t>
    </w:r>
  </w:p>
  <w:p w14:paraId="312EC25E" w14:textId="78B5BA73" w:rsidR="00C22FBE" w:rsidRDefault="00C22FBE" w:rsidP="00C22FBE">
    <w:pPr>
      <w:pStyle w:val="Nagwek"/>
      <w:jc w:val="center"/>
      <w:rPr>
        <w:rFonts w:ascii="Lato" w:hAnsi="Lato"/>
        <w:b/>
        <w:bCs/>
        <w:color w:val="2F5496" w:themeColor="accent1" w:themeShade="BF"/>
        <w:sz w:val="24"/>
        <w:szCs w:val="24"/>
      </w:rPr>
    </w:pPr>
    <w:r w:rsidRPr="004B26DD">
      <w:rPr>
        <w:rFonts w:ascii="Lato" w:hAnsi="Lato"/>
        <w:b/>
        <w:bCs/>
        <w:color w:val="2F5496" w:themeColor="accent1" w:themeShade="BF"/>
        <w:sz w:val="24"/>
        <w:szCs w:val="24"/>
      </w:rPr>
      <w:t xml:space="preserve"> ustawy z dnia 17 sierpnia 2023 r. o szczególnej opiece geriatrycznej</w:t>
    </w:r>
  </w:p>
  <w:p w14:paraId="1D1AB2CC" w14:textId="77777777" w:rsidR="006749B2" w:rsidRDefault="006749B2" w:rsidP="00C22FBE">
    <w:pPr>
      <w:pStyle w:val="Nagwek"/>
      <w:jc w:val="center"/>
      <w:rPr>
        <w:rFonts w:ascii="Lato" w:hAnsi="Lato"/>
        <w:b/>
        <w:bCs/>
        <w:color w:val="2F5496" w:themeColor="accent1" w:themeShade="BF"/>
        <w:sz w:val="24"/>
        <w:szCs w:val="24"/>
      </w:rPr>
    </w:pPr>
  </w:p>
  <w:p w14:paraId="6A313A31" w14:textId="1329FE06" w:rsidR="00A9439D" w:rsidRPr="004B26DD" w:rsidRDefault="00A9439D" w:rsidP="00C22FBE">
    <w:pPr>
      <w:pStyle w:val="Nagwek"/>
      <w:jc w:val="center"/>
      <w:rPr>
        <w:rFonts w:ascii="Lato" w:hAnsi="Lato"/>
        <w:b/>
        <w:bCs/>
        <w:color w:val="2F5496" w:themeColor="accent1" w:themeShade="B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363"/>
    <w:multiLevelType w:val="hybridMultilevel"/>
    <w:tmpl w:val="B448B048"/>
    <w:lvl w:ilvl="0" w:tplc="08EED234">
      <w:start w:val="1"/>
      <w:numFmt w:val="lowerLetter"/>
      <w:lvlText w:val="%1)"/>
      <w:lvlJc w:val="left"/>
      <w:pPr>
        <w:ind w:left="92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67D140C"/>
    <w:multiLevelType w:val="hybridMultilevel"/>
    <w:tmpl w:val="7AEC429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03432E"/>
    <w:multiLevelType w:val="hybridMultilevel"/>
    <w:tmpl w:val="FBF0D6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A10D3B"/>
    <w:multiLevelType w:val="hybridMultilevel"/>
    <w:tmpl w:val="A6BE43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64F00B9"/>
    <w:multiLevelType w:val="hybridMultilevel"/>
    <w:tmpl w:val="4380D288"/>
    <w:lvl w:ilvl="0" w:tplc="475ACBF8">
      <w:start w:val="1"/>
      <w:numFmt w:val="bullet"/>
      <w:lvlText w:val=""/>
      <w:lvlJc w:val="left"/>
      <w:pPr>
        <w:ind w:left="731" w:hanging="360"/>
      </w:pPr>
      <w:rPr>
        <w:rFonts w:ascii="Symbol" w:hAnsi="Symbol" w:hint="default"/>
      </w:rPr>
    </w:lvl>
    <w:lvl w:ilvl="1" w:tplc="04150003">
      <w:start w:val="1"/>
      <w:numFmt w:val="bullet"/>
      <w:lvlText w:val="o"/>
      <w:lvlJc w:val="left"/>
      <w:pPr>
        <w:ind w:left="1451" w:hanging="360"/>
      </w:pPr>
      <w:rPr>
        <w:rFonts w:ascii="Courier New" w:hAnsi="Courier New" w:cs="Courier New" w:hint="default"/>
      </w:rPr>
    </w:lvl>
    <w:lvl w:ilvl="2" w:tplc="04150005">
      <w:start w:val="1"/>
      <w:numFmt w:val="bullet"/>
      <w:lvlText w:val=""/>
      <w:lvlJc w:val="left"/>
      <w:pPr>
        <w:ind w:left="2171" w:hanging="360"/>
      </w:pPr>
      <w:rPr>
        <w:rFonts w:ascii="Wingdings" w:hAnsi="Wingdings" w:hint="default"/>
      </w:rPr>
    </w:lvl>
    <w:lvl w:ilvl="3" w:tplc="04150001">
      <w:start w:val="1"/>
      <w:numFmt w:val="bullet"/>
      <w:lvlText w:val=""/>
      <w:lvlJc w:val="left"/>
      <w:pPr>
        <w:ind w:left="2891" w:hanging="360"/>
      </w:pPr>
      <w:rPr>
        <w:rFonts w:ascii="Symbol" w:hAnsi="Symbol" w:hint="default"/>
      </w:rPr>
    </w:lvl>
    <w:lvl w:ilvl="4" w:tplc="04150003">
      <w:start w:val="1"/>
      <w:numFmt w:val="bullet"/>
      <w:lvlText w:val="o"/>
      <w:lvlJc w:val="left"/>
      <w:pPr>
        <w:ind w:left="3611" w:hanging="360"/>
      </w:pPr>
      <w:rPr>
        <w:rFonts w:ascii="Courier New" w:hAnsi="Courier New" w:cs="Courier New" w:hint="default"/>
      </w:rPr>
    </w:lvl>
    <w:lvl w:ilvl="5" w:tplc="04150005">
      <w:start w:val="1"/>
      <w:numFmt w:val="bullet"/>
      <w:lvlText w:val=""/>
      <w:lvlJc w:val="left"/>
      <w:pPr>
        <w:ind w:left="4331" w:hanging="360"/>
      </w:pPr>
      <w:rPr>
        <w:rFonts w:ascii="Wingdings" w:hAnsi="Wingdings" w:hint="default"/>
      </w:rPr>
    </w:lvl>
    <w:lvl w:ilvl="6" w:tplc="04150001">
      <w:start w:val="1"/>
      <w:numFmt w:val="bullet"/>
      <w:lvlText w:val=""/>
      <w:lvlJc w:val="left"/>
      <w:pPr>
        <w:ind w:left="5051" w:hanging="360"/>
      </w:pPr>
      <w:rPr>
        <w:rFonts w:ascii="Symbol" w:hAnsi="Symbol" w:hint="default"/>
      </w:rPr>
    </w:lvl>
    <w:lvl w:ilvl="7" w:tplc="04150003">
      <w:start w:val="1"/>
      <w:numFmt w:val="bullet"/>
      <w:lvlText w:val="o"/>
      <w:lvlJc w:val="left"/>
      <w:pPr>
        <w:ind w:left="5771" w:hanging="360"/>
      </w:pPr>
      <w:rPr>
        <w:rFonts w:ascii="Courier New" w:hAnsi="Courier New" w:cs="Courier New" w:hint="default"/>
      </w:rPr>
    </w:lvl>
    <w:lvl w:ilvl="8" w:tplc="04150005">
      <w:start w:val="1"/>
      <w:numFmt w:val="bullet"/>
      <w:lvlText w:val=""/>
      <w:lvlJc w:val="left"/>
      <w:pPr>
        <w:ind w:left="6491" w:hanging="360"/>
      </w:pPr>
      <w:rPr>
        <w:rFonts w:ascii="Wingdings" w:hAnsi="Wingdings" w:hint="default"/>
      </w:rPr>
    </w:lvl>
  </w:abstractNum>
  <w:abstractNum w:abstractNumId="5" w15:restartNumberingAfterBreak="0">
    <w:nsid w:val="179F649D"/>
    <w:multiLevelType w:val="hybridMultilevel"/>
    <w:tmpl w:val="2AAEBD64"/>
    <w:lvl w:ilvl="0" w:tplc="0D7EEE5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B467B37"/>
    <w:multiLevelType w:val="hybridMultilevel"/>
    <w:tmpl w:val="70340594"/>
    <w:lvl w:ilvl="0" w:tplc="641AA3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6415C2"/>
    <w:multiLevelType w:val="hybridMultilevel"/>
    <w:tmpl w:val="ACFCEDE8"/>
    <w:lvl w:ilvl="0" w:tplc="0D7EEE56">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8" w15:restartNumberingAfterBreak="0">
    <w:nsid w:val="23D27512"/>
    <w:multiLevelType w:val="hybridMultilevel"/>
    <w:tmpl w:val="1D6AD6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B7182E"/>
    <w:multiLevelType w:val="hybridMultilevel"/>
    <w:tmpl w:val="9FEA63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D61199A"/>
    <w:multiLevelType w:val="hybridMultilevel"/>
    <w:tmpl w:val="1890BC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34A6286"/>
    <w:multiLevelType w:val="hybridMultilevel"/>
    <w:tmpl w:val="8C285E92"/>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3821F4"/>
    <w:multiLevelType w:val="hybridMultilevel"/>
    <w:tmpl w:val="58A8853E"/>
    <w:lvl w:ilvl="0" w:tplc="0415000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3EFF7703"/>
    <w:multiLevelType w:val="hybridMultilevel"/>
    <w:tmpl w:val="37EE11FE"/>
    <w:lvl w:ilvl="0" w:tplc="7F9CEFB8">
      <w:start w:val="1"/>
      <w:numFmt w:val="decimal"/>
      <w:lvlText w:val="%1."/>
      <w:lvlJc w:val="left"/>
      <w:pPr>
        <w:ind w:left="360" w:hanging="360"/>
      </w:pPr>
      <w:rPr>
        <w:b w:val="0"/>
        <w:bCs w:val="0"/>
        <w:i w:val="0"/>
        <w:iCs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FD05384"/>
    <w:multiLevelType w:val="hybridMultilevel"/>
    <w:tmpl w:val="8E283CCE"/>
    <w:lvl w:ilvl="0" w:tplc="6B2C02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63F2C7D"/>
    <w:multiLevelType w:val="hybridMultilevel"/>
    <w:tmpl w:val="3C68F31C"/>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B75A87"/>
    <w:multiLevelType w:val="hybridMultilevel"/>
    <w:tmpl w:val="64407DB6"/>
    <w:lvl w:ilvl="0" w:tplc="0D7EEE56">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 w15:restartNumberingAfterBreak="0">
    <w:nsid w:val="5A3869DE"/>
    <w:multiLevelType w:val="hybridMultilevel"/>
    <w:tmpl w:val="DB04BFF6"/>
    <w:lvl w:ilvl="0" w:tplc="0415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5D1828D6"/>
    <w:multiLevelType w:val="hybridMultilevel"/>
    <w:tmpl w:val="B2FE475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5D30448B"/>
    <w:multiLevelType w:val="hybridMultilevel"/>
    <w:tmpl w:val="ACBE9D2A"/>
    <w:lvl w:ilvl="0" w:tplc="6B2C02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1792C8E"/>
    <w:multiLevelType w:val="hybridMultilevel"/>
    <w:tmpl w:val="36C46E56"/>
    <w:lvl w:ilvl="0" w:tplc="649E6D1E">
      <w:start w:val="1"/>
      <w:numFmt w:val="decimal"/>
      <w:lvlText w:val="%1."/>
      <w:lvlJc w:val="left"/>
      <w:pPr>
        <w:ind w:left="720" w:hanging="360"/>
      </w:pPr>
      <w:rPr>
        <w:rFonts w:ascii="Times New Roman" w:hAnsi="Times New Roman" w:cs="Times New Roman"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C31B8C"/>
    <w:multiLevelType w:val="hybridMultilevel"/>
    <w:tmpl w:val="FEA0D57A"/>
    <w:lvl w:ilvl="0" w:tplc="475ACBF8">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hint="default"/>
      </w:rPr>
    </w:lvl>
    <w:lvl w:ilvl="3" w:tplc="04150001">
      <w:start w:val="1"/>
      <w:numFmt w:val="bullet"/>
      <w:lvlText w:val=""/>
      <w:lvlJc w:val="left"/>
      <w:pPr>
        <w:ind w:left="3448" w:hanging="360"/>
      </w:pPr>
      <w:rPr>
        <w:rFonts w:ascii="Symbol" w:hAnsi="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hint="default"/>
      </w:rPr>
    </w:lvl>
    <w:lvl w:ilvl="6" w:tplc="04150001">
      <w:start w:val="1"/>
      <w:numFmt w:val="bullet"/>
      <w:lvlText w:val=""/>
      <w:lvlJc w:val="left"/>
      <w:pPr>
        <w:ind w:left="5608" w:hanging="360"/>
      </w:pPr>
      <w:rPr>
        <w:rFonts w:ascii="Symbol" w:hAnsi="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hint="default"/>
      </w:rPr>
    </w:lvl>
  </w:abstractNum>
  <w:abstractNum w:abstractNumId="22" w15:restartNumberingAfterBreak="0">
    <w:nsid w:val="6F887260"/>
    <w:multiLevelType w:val="multilevel"/>
    <w:tmpl w:val="6CDEDB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76A74FB"/>
    <w:multiLevelType w:val="hybridMultilevel"/>
    <w:tmpl w:val="0DBEAA1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6A150B"/>
    <w:multiLevelType w:val="hybridMultilevel"/>
    <w:tmpl w:val="00A045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EF71EE2"/>
    <w:multiLevelType w:val="hybridMultilevel"/>
    <w:tmpl w:val="DB6C67B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16cid:durableId="1546943264">
    <w:abstractNumId w:val="19"/>
  </w:num>
  <w:num w:numId="2" w16cid:durableId="579481303">
    <w:abstractNumId w:val="10"/>
  </w:num>
  <w:num w:numId="3" w16cid:durableId="1393120858">
    <w:abstractNumId w:val="24"/>
  </w:num>
  <w:num w:numId="4" w16cid:durableId="979729754">
    <w:abstractNumId w:val="9"/>
  </w:num>
  <w:num w:numId="5" w16cid:durableId="270161670">
    <w:abstractNumId w:val="22"/>
  </w:num>
  <w:num w:numId="6" w16cid:durableId="1862477779">
    <w:abstractNumId w:val="3"/>
  </w:num>
  <w:num w:numId="7" w16cid:durableId="1501044664">
    <w:abstractNumId w:val="2"/>
  </w:num>
  <w:num w:numId="8" w16cid:durableId="264313198">
    <w:abstractNumId w:val="18"/>
  </w:num>
  <w:num w:numId="9" w16cid:durableId="791483937">
    <w:abstractNumId w:val="20"/>
  </w:num>
  <w:num w:numId="10" w16cid:durableId="575676022">
    <w:abstractNumId w:val="11"/>
  </w:num>
  <w:num w:numId="11" w16cid:durableId="1777366173">
    <w:abstractNumId w:val="23"/>
  </w:num>
  <w:num w:numId="12" w16cid:durableId="1656060774">
    <w:abstractNumId w:val="16"/>
  </w:num>
  <w:num w:numId="13" w16cid:durableId="179005006">
    <w:abstractNumId w:val="5"/>
  </w:num>
  <w:num w:numId="14" w16cid:durableId="1916278214">
    <w:abstractNumId w:val="21"/>
  </w:num>
  <w:num w:numId="15" w16cid:durableId="97183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97754">
    <w:abstractNumId w:val="7"/>
  </w:num>
  <w:num w:numId="17" w16cid:durableId="1503085321">
    <w:abstractNumId w:val="4"/>
  </w:num>
  <w:num w:numId="18" w16cid:durableId="668950770">
    <w:abstractNumId w:val="0"/>
  </w:num>
  <w:num w:numId="19" w16cid:durableId="1162816917">
    <w:abstractNumId w:val="17"/>
  </w:num>
  <w:num w:numId="20" w16cid:durableId="1024866627">
    <w:abstractNumId w:val="25"/>
  </w:num>
  <w:num w:numId="21" w16cid:durableId="914630385">
    <w:abstractNumId w:val="12"/>
  </w:num>
  <w:num w:numId="22" w16cid:durableId="856456865">
    <w:abstractNumId w:val="1"/>
  </w:num>
  <w:num w:numId="23" w16cid:durableId="692148113">
    <w:abstractNumId w:val="8"/>
  </w:num>
  <w:num w:numId="24" w16cid:durableId="844244955">
    <w:abstractNumId w:val="13"/>
  </w:num>
  <w:num w:numId="25" w16cid:durableId="1108350871">
    <w:abstractNumId w:val="6"/>
  </w:num>
  <w:num w:numId="26" w16cid:durableId="196552240">
    <w:abstractNumId w:val="14"/>
  </w:num>
  <w:num w:numId="27" w16cid:durableId="649576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65"/>
    <w:rsid w:val="00000530"/>
    <w:rsid w:val="00020D57"/>
    <w:rsid w:val="00022236"/>
    <w:rsid w:val="00030972"/>
    <w:rsid w:val="00031188"/>
    <w:rsid w:val="00046720"/>
    <w:rsid w:val="00062351"/>
    <w:rsid w:val="000666B2"/>
    <w:rsid w:val="000700C7"/>
    <w:rsid w:val="0007431F"/>
    <w:rsid w:val="00095FEB"/>
    <w:rsid w:val="000A2743"/>
    <w:rsid w:val="000B3451"/>
    <w:rsid w:val="000B474D"/>
    <w:rsid w:val="000B6B4C"/>
    <w:rsid w:val="000C0726"/>
    <w:rsid w:val="000C32B3"/>
    <w:rsid w:val="000C52AD"/>
    <w:rsid w:val="000D6F04"/>
    <w:rsid w:val="000F1617"/>
    <w:rsid w:val="00101C3E"/>
    <w:rsid w:val="00105287"/>
    <w:rsid w:val="00105AB1"/>
    <w:rsid w:val="00125E7D"/>
    <w:rsid w:val="00127482"/>
    <w:rsid w:val="00143219"/>
    <w:rsid w:val="00151480"/>
    <w:rsid w:val="00164BAE"/>
    <w:rsid w:val="0016584C"/>
    <w:rsid w:val="00170AC5"/>
    <w:rsid w:val="00173FBC"/>
    <w:rsid w:val="0018292C"/>
    <w:rsid w:val="00197AF7"/>
    <w:rsid w:val="001A20CC"/>
    <w:rsid w:val="001A2DCB"/>
    <w:rsid w:val="001B1CAC"/>
    <w:rsid w:val="001B2C6E"/>
    <w:rsid w:val="001B4FC3"/>
    <w:rsid w:val="001C3773"/>
    <w:rsid w:val="001C5B77"/>
    <w:rsid w:val="001D0A14"/>
    <w:rsid w:val="001E2EA8"/>
    <w:rsid w:val="001E35BC"/>
    <w:rsid w:val="001F41DD"/>
    <w:rsid w:val="001F684C"/>
    <w:rsid w:val="001F6B9D"/>
    <w:rsid w:val="0020358A"/>
    <w:rsid w:val="00203A4B"/>
    <w:rsid w:val="00224F1E"/>
    <w:rsid w:val="002400F7"/>
    <w:rsid w:val="00244005"/>
    <w:rsid w:val="002537E7"/>
    <w:rsid w:val="00256EC2"/>
    <w:rsid w:val="00273EF3"/>
    <w:rsid w:val="002817DC"/>
    <w:rsid w:val="0028500B"/>
    <w:rsid w:val="00292F9D"/>
    <w:rsid w:val="002B2BE4"/>
    <w:rsid w:val="002B4943"/>
    <w:rsid w:val="002C1A31"/>
    <w:rsid w:val="002E01AF"/>
    <w:rsid w:val="002E147B"/>
    <w:rsid w:val="002E6E4F"/>
    <w:rsid w:val="002F5AD9"/>
    <w:rsid w:val="00317305"/>
    <w:rsid w:val="00323113"/>
    <w:rsid w:val="003255D3"/>
    <w:rsid w:val="00350119"/>
    <w:rsid w:val="00350A2D"/>
    <w:rsid w:val="003669B1"/>
    <w:rsid w:val="00395A7D"/>
    <w:rsid w:val="003A0500"/>
    <w:rsid w:val="003B36AA"/>
    <w:rsid w:val="003B5F91"/>
    <w:rsid w:val="003D7475"/>
    <w:rsid w:val="003E3075"/>
    <w:rsid w:val="003E6933"/>
    <w:rsid w:val="003E6DF0"/>
    <w:rsid w:val="00400E2A"/>
    <w:rsid w:val="0040106E"/>
    <w:rsid w:val="00403DAC"/>
    <w:rsid w:val="004121DF"/>
    <w:rsid w:val="004124BF"/>
    <w:rsid w:val="00414016"/>
    <w:rsid w:val="00416299"/>
    <w:rsid w:val="00417988"/>
    <w:rsid w:val="00425888"/>
    <w:rsid w:val="00432768"/>
    <w:rsid w:val="0043704B"/>
    <w:rsid w:val="00442E85"/>
    <w:rsid w:val="004456BB"/>
    <w:rsid w:val="004579EF"/>
    <w:rsid w:val="00461057"/>
    <w:rsid w:val="0046583A"/>
    <w:rsid w:val="00471D87"/>
    <w:rsid w:val="00481015"/>
    <w:rsid w:val="004A1D04"/>
    <w:rsid w:val="004A7200"/>
    <w:rsid w:val="004B26DD"/>
    <w:rsid w:val="004C1BEC"/>
    <w:rsid w:val="004C2722"/>
    <w:rsid w:val="004D0C21"/>
    <w:rsid w:val="004D64AF"/>
    <w:rsid w:val="004E2547"/>
    <w:rsid w:val="004F2EB4"/>
    <w:rsid w:val="005114AB"/>
    <w:rsid w:val="00515465"/>
    <w:rsid w:val="00517031"/>
    <w:rsid w:val="005339D5"/>
    <w:rsid w:val="00541B8C"/>
    <w:rsid w:val="0054419C"/>
    <w:rsid w:val="0055142E"/>
    <w:rsid w:val="0056215D"/>
    <w:rsid w:val="00570B0F"/>
    <w:rsid w:val="005712A3"/>
    <w:rsid w:val="00593AE5"/>
    <w:rsid w:val="00593D71"/>
    <w:rsid w:val="005A3670"/>
    <w:rsid w:val="005A3F41"/>
    <w:rsid w:val="005A4B73"/>
    <w:rsid w:val="005B2E7C"/>
    <w:rsid w:val="005B6ED5"/>
    <w:rsid w:val="005C155F"/>
    <w:rsid w:val="005D147D"/>
    <w:rsid w:val="005E0507"/>
    <w:rsid w:val="005E47CE"/>
    <w:rsid w:val="005E554B"/>
    <w:rsid w:val="005E7592"/>
    <w:rsid w:val="005F3CEF"/>
    <w:rsid w:val="005F41E7"/>
    <w:rsid w:val="0060110F"/>
    <w:rsid w:val="00605351"/>
    <w:rsid w:val="00610D6D"/>
    <w:rsid w:val="006172B4"/>
    <w:rsid w:val="00620922"/>
    <w:rsid w:val="00631967"/>
    <w:rsid w:val="00644D08"/>
    <w:rsid w:val="00651F94"/>
    <w:rsid w:val="00666B2B"/>
    <w:rsid w:val="00667824"/>
    <w:rsid w:val="0067275A"/>
    <w:rsid w:val="006749B2"/>
    <w:rsid w:val="00691F87"/>
    <w:rsid w:val="00692421"/>
    <w:rsid w:val="006A25DA"/>
    <w:rsid w:val="006A6E18"/>
    <w:rsid w:val="006A7D4F"/>
    <w:rsid w:val="006B01AE"/>
    <w:rsid w:val="006B1E55"/>
    <w:rsid w:val="006B2AB4"/>
    <w:rsid w:val="006C438A"/>
    <w:rsid w:val="006C7827"/>
    <w:rsid w:val="006D3582"/>
    <w:rsid w:val="006E3B0F"/>
    <w:rsid w:val="006E4418"/>
    <w:rsid w:val="006E7294"/>
    <w:rsid w:val="006F5558"/>
    <w:rsid w:val="00735CFD"/>
    <w:rsid w:val="00737111"/>
    <w:rsid w:val="007474FC"/>
    <w:rsid w:val="007609D3"/>
    <w:rsid w:val="00760FB3"/>
    <w:rsid w:val="0077047B"/>
    <w:rsid w:val="00775CF5"/>
    <w:rsid w:val="007809A5"/>
    <w:rsid w:val="00783BF6"/>
    <w:rsid w:val="00791283"/>
    <w:rsid w:val="007942F6"/>
    <w:rsid w:val="007B032A"/>
    <w:rsid w:val="007C445D"/>
    <w:rsid w:val="007C6821"/>
    <w:rsid w:val="007C7E15"/>
    <w:rsid w:val="007D404F"/>
    <w:rsid w:val="007E4783"/>
    <w:rsid w:val="007F244B"/>
    <w:rsid w:val="007F5E1E"/>
    <w:rsid w:val="00802138"/>
    <w:rsid w:val="00804B8D"/>
    <w:rsid w:val="00817DBA"/>
    <w:rsid w:val="008200A3"/>
    <w:rsid w:val="00822F9B"/>
    <w:rsid w:val="0082701D"/>
    <w:rsid w:val="0084358E"/>
    <w:rsid w:val="00853A5F"/>
    <w:rsid w:val="00881323"/>
    <w:rsid w:val="00886935"/>
    <w:rsid w:val="0089080C"/>
    <w:rsid w:val="008967F0"/>
    <w:rsid w:val="0089731C"/>
    <w:rsid w:val="008A469C"/>
    <w:rsid w:val="008B3E1F"/>
    <w:rsid w:val="008C1420"/>
    <w:rsid w:val="008C1DE6"/>
    <w:rsid w:val="008C36DB"/>
    <w:rsid w:val="008D3F75"/>
    <w:rsid w:val="008D5060"/>
    <w:rsid w:val="008E7965"/>
    <w:rsid w:val="008F43A4"/>
    <w:rsid w:val="008F4A49"/>
    <w:rsid w:val="0090738D"/>
    <w:rsid w:val="009151F3"/>
    <w:rsid w:val="00916932"/>
    <w:rsid w:val="009262B4"/>
    <w:rsid w:val="00927F03"/>
    <w:rsid w:val="00930806"/>
    <w:rsid w:val="00932544"/>
    <w:rsid w:val="00933FD6"/>
    <w:rsid w:val="00934229"/>
    <w:rsid w:val="00935D1B"/>
    <w:rsid w:val="009365D5"/>
    <w:rsid w:val="009375A4"/>
    <w:rsid w:val="00943797"/>
    <w:rsid w:val="00944B6E"/>
    <w:rsid w:val="009472B2"/>
    <w:rsid w:val="00947783"/>
    <w:rsid w:val="0095689D"/>
    <w:rsid w:val="00961E15"/>
    <w:rsid w:val="009669BF"/>
    <w:rsid w:val="0096712B"/>
    <w:rsid w:val="00976337"/>
    <w:rsid w:val="009773FE"/>
    <w:rsid w:val="00982A35"/>
    <w:rsid w:val="009847CD"/>
    <w:rsid w:val="0098596A"/>
    <w:rsid w:val="00992E41"/>
    <w:rsid w:val="00993AD2"/>
    <w:rsid w:val="009966BB"/>
    <w:rsid w:val="009A5CA6"/>
    <w:rsid w:val="009A619D"/>
    <w:rsid w:val="009B6575"/>
    <w:rsid w:val="009C4DB1"/>
    <w:rsid w:val="009C4F98"/>
    <w:rsid w:val="009C7987"/>
    <w:rsid w:val="009C7A8A"/>
    <w:rsid w:val="009D1B18"/>
    <w:rsid w:val="009D3313"/>
    <w:rsid w:val="009E2BFD"/>
    <w:rsid w:val="00A05FF5"/>
    <w:rsid w:val="00A31C9C"/>
    <w:rsid w:val="00A41CDD"/>
    <w:rsid w:val="00A43301"/>
    <w:rsid w:val="00A449BC"/>
    <w:rsid w:val="00A54688"/>
    <w:rsid w:val="00A6755E"/>
    <w:rsid w:val="00A72317"/>
    <w:rsid w:val="00A74A12"/>
    <w:rsid w:val="00A84F4C"/>
    <w:rsid w:val="00A85C05"/>
    <w:rsid w:val="00A93D79"/>
    <w:rsid w:val="00A9439D"/>
    <w:rsid w:val="00AB260F"/>
    <w:rsid w:val="00AC0DBB"/>
    <w:rsid w:val="00AE5353"/>
    <w:rsid w:val="00AE7715"/>
    <w:rsid w:val="00AF1155"/>
    <w:rsid w:val="00B002C4"/>
    <w:rsid w:val="00B00622"/>
    <w:rsid w:val="00B057DD"/>
    <w:rsid w:val="00B06D30"/>
    <w:rsid w:val="00B07E62"/>
    <w:rsid w:val="00B1501A"/>
    <w:rsid w:val="00B2580E"/>
    <w:rsid w:val="00B323D3"/>
    <w:rsid w:val="00B34AF0"/>
    <w:rsid w:val="00B403BB"/>
    <w:rsid w:val="00B422E0"/>
    <w:rsid w:val="00B4271C"/>
    <w:rsid w:val="00B44090"/>
    <w:rsid w:val="00B44A0C"/>
    <w:rsid w:val="00B552DB"/>
    <w:rsid w:val="00B63DA6"/>
    <w:rsid w:val="00B656CD"/>
    <w:rsid w:val="00B7753A"/>
    <w:rsid w:val="00B861BA"/>
    <w:rsid w:val="00BA3BD2"/>
    <w:rsid w:val="00BA663C"/>
    <w:rsid w:val="00BA6B49"/>
    <w:rsid w:val="00BD41C6"/>
    <w:rsid w:val="00BE0A4B"/>
    <w:rsid w:val="00BE4E84"/>
    <w:rsid w:val="00BF48EE"/>
    <w:rsid w:val="00C10204"/>
    <w:rsid w:val="00C22FBE"/>
    <w:rsid w:val="00C45500"/>
    <w:rsid w:val="00C46529"/>
    <w:rsid w:val="00C53EB2"/>
    <w:rsid w:val="00C7265D"/>
    <w:rsid w:val="00C80414"/>
    <w:rsid w:val="00CA5E3C"/>
    <w:rsid w:val="00CA65B9"/>
    <w:rsid w:val="00CB3031"/>
    <w:rsid w:val="00CB5162"/>
    <w:rsid w:val="00CB6950"/>
    <w:rsid w:val="00CC0944"/>
    <w:rsid w:val="00CC0CC2"/>
    <w:rsid w:val="00CC206E"/>
    <w:rsid w:val="00CD0DE7"/>
    <w:rsid w:val="00CE7317"/>
    <w:rsid w:val="00CF6D61"/>
    <w:rsid w:val="00D073BE"/>
    <w:rsid w:val="00D206C2"/>
    <w:rsid w:val="00D2416F"/>
    <w:rsid w:val="00D33B99"/>
    <w:rsid w:val="00D33DB0"/>
    <w:rsid w:val="00D4058D"/>
    <w:rsid w:val="00D4181E"/>
    <w:rsid w:val="00D616AD"/>
    <w:rsid w:val="00D75983"/>
    <w:rsid w:val="00D86AC1"/>
    <w:rsid w:val="00D86D08"/>
    <w:rsid w:val="00D9696C"/>
    <w:rsid w:val="00DA68A7"/>
    <w:rsid w:val="00DB3AC2"/>
    <w:rsid w:val="00DD011C"/>
    <w:rsid w:val="00DD25AC"/>
    <w:rsid w:val="00DD3BA1"/>
    <w:rsid w:val="00DE2248"/>
    <w:rsid w:val="00E0149B"/>
    <w:rsid w:val="00E06452"/>
    <w:rsid w:val="00E1133E"/>
    <w:rsid w:val="00E11384"/>
    <w:rsid w:val="00E233CF"/>
    <w:rsid w:val="00E33C75"/>
    <w:rsid w:val="00E3455D"/>
    <w:rsid w:val="00E3557F"/>
    <w:rsid w:val="00E40C1E"/>
    <w:rsid w:val="00E41AAA"/>
    <w:rsid w:val="00E43F8E"/>
    <w:rsid w:val="00E54AD1"/>
    <w:rsid w:val="00E6181A"/>
    <w:rsid w:val="00E80EBA"/>
    <w:rsid w:val="00E81FF5"/>
    <w:rsid w:val="00E82509"/>
    <w:rsid w:val="00E86660"/>
    <w:rsid w:val="00E900A9"/>
    <w:rsid w:val="00E91F7A"/>
    <w:rsid w:val="00E9270F"/>
    <w:rsid w:val="00E973B5"/>
    <w:rsid w:val="00EA2123"/>
    <w:rsid w:val="00EB0110"/>
    <w:rsid w:val="00EB0B7C"/>
    <w:rsid w:val="00EB57F7"/>
    <w:rsid w:val="00EB67C3"/>
    <w:rsid w:val="00EC0218"/>
    <w:rsid w:val="00EC22F0"/>
    <w:rsid w:val="00ED4FE5"/>
    <w:rsid w:val="00ED6097"/>
    <w:rsid w:val="00EF24AD"/>
    <w:rsid w:val="00F01130"/>
    <w:rsid w:val="00F070AD"/>
    <w:rsid w:val="00F15659"/>
    <w:rsid w:val="00F26E38"/>
    <w:rsid w:val="00F36394"/>
    <w:rsid w:val="00F41A70"/>
    <w:rsid w:val="00F42E72"/>
    <w:rsid w:val="00F52B18"/>
    <w:rsid w:val="00F573FB"/>
    <w:rsid w:val="00F70D0F"/>
    <w:rsid w:val="00F74E17"/>
    <w:rsid w:val="00F81291"/>
    <w:rsid w:val="00F83765"/>
    <w:rsid w:val="00F9061E"/>
    <w:rsid w:val="00F92D8D"/>
    <w:rsid w:val="00FA0F8D"/>
    <w:rsid w:val="00FA5E19"/>
    <w:rsid w:val="00FA6B99"/>
    <w:rsid w:val="00FA7116"/>
    <w:rsid w:val="00FB247F"/>
    <w:rsid w:val="00FC421D"/>
    <w:rsid w:val="00FD496C"/>
    <w:rsid w:val="00FE0A26"/>
    <w:rsid w:val="00FE2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ADE9"/>
  <w15:chartTrackingRefBased/>
  <w15:docId w15:val="{717A973F-A950-4707-820E-8EE1229D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2F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FBE"/>
  </w:style>
  <w:style w:type="paragraph" w:styleId="Stopka">
    <w:name w:val="footer"/>
    <w:basedOn w:val="Normalny"/>
    <w:link w:val="StopkaZnak"/>
    <w:uiPriority w:val="99"/>
    <w:unhideWhenUsed/>
    <w:rsid w:val="00C22F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FBE"/>
  </w:style>
  <w:style w:type="table" w:styleId="Tabelasiatki2akcent1">
    <w:name w:val="Grid Table 2 Accent 1"/>
    <w:basedOn w:val="Standardowy"/>
    <w:uiPriority w:val="47"/>
    <w:rsid w:val="00C22F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kapitzlist">
    <w:name w:val="List Paragraph"/>
    <w:basedOn w:val="Normalny"/>
    <w:uiPriority w:val="34"/>
    <w:qFormat/>
    <w:rsid w:val="00881323"/>
    <w:pPr>
      <w:ind w:left="720"/>
      <w:contextualSpacing/>
    </w:pPr>
  </w:style>
  <w:style w:type="character" w:styleId="Hipercze">
    <w:name w:val="Hyperlink"/>
    <w:basedOn w:val="Domylnaczcionkaakapitu"/>
    <w:uiPriority w:val="99"/>
    <w:unhideWhenUsed/>
    <w:rsid w:val="00203A4B"/>
    <w:rPr>
      <w:color w:val="0563C1" w:themeColor="hyperlink"/>
      <w:u w:val="single"/>
    </w:rPr>
  </w:style>
  <w:style w:type="paragraph" w:styleId="NormalnyWeb">
    <w:name w:val="Normal (Web)"/>
    <w:basedOn w:val="Normalny"/>
    <w:uiPriority w:val="99"/>
    <w:unhideWhenUsed/>
    <w:rsid w:val="00203A4B"/>
    <w:pPr>
      <w:spacing w:before="100" w:beforeAutospacing="1" w:after="100" w:afterAutospacing="1" w:line="240" w:lineRule="auto"/>
    </w:pPr>
    <w:rPr>
      <w:rFonts w:ascii="Calibri" w:hAnsi="Calibri" w:cs="Calibri"/>
      <w:kern w:val="0"/>
      <w:lang w:eastAsia="pl-PL"/>
      <w14:ligatures w14:val="none"/>
    </w:rPr>
  </w:style>
  <w:style w:type="paragraph" w:customStyle="1" w:styleId="pktpunkt">
    <w:name w:val="pktpunkt"/>
    <w:basedOn w:val="Normalny"/>
    <w:uiPriority w:val="99"/>
    <w:semiHidden/>
    <w:rsid w:val="00203A4B"/>
    <w:pPr>
      <w:spacing w:before="100" w:beforeAutospacing="1" w:after="100" w:afterAutospacing="1" w:line="240" w:lineRule="auto"/>
    </w:pPr>
    <w:rPr>
      <w:rFonts w:ascii="Calibri" w:hAnsi="Calibri" w:cs="Calibri"/>
      <w:kern w:val="0"/>
      <w14:ligatures w14:val="none"/>
    </w:rPr>
  </w:style>
  <w:style w:type="character" w:customStyle="1" w:styleId="ppogrubienie">
    <w:name w:val="ppogrubienie"/>
    <w:basedOn w:val="Domylnaczcionkaakapitu"/>
    <w:rsid w:val="00203A4B"/>
  </w:style>
  <w:style w:type="character" w:styleId="Nierozpoznanawzmianka">
    <w:name w:val="Unresolved Mention"/>
    <w:basedOn w:val="Domylnaczcionkaakapitu"/>
    <w:uiPriority w:val="99"/>
    <w:semiHidden/>
    <w:unhideWhenUsed/>
    <w:rsid w:val="00BA6B49"/>
    <w:rPr>
      <w:color w:val="605E5C"/>
      <w:shd w:val="clear" w:color="auto" w:fill="E1DFDD"/>
    </w:rPr>
  </w:style>
  <w:style w:type="paragraph" w:customStyle="1" w:styleId="Default">
    <w:name w:val="Default"/>
    <w:rsid w:val="00DD3BA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umerwiersza">
    <w:name w:val="line number"/>
    <w:basedOn w:val="Domylnaczcionkaakapitu"/>
    <w:uiPriority w:val="99"/>
    <w:semiHidden/>
    <w:unhideWhenUsed/>
    <w:rsid w:val="00000530"/>
  </w:style>
  <w:style w:type="paragraph" w:styleId="Tekstprzypisudolnego">
    <w:name w:val="footnote text"/>
    <w:basedOn w:val="Normalny"/>
    <w:link w:val="TekstprzypisudolnegoZnak"/>
    <w:uiPriority w:val="99"/>
    <w:semiHidden/>
    <w:unhideWhenUsed/>
    <w:rsid w:val="00EA2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2123"/>
    <w:rPr>
      <w:sz w:val="20"/>
      <w:szCs w:val="20"/>
    </w:rPr>
  </w:style>
  <w:style w:type="character" w:styleId="Odwoanieprzypisudolnego">
    <w:name w:val="footnote reference"/>
    <w:basedOn w:val="Domylnaczcionkaakapitu"/>
    <w:uiPriority w:val="99"/>
    <w:semiHidden/>
    <w:unhideWhenUsed/>
    <w:rsid w:val="00EA2123"/>
    <w:rPr>
      <w:vertAlign w:val="superscript"/>
    </w:rPr>
  </w:style>
  <w:style w:type="character" w:styleId="Odwoaniedokomentarza">
    <w:name w:val="annotation reference"/>
    <w:basedOn w:val="Domylnaczcionkaakapitu"/>
    <w:uiPriority w:val="99"/>
    <w:semiHidden/>
    <w:unhideWhenUsed/>
    <w:rsid w:val="007942F6"/>
    <w:rPr>
      <w:sz w:val="16"/>
      <w:szCs w:val="16"/>
    </w:rPr>
  </w:style>
  <w:style w:type="paragraph" w:styleId="Tekstkomentarza">
    <w:name w:val="annotation text"/>
    <w:basedOn w:val="Normalny"/>
    <w:link w:val="TekstkomentarzaZnak"/>
    <w:uiPriority w:val="99"/>
    <w:unhideWhenUsed/>
    <w:rsid w:val="007942F6"/>
    <w:pPr>
      <w:spacing w:line="240" w:lineRule="auto"/>
    </w:pPr>
    <w:rPr>
      <w:sz w:val="20"/>
      <w:szCs w:val="20"/>
    </w:rPr>
  </w:style>
  <w:style w:type="character" w:customStyle="1" w:styleId="TekstkomentarzaZnak">
    <w:name w:val="Tekst komentarza Znak"/>
    <w:basedOn w:val="Domylnaczcionkaakapitu"/>
    <w:link w:val="Tekstkomentarza"/>
    <w:uiPriority w:val="99"/>
    <w:rsid w:val="007942F6"/>
    <w:rPr>
      <w:sz w:val="20"/>
      <w:szCs w:val="20"/>
    </w:rPr>
  </w:style>
  <w:style w:type="paragraph" w:styleId="Tematkomentarza">
    <w:name w:val="annotation subject"/>
    <w:basedOn w:val="Tekstkomentarza"/>
    <w:next w:val="Tekstkomentarza"/>
    <w:link w:val="TematkomentarzaZnak"/>
    <w:uiPriority w:val="99"/>
    <w:semiHidden/>
    <w:unhideWhenUsed/>
    <w:rsid w:val="007942F6"/>
    <w:rPr>
      <w:b/>
      <w:bCs/>
    </w:rPr>
  </w:style>
  <w:style w:type="character" w:customStyle="1" w:styleId="TematkomentarzaZnak">
    <w:name w:val="Temat komentarza Znak"/>
    <w:basedOn w:val="TekstkomentarzaZnak"/>
    <w:link w:val="Tematkomentarza"/>
    <w:uiPriority w:val="99"/>
    <w:semiHidden/>
    <w:rsid w:val="00794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013">
      <w:bodyDiv w:val="1"/>
      <w:marLeft w:val="0"/>
      <w:marRight w:val="0"/>
      <w:marTop w:val="0"/>
      <w:marBottom w:val="0"/>
      <w:divBdr>
        <w:top w:val="none" w:sz="0" w:space="0" w:color="auto"/>
        <w:left w:val="none" w:sz="0" w:space="0" w:color="auto"/>
        <w:bottom w:val="none" w:sz="0" w:space="0" w:color="auto"/>
        <w:right w:val="none" w:sz="0" w:space="0" w:color="auto"/>
      </w:divBdr>
    </w:div>
    <w:div w:id="33193621">
      <w:bodyDiv w:val="1"/>
      <w:marLeft w:val="0"/>
      <w:marRight w:val="0"/>
      <w:marTop w:val="0"/>
      <w:marBottom w:val="0"/>
      <w:divBdr>
        <w:top w:val="none" w:sz="0" w:space="0" w:color="auto"/>
        <w:left w:val="none" w:sz="0" w:space="0" w:color="auto"/>
        <w:bottom w:val="none" w:sz="0" w:space="0" w:color="auto"/>
        <w:right w:val="none" w:sz="0" w:space="0" w:color="auto"/>
      </w:divBdr>
    </w:div>
    <w:div w:id="176382473">
      <w:bodyDiv w:val="1"/>
      <w:marLeft w:val="0"/>
      <w:marRight w:val="0"/>
      <w:marTop w:val="0"/>
      <w:marBottom w:val="0"/>
      <w:divBdr>
        <w:top w:val="none" w:sz="0" w:space="0" w:color="auto"/>
        <w:left w:val="none" w:sz="0" w:space="0" w:color="auto"/>
        <w:bottom w:val="none" w:sz="0" w:space="0" w:color="auto"/>
        <w:right w:val="none" w:sz="0" w:space="0" w:color="auto"/>
      </w:divBdr>
    </w:div>
    <w:div w:id="226033741">
      <w:bodyDiv w:val="1"/>
      <w:marLeft w:val="0"/>
      <w:marRight w:val="0"/>
      <w:marTop w:val="0"/>
      <w:marBottom w:val="0"/>
      <w:divBdr>
        <w:top w:val="none" w:sz="0" w:space="0" w:color="auto"/>
        <w:left w:val="none" w:sz="0" w:space="0" w:color="auto"/>
        <w:bottom w:val="none" w:sz="0" w:space="0" w:color="auto"/>
        <w:right w:val="none" w:sz="0" w:space="0" w:color="auto"/>
      </w:divBdr>
    </w:div>
    <w:div w:id="240991289">
      <w:bodyDiv w:val="1"/>
      <w:marLeft w:val="0"/>
      <w:marRight w:val="0"/>
      <w:marTop w:val="0"/>
      <w:marBottom w:val="0"/>
      <w:divBdr>
        <w:top w:val="none" w:sz="0" w:space="0" w:color="auto"/>
        <w:left w:val="none" w:sz="0" w:space="0" w:color="auto"/>
        <w:bottom w:val="none" w:sz="0" w:space="0" w:color="auto"/>
        <w:right w:val="none" w:sz="0" w:space="0" w:color="auto"/>
      </w:divBdr>
    </w:div>
    <w:div w:id="435751475">
      <w:bodyDiv w:val="1"/>
      <w:marLeft w:val="0"/>
      <w:marRight w:val="0"/>
      <w:marTop w:val="0"/>
      <w:marBottom w:val="0"/>
      <w:divBdr>
        <w:top w:val="none" w:sz="0" w:space="0" w:color="auto"/>
        <w:left w:val="none" w:sz="0" w:space="0" w:color="auto"/>
        <w:bottom w:val="none" w:sz="0" w:space="0" w:color="auto"/>
        <w:right w:val="none" w:sz="0" w:space="0" w:color="auto"/>
      </w:divBdr>
    </w:div>
    <w:div w:id="696808642">
      <w:bodyDiv w:val="1"/>
      <w:marLeft w:val="0"/>
      <w:marRight w:val="0"/>
      <w:marTop w:val="0"/>
      <w:marBottom w:val="0"/>
      <w:divBdr>
        <w:top w:val="none" w:sz="0" w:space="0" w:color="auto"/>
        <w:left w:val="none" w:sz="0" w:space="0" w:color="auto"/>
        <w:bottom w:val="none" w:sz="0" w:space="0" w:color="auto"/>
        <w:right w:val="none" w:sz="0" w:space="0" w:color="auto"/>
      </w:divBdr>
    </w:div>
    <w:div w:id="737556781">
      <w:bodyDiv w:val="1"/>
      <w:marLeft w:val="0"/>
      <w:marRight w:val="0"/>
      <w:marTop w:val="0"/>
      <w:marBottom w:val="0"/>
      <w:divBdr>
        <w:top w:val="none" w:sz="0" w:space="0" w:color="auto"/>
        <w:left w:val="none" w:sz="0" w:space="0" w:color="auto"/>
        <w:bottom w:val="none" w:sz="0" w:space="0" w:color="auto"/>
        <w:right w:val="none" w:sz="0" w:space="0" w:color="auto"/>
      </w:divBdr>
    </w:div>
    <w:div w:id="807667279">
      <w:bodyDiv w:val="1"/>
      <w:marLeft w:val="0"/>
      <w:marRight w:val="0"/>
      <w:marTop w:val="0"/>
      <w:marBottom w:val="0"/>
      <w:divBdr>
        <w:top w:val="none" w:sz="0" w:space="0" w:color="auto"/>
        <w:left w:val="none" w:sz="0" w:space="0" w:color="auto"/>
        <w:bottom w:val="none" w:sz="0" w:space="0" w:color="auto"/>
        <w:right w:val="none" w:sz="0" w:space="0" w:color="auto"/>
      </w:divBdr>
    </w:div>
    <w:div w:id="834108248">
      <w:bodyDiv w:val="1"/>
      <w:marLeft w:val="0"/>
      <w:marRight w:val="0"/>
      <w:marTop w:val="0"/>
      <w:marBottom w:val="0"/>
      <w:divBdr>
        <w:top w:val="none" w:sz="0" w:space="0" w:color="auto"/>
        <w:left w:val="none" w:sz="0" w:space="0" w:color="auto"/>
        <w:bottom w:val="none" w:sz="0" w:space="0" w:color="auto"/>
        <w:right w:val="none" w:sz="0" w:space="0" w:color="auto"/>
      </w:divBdr>
    </w:div>
    <w:div w:id="1283541229">
      <w:bodyDiv w:val="1"/>
      <w:marLeft w:val="0"/>
      <w:marRight w:val="0"/>
      <w:marTop w:val="0"/>
      <w:marBottom w:val="0"/>
      <w:divBdr>
        <w:top w:val="none" w:sz="0" w:space="0" w:color="auto"/>
        <w:left w:val="none" w:sz="0" w:space="0" w:color="auto"/>
        <w:bottom w:val="none" w:sz="0" w:space="0" w:color="auto"/>
        <w:right w:val="none" w:sz="0" w:space="0" w:color="auto"/>
      </w:divBdr>
    </w:div>
    <w:div w:id="1511869027">
      <w:bodyDiv w:val="1"/>
      <w:marLeft w:val="0"/>
      <w:marRight w:val="0"/>
      <w:marTop w:val="0"/>
      <w:marBottom w:val="0"/>
      <w:divBdr>
        <w:top w:val="none" w:sz="0" w:space="0" w:color="auto"/>
        <w:left w:val="none" w:sz="0" w:space="0" w:color="auto"/>
        <w:bottom w:val="none" w:sz="0" w:space="0" w:color="auto"/>
        <w:right w:val="none" w:sz="0" w:space="0" w:color="auto"/>
      </w:divBdr>
    </w:div>
    <w:div w:id="1525244584">
      <w:bodyDiv w:val="1"/>
      <w:marLeft w:val="0"/>
      <w:marRight w:val="0"/>
      <w:marTop w:val="0"/>
      <w:marBottom w:val="0"/>
      <w:divBdr>
        <w:top w:val="none" w:sz="0" w:space="0" w:color="auto"/>
        <w:left w:val="none" w:sz="0" w:space="0" w:color="auto"/>
        <w:bottom w:val="none" w:sz="0" w:space="0" w:color="auto"/>
        <w:right w:val="none" w:sz="0" w:space="0" w:color="auto"/>
      </w:divBdr>
    </w:div>
    <w:div w:id="1529368487">
      <w:bodyDiv w:val="1"/>
      <w:marLeft w:val="0"/>
      <w:marRight w:val="0"/>
      <w:marTop w:val="0"/>
      <w:marBottom w:val="0"/>
      <w:divBdr>
        <w:top w:val="none" w:sz="0" w:space="0" w:color="auto"/>
        <w:left w:val="none" w:sz="0" w:space="0" w:color="auto"/>
        <w:bottom w:val="none" w:sz="0" w:space="0" w:color="auto"/>
        <w:right w:val="none" w:sz="0" w:space="0" w:color="auto"/>
      </w:divBdr>
    </w:div>
    <w:div w:id="1619071580">
      <w:bodyDiv w:val="1"/>
      <w:marLeft w:val="0"/>
      <w:marRight w:val="0"/>
      <w:marTop w:val="0"/>
      <w:marBottom w:val="0"/>
      <w:divBdr>
        <w:top w:val="none" w:sz="0" w:space="0" w:color="auto"/>
        <w:left w:val="none" w:sz="0" w:space="0" w:color="auto"/>
        <w:bottom w:val="none" w:sz="0" w:space="0" w:color="auto"/>
        <w:right w:val="none" w:sz="0" w:space="0" w:color="auto"/>
      </w:divBdr>
    </w:div>
    <w:div w:id="1650548777">
      <w:bodyDiv w:val="1"/>
      <w:marLeft w:val="0"/>
      <w:marRight w:val="0"/>
      <w:marTop w:val="0"/>
      <w:marBottom w:val="0"/>
      <w:divBdr>
        <w:top w:val="none" w:sz="0" w:space="0" w:color="auto"/>
        <w:left w:val="none" w:sz="0" w:space="0" w:color="auto"/>
        <w:bottom w:val="none" w:sz="0" w:space="0" w:color="auto"/>
        <w:right w:val="none" w:sz="0" w:space="0" w:color="auto"/>
      </w:divBdr>
    </w:div>
    <w:div w:id="1790541371">
      <w:bodyDiv w:val="1"/>
      <w:marLeft w:val="0"/>
      <w:marRight w:val="0"/>
      <w:marTop w:val="0"/>
      <w:marBottom w:val="0"/>
      <w:divBdr>
        <w:top w:val="none" w:sz="0" w:space="0" w:color="auto"/>
        <w:left w:val="none" w:sz="0" w:space="0" w:color="auto"/>
        <w:bottom w:val="none" w:sz="0" w:space="0" w:color="auto"/>
        <w:right w:val="none" w:sz="0" w:space="0" w:color="auto"/>
      </w:divBdr>
    </w:div>
    <w:div w:id="1795513088">
      <w:bodyDiv w:val="1"/>
      <w:marLeft w:val="0"/>
      <w:marRight w:val="0"/>
      <w:marTop w:val="0"/>
      <w:marBottom w:val="0"/>
      <w:divBdr>
        <w:top w:val="none" w:sz="0" w:space="0" w:color="auto"/>
        <w:left w:val="none" w:sz="0" w:space="0" w:color="auto"/>
        <w:bottom w:val="none" w:sz="0" w:space="0" w:color="auto"/>
        <w:right w:val="none" w:sz="0" w:space="0" w:color="auto"/>
      </w:divBdr>
    </w:div>
    <w:div w:id="18375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02FB-00E4-4346-AB96-D05C487C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5652</Words>
  <Characters>33918</Characters>
  <Application>Microsoft Office Word</Application>
  <DocSecurity>4</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Kalkowska Aleksandra</dc:creator>
  <cp:keywords/>
  <dc:description/>
  <cp:lastModifiedBy>Aleksandra Kalkowska</cp:lastModifiedBy>
  <cp:revision>2</cp:revision>
  <dcterms:created xsi:type="dcterms:W3CDTF">2024-02-13T08:59:00Z</dcterms:created>
  <dcterms:modified xsi:type="dcterms:W3CDTF">2024-02-13T08:59:00Z</dcterms:modified>
</cp:coreProperties>
</file>