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216A12" w14:textId="73C2E2B4" w:rsidR="006E76A2" w:rsidRPr="008338C3" w:rsidRDefault="006E76A2" w:rsidP="006E76A2">
      <w:pPr>
        <w:tabs>
          <w:tab w:val="left" w:pos="10773"/>
        </w:tabs>
        <w:autoSpaceDN w:val="0"/>
        <w:spacing w:after="0" w:line="360" w:lineRule="auto"/>
        <w:ind w:right="1" w:firstLine="633"/>
        <w:jc w:val="right"/>
      </w:pPr>
      <w:r>
        <w:t>Warszawa, 1</w:t>
      </w:r>
      <w:r w:rsidR="00A75D44">
        <w:t>9</w:t>
      </w:r>
      <w:r>
        <w:t xml:space="preserve"> marca 2021</w:t>
      </w:r>
      <w:r w:rsidRPr="008338C3">
        <w:t xml:space="preserve"> r.</w:t>
      </w:r>
    </w:p>
    <w:p w14:paraId="4CEF1DAA" w14:textId="77777777" w:rsidR="006E76A2" w:rsidRPr="008338C3" w:rsidRDefault="006E76A2" w:rsidP="006E76A2">
      <w:pPr>
        <w:tabs>
          <w:tab w:val="left" w:pos="10773"/>
        </w:tabs>
        <w:autoSpaceDN w:val="0"/>
        <w:spacing w:after="0" w:line="360" w:lineRule="auto"/>
        <w:ind w:right="1" w:firstLine="633"/>
        <w:jc w:val="both"/>
        <w:rPr>
          <w:b/>
        </w:rPr>
      </w:pPr>
    </w:p>
    <w:p w14:paraId="0C51D69B" w14:textId="77777777" w:rsidR="006E76A2" w:rsidRPr="00293214" w:rsidRDefault="006E76A2" w:rsidP="006E76A2">
      <w:pPr>
        <w:tabs>
          <w:tab w:val="left" w:pos="10773"/>
        </w:tabs>
        <w:autoSpaceDN w:val="0"/>
        <w:spacing w:after="0" w:line="360" w:lineRule="auto"/>
        <w:jc w:val="center"/>
        <w:rPr>
          <w:b/>
          <w:sz w:val="28"/>
          <w:szCs w:val="28"/>
        </w:rPr>
      </w:pPr>
      <w:r w:rsidRPr="00293214">
        <w:rPr>
          <w:b/>
          <w:sz w:val="28"/>
          <w:szCs w:val="28"/>
        </w:rPr>
        <w:t>Raport z konsultacji publicznych</w:t>
      </w:r>
    </w:p>
    <w:p w14:paraId="3AA2B59A" w14:textId="77777777" w:rsidR="006E76A2" w:rsidRPr="00293214" w:rsidRDefault="006E76A2" w:rsidP="006E76A2">
      <w:pPr>
        <w:tabs>
          <w:tab w:val="left" w:pos="10773"/>
        </w:tabs>
        <w:spacing w:after="0" w:line="360" w:lineRule="auto"/>
        <w:jc w:val="center"/>
        <w:rPr>
          <w:sz w:val="28"/>
          <w:szCs w:val="28"/>
        </w:rPr>
      </w:pPr>
    </w:p>
    <w:p w14:paraId="0F1D9EC1" w14:textId="77777777" w:rsidR="006E76A2" w:rsidRPr="00293214" w:rsidRDefault="006E76A2" w:rsidP="006E76A2">
      <w:pPr>
        <w:tabs>
          <w:tab w:val="left" w:pos="10773"/>
        </w:tabs>
        <w:spacing w:after="0" w:line="360" w:lineRule="auto"/>
        <w:ind w:firstLine="633"/>
        <w:jc w:val="center"/>
        <w:rPr>
          <w:sz w:val="28"/>
          <w:szCs w:val="28"/>
        </w:rPr>
      </w:pPr>
    </w:p>
    <w:p w14:paraId="7E60025D" w14:textId="77777777" w:rsidR="006E76A2" w:rsidRPr="00876E43" w:rsidRDefault="006E76A2" w:rsidP="00876E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Theme="minorHAnsi"/>
          <w:lang w:eastAsia="en-US"/>
        </w:rPr>
      </w:pPr>
      <w:r w:rsidRPr="00876E43">
        <w:t xml:space="preserve">W ramach opinii i konsultacji publicznych projekt został skierowany do </w:t>
      </w:r>
      <w:r w:rsidRPr="00876E43">
        <w:rPr>
          <w:rFonts w:eastAsiaTheme="minorHAnsi"/>
          <w:lang w:eastAsia="en-US"/>
        </w:rPr>
        <w:t>Biur</w:t>
      </w:r>
      <w:r w:rsidR="00876E43">
        <w:rPr>
          <w:rFonts w:eastAsiaTheme="minorHAnsi"/>
          <w:lang w:eastAsia="en-US"/>
        </w:rPr>
        <w:t>a</w:t>
      </w:r>
      <w:r w:rsidRPr="00876E43">
        <w:rPr>
          <w:rFonts w:eastAsiaTheme="minorHAnsi"/>
          <w:lang w:eastAsia="en-US"/>
        </w:rPr>
        <w:t xml:space="preserve"> Informacji Kredytowej, </w:t>
      </w:r>
      <w:r w:rsidRPr="006E76A2">
        <w:rPr>
          <w:rFonts w:eastAsiaTheme="minorHAnsi"/>
          <w:lang w:eastAsia="en-US"/>
        </w:rPr>
        <w:t>Stowarzyszeni</w:t>
      </w:r>
      <w:r w:rsidR="00876E43">
        <w:rPr>
          <w:rFonts w:eastAsiaTheme="minorHAnsi"/>
          <w:lang w:eastAsia="en-US"/>
        </w:rPr>
        <w:t>a</w:t>
      </w:r>
      <w:r w:rsidRPr="006E76A2">
        <w:rPr>
          <w:rFonts w:eastAsiaTheme="minorHAnsi"/>
          <w:lang w:eastAsia="en-US"/>
        </w:rPr>
        <w:t xml:space="preserve"> Sędziów Polskich „</w:t>
      </w:r>
      <w:proofErr w:type="spellStart"/>
      <w:r w:rsidRPr="006E76A2">
        <w:rPr>
          <w:rFonts w:eastAsiaTheme="minorHAnsi"/>
          <w:lang w:eastAsia="en-US"/>
        </w:rPr>
        <w:t>Iustitia</w:t>
      </w:r>
      <w:proofErr w:type="spellEnd"/>
      <w:r w:rsidRPr="006E76A2">
        <w:rPr>
          <w:rFonts w:eastAsiaTheme="minorHAnsi"/>
          <w:lang w:eastAsia="en-US"/>
        </w:rPr>
        <w:t>”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Stowarzyszeni</w:t>
      </w:r>
      <w:r w:rsidR="00876E43">
        <w:rPr>
          <w:rFonts w:eastAsiaTheme="minorHAnsi"/>
          <w:lang w:eastAsia="en-US"/>
        </w:rPr>
        <w:t>a</w:t>
      </w:r>
      <w:r w:rsidRPr="006E76A2">
        <w:rPr>
          <w:rFonts w:eastAsiaTheme="minorHAnsi"/>
          <w:lang w:eastAsia="en-US"/>
        </w:rPr>
        <w:t xml:space="preserve"> Sędziów „</w:t>
      </w:r>
      <w:proofErr w:type="spellStart"/>
      <w:r w:rsidRPr="006E76A2">
        <w:rPr>
          <w:rFonts w:eastAsiaTheme="minorHAnsi"/>
          <w:lang w:eastAsia="en-US"/>
        </w:rPr>
        <w:t>Themis</w:t>
      </w:r>
      <w:proofErr w:type="spellEnd"/>
      <w:r w:rsidRPr="006E76A2">
        <w:rPr>
          <w:rFonts w:eastAsiaTheme="minorHAnsi"/>
          <w:lang w:eastAsia="en-US"/>
        </w:rPr>
        <w:t>”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Fundacj</w:t>
      </w:r>
      <w:r w:rsidR="00876E43">
        <w:rPr>
          <w:rFonts w:eastAsiaTheme="minorHAnsi"/>
          <w:lang w:eastAsia="en-US"/>
        </w:rPr>
        <w:t>i</w:t>
      </w:r>
      <w:r w:rsidRPr="006E76A2">
        <w:rPr>
          <w:rFonts w:eastAsiaTheme="minorHAnsi"/>
          <w:lang w:eastAsia="en-US"/>
        </w:rPr>
        <w:t xml:space="preserve"> Polskie Towarzystwo Prawnicze Opus Iuris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Stowarzyszeni</w:t>
      </w:r>
      <w:r w:rsidR="00876E43">
        <w:rPr>
          <w:rFonts w:eastAsiaTheme="minorHAnsi"/>
          <w:lang w:eastAsia="en-US"/>
        </w:rPr>
        <w:t>a</w:t>
      </w:r>
      <w:r w:rsidRPr="006E76A2">
        <w:rPr>
          <w:rFonts w:eastAsiaTheme="minorHAnsi"/>
          <w:lang w:eastAsia="en-US"/>
        </w:rPr>
        <w:t xml:space="preserve"> Syndyków Polskich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Stowarzyszeni</w:t>
      </w:r>
      <w:r w:rsidR="00876E43">
        <w:rPr>
          <w:rFonts w:eastAsiaTheme="minorHAnsi"/>
          <w:lang w:eastAsia="en-US"/>
        </w:rPr>
        <w:t>a</w:t>
      </w:r>
      <w:r w:rsidRPr="006E76A2">
        <w:rPr>
          <w:rFonts w:eastAsiaTheme="minorHAnsi"/>
          <w:lang w:eastAsia="en-US"/>
        </w:rPr>
        <w:t xml:space="preserve"> Sędziów Upadłościowych i Restrukturyzacyjnych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Krajow</w:t>
      </w:r>
      <w:r w:rsidR="00876E43">
        <w:rPr>
          <w:rFonts w:eastAsiaTheme="minorHAnsi"/>
          <w:lang w:eastAsia="en-US"/>
        </w:rPr>
        <w:t>ej</w:t>
      </w:r>
      <w:r w:rsidRPr="006E76A2">
        <w:rPr>
          <w:rFonts w:eastAsiaTheme="minorHAnsi"/>
          <w:lang w:eastAsia="en-US"/>
        </w:rPr>
        <w:t xml:space="preserve"> Izb</w:t>
      </w:r>
      <w:r w:rsidR="00876E43">
        <w:rPr>
          <w:rFonts w:eastAsiaTheme="minorHAnsi"/>
          <w:lang w:eastAsia="en-US"/>
        </w:rPr>
        <w:t>y</w:t>
      </w:r>
      <w:r w:rsidRPr="006E76A2">
        <w:rPr>
          <w:rFonts w:eastAsiaTheme="minorHAnsi"/>
          <w:lang w:eastAsia="en-US"/>
        </w:rPr>
        <w:t xml:space="preserve"> Doradców Restrukturyzacyjnych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Stowarzyszeni</w:t>
      </w:r>
      <w:r w:rsidR="00876E43">
        <w:rPr>
          <w:rFonts w:eastAsiaTheme="minorHAnsi"/>
          <w:lang w:eastAsia="en-US"/>
        </w:rPr>
        <w:t>a</w:t>
      </w:r>
      <w:r w:rsidRPr="006E76A2">
        <w:rPr>
          <w:rFonts w:eastAsiaTheme="minorHAnsi"/>
          <w:lang w:eastAsia="en-US"/>
        </w:rPr>
        <w:t xml:space="preserve"> Praktyków Restrukturyzacji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 xml:space="preserve">Instytutu </w:t>
      </w:r>
      <w:proofErr w:type="spellStart"/>
      <w:r w:rsidRPr="006E76A2">
        <w:rPr>
          <w:rFonts w:eastAsiaTheme="minorHAnsi"/>
          <w:lang w:eastAsia="en-US"/>
        </w:rPr>
        <w:t>Allerhanda</w:t>
      </w:r>
      <w:proofErr w:type="spellEnd"/>
      <w:r w:rsidRPr="006E76A2">
        <w:rPr>
          <w:rFonts w:eastAsiaTheme="minorHAnsi"/>
          <w:lang w:eastAsia="en-US"/>
        </w:rPr>
        <w:t xml:space="preserve"> w Krakowie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Instytutu Prawa Upadłościowego i Restrukturyzacyjnego Uczelni Łazarskiego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Naczeln</w:t>
      </w:r>
      <w:r w:rsidR="00876E43">
        <w:rPr>
          <w:rFonts w:eastAsiaTheme="minorHAnsi"/>
          <w:lang w:eastAsia="en-US"/>
        </w:rPr>
        <w:t>ej</w:t>
      </w:r>
      <w:r w:rsidRPr="006E76A2">
        <w:rPr>
          <w:rFonts w:eastAsiaTheme="minorHAnsi"/>
          <w:lang w:eastAsia="en-US"/>
        </w:rPr>
        <w:t xml:space="preserve"> Rad</w:t>
      </w:r>
      <w:r w:rsidR="00876E43">
        <w:rPr>
          <w:rFonts w:eastAsiaTheme="minorHAnsi"/>
          <w:lang w:eastAsia="en-US"/>
        </w:rPr>
        <w:t>y</w:t>
      </w:r>
      <w:r w:rsidRPr="006E76A2">
        <w:rPr>
          <w:rFonts w:eastAsiaTheme="minorHAnsi"/>
          <w:lang w:eastAsia="en-US"/>
        </w:rPr>
        <w:t xml:space="preserve"> Adwokack</w:t>
      </w:r>
      <w:r w:rsidR="00876E43">
        <w:rPr>
          <w:rFonts w:eastAsiaTheme="minorHAnsi"/>
          <w:lang w:eastAsia="en-US"/>
        </w:rPr>
        <w:t>iej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Krajow</w:t>
      </w:r>
      <w:r w:rsidR="00876E43">
        <w:rPr>
          <w:rFonts w:eastAsiaTheme="minorHAnsi"/>
          <w:lang w:eastAsia="en-US"/>
        </w:rPr>
        <w:t>ej</w:t>
      </w:r>
      <w:r w:rsidRPr="006E76A2">
        <w:rPr>
          <w:rFonts w:eastAsiaTheme="minorHAnsi"/>
          <w:lang w:eastAsia="en-US"/>
        </w:rPr>
        <w:t xml:space="preserve"> Izb</w:t>
      </w:r>
      <w:r w:rsidR="00876E43">
        <w:rPr>
          <w:rFonts w:eastAsiaTheme="minorHAnsi"/>
          <w:lang w:eastAsia="en-US"/>
        </w:rPr>
        <w:t>y</w:t>
      </w:r>
      <w:r w:rsidRPr="006E76A2">
        <w:rPr>
          <w:rFonts w:eastAsiaTheme="minorHAnsi"/>
          <w:lang w:eastAsia="en-US"/>
        </w:rPr>
        <w:t xml:space="preserve"> Radców Prawnych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Krajow</w:t>
      </w:r>
      <w:r w:rsidR="00876E43">
        <w:rPr>
          <w:rFonts w:eastAsiaTheme="minorHAnsi"/>
          <w:lang w:eastAsia="en-US"/>
        </w:rPr>
        <w:t>ej</w:t>
      </w:r>
      <w:r w:rsidRPr="006E76A2">
        <w:rPr>
          <w:rFonts w:eastAsiaTheme="minorHAnsi"/>
          <w:lang w:eastAsia="en-US"/>
        </w:rPr>
        <w:t xml:space="preserve"> Rad</w:t>
      </w:r>
      <w:r w:rsidR="00876E43">
        <w:rPr>
          <w:rFonts w:eastAsiaTheme="minorHAnsi"/>
          <w:lang w:eastAsia="en-US"/>
        </w:rPr>
        <w:t>y</w:t>
      </w:r>
      <w:r w:rsidRPr="006E76A2">
        <w:rPr>
          <w:rFonts w:eastAsiaTheme="minorHAnsi"/>
          <w:lang w:eastAsia="en-US"/>
        </w:rPr>
        <w:t xml:space="preserve"> Notarialn</w:t>
      </w:r>
      <w:r w:rsidR="00876E43">
        <w:rPr>
          <w:rFonts w:eastAsiaTheme="minorHAnsi"/>
          <w:lang w:eastAsia="en-US"/>
        </w:rPr>
        <w:t>ej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Krajow</w:t>
      </w:r>
      <w:r w:rsidR="00876E43">
        <w:rPr>
          <w:rFonts w:eastAsiaTheme="minorHAnsi"/>
          <w:lang w:eastAsia="en-US"/>
        </w:rPr>
        <w:t>ej</w:t>
      </w:r>
      <w:r w:rsidRPr="006E76A2">
        <w:rPr>
          <w:rFonts w:eastAsiaTheme="minorHAnsi"/>
          <w:lang w:eastAsia="en-US"/>
        </w:rPr>
        <w:t xml:space="preserve"> Rad</w:t>
      </w:r>
      <w:r w:rsidR="00876E43">
        <w:rPr>
          <w:rFonts w:eastAsiaTheme="minorHAnsi"/>
          <w:lang w:eastAsia="en-US"/>
        </w:rPr>
        <w:t>y</w:t>
      </w:r>
      <w:r w:rsidRPr="006E76A2">
        <w:rPr>
          <w:rFonts w:eastAsiaTheme="minorHAnsi"/>
          <w:lang w:eastAsia="en-US"/>
        </w:rPr>
        <w:t xml:space="preserve"> Komornicz</w:t>
      </w:r>
      <w:r w:rsidR="00876E43">
        <w:rPr>
          <w:rFonts w:eastAsiaTheme="minorHAnsi"/>
          <w:lang w:eastAsia="en-US"/>
        </w:rPr>
        <w:t>ej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Krajow</w:t>
      </w:r>
      <w:r w:rsidR="00876E43">
        <w:rPr>
          <w:rFonts w:eastAsiaTheme="minorHAnsi"/>
          <w:lang w:eastAsia="en-US"/>
        </w:rPr>
        <w:t>ej</w:t>
      </w:r>
      <w:r w:rsidRPr="006E76A2">
        <w:rPr>
          <w:rFonts w:eastAsiaTheme="minorHAnsi"/>
          <w:lang w:eastAsia="en-US"/>
        </w:rPr>
        <w:t xml:space="preserve"> Izb</w:t>
      </w:r>
      <w:r w:rsidR="00876E43">
        <w:rPr>
          <w:rFonts w:eastAsiaTheme="minorHAnsi"/>
          <w:lang w:eastAsia="en-US"/>
        </w:rPr>
        <w:t>y</w:t>
      </w:r>
      <w:r w:rsidRPr="006E76A2">
        <w:rPr>
          <w:rFonts w:eastAsiaTheme="minorHAnsi"/>
          <w:lang w:eastAsia="en-US"/>
        </w:rPr>
        <w:t xml:space="preserve"> Doradców Restrukturyzacyjnych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Związk</w:t>
      </w:r>
      <w:r w:rsidR="00020FC4">
        <w:rPr>
          <w:rFonts w:eastAsiaTheme="minorHAnsi"/>
          <w:lang w:eastAsia="en-US"/>
        </w:rPr>
        <w:t>u</w:t>
      </w:r>
      <w:r w:rsidRPr="006E76A2">
        <w:rPr>
          <w:rFonts w:eastAsiaTheme="minorHAnsi"/>
          <w:lang w:eastAsia="en-US"/>
        </w:rPr>
        <w:t xml:space="preserve"> Banków Polskich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Ogólnopolskie</w:t>
      </w:r>
      <w:r w:rsidR="00020FC4">
        <w:rPr>
          <w:rFonts w:eastAsiaTheme="minorHAnsi"/>
          <w:lang w:eastAsia="en-US"/>
        </w:rPr>
        <w:t>go</w:t>
      </w:r>
      <w:r w:rsidRPr="006E76A2">
        <w:rPr>
          <w:rFonts w:eastAsiaTheme="minorHAnsi"/>
          <w:lang w:eastAsia="en-US"/>
        </w:rPr>
        <w:t xml:space="preserve"> Stowarzyszeni</w:t>
      </w:r>
      <w:r w:rsidR="00020FC4">
        <w:rPr>
          <w:rFonts w:eastAsiaTheme="minorHAnsi"/>
          <w:lang w:eastAsia="en-US"/>
        </w:rPr>
        <w:t>a</w:t>
      </w:r>
      <w:r w:rsidRPr="006E76A2">
        <w:rPr>
          <w:rFonts w:eastAsiaTheme="minorHAnsi"/>
          <w:lang w:eastAsia="en-US"/>
        </w:rPr>
        <w:t xml:space="preserve"> Referendarzy Sądowych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Stowarzyszeni</w:t>
      </w:r>
      <w:r w:rsidR="00020FC4">
        <w:rPr>
          <w:rFonts w:eastAsiaTheme="minorHAnsi"/>
          <w:lang w:eastAsia="en-US"/>
        </w:rPr>
        <w:t>a</w:t>
      </w:r>
      <w:r w:rsidRPr="006E76A2">
        <w:rPr>
          <w:rFonts w:eastAsiaTheme="minorHAnsi"/>
          <w:lang w:eastAsia="en-US"/>
        </w:rPr>
        <w:t xml:space="preserve"> Referendarzy Sądowych Rzeczypospolitej Polskiej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Pracodawc</w:t>
      </w:r>
      <w:r w:rsidR="00020FC4">
        <w:rPr>
          <w:rFonts w:eastAsiaTheme="minorHAnsi"/>
          <w:lang w:eastAsia="en-US"/>
        </w:rPr>
        <w:t>ów</w:t>
      </w:r>
      <w:r w:rsidRPr="006E76A2">
        <w:rPr>
          <w:rFonts w:eastAsiaTheme="minorHAnsi"/>
          <w:lang w:eastAsia="en-US"/>
        </w:rPr>
        <w:t xml:space="preserve"> Rzeczypospolitej Polskiej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Business Center Club</w:t>
      </w:r>
      <w:r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Krajow</w:t>
      </w:r>
      <w:r w:rsidR="00020FC4">
        <w:rPr>
          <w:rFonts w:eastAsiaTheme="minorHAnsi"/>
          <w:lang w:eastAsia="en-US"/>
        </w:rPr>
        <w:t>ej</w:t>
      </w:r>
      <w:r w:rsidRPr="006E76A2">
        <w:rPr>
          <w:rFonts w:eastAsiaTheme="minorHAnsi"/>
          <w:lang w:eastAsia="en-US"/>
        </w:rPr>
        <w:t xml:space="preserve"> Izb</w:t>
      </w:r>
      <w:r w:rsidR="00020FC4">
        <w:rPr>
          <w:rFonts w:eastAsiaTheme="minorHAnsi"/>
          <w:lang w:eastAsia="en-US"/>
        </w:rPr>
        <w:t>y</w:t>
      </w:r>
      <w:r w:rsidRPr="006E76A2">
        <w:rPr>
          <w:rFonts w:eastAsiaTheme="minorHAnsi"/>
          <w:lang w:eastAsia="en-US"/>
        </w:rPr>
        <w:t xml:space="preserve"> Gospodarcz</w:t>
      </w:r>
      <w:r w:rsidR="00020FC4">
        <w:rPr>
          <w:rFonts w:eastAsiaTheme="minorHAnsi"/>
          <w:lang w:eastAsia="en-US"/>
        </w:rPr>
        <w:t>ej</w:t>
      </w:r>
      <w:r w:rsidR="0081353E"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Związk</w:t>
      </w:r>
      <w:r w:rsidR="00020FC4">
        <w:rPr>
          <w:rFonts w:eastAsiaTheme="minorHAnsi"/>
          <w:lang w:eastAsia="en-US"/>
        </w:rPr>
        <w:t>u</w:t>
      </w:r>
      <w:r w:rsidRPr="006E76A2">
        <w:rPr>
          <w:rFonts w:eastAsiaTheme="minorHAnsi"/>
          <w:lang w:eastAsia="en-US"/>
        </w:rPr>
        <w:t xml:space="preserve"> Przedsiębiorstw Finansowych</w:t>
      </w:r>
      <w:r w:rsidR="0081353E"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Konfederacj</w:t>
      </w:r>
      <w:r w:rsidR="00020FC4">
        <w:rPr>
          <w:rFonts w:eastAsiaTheme="minorHAnsi"/>
          <w:lang w:eastAsia="en-US"/>
        </w:rPr>
        <w:t>i</w:t>
      </w:r>
      <w:r w:rsidRPr="006E76A2">
        <w:rPr>
          <w:rFonts w:eastAsiaTheme="minorHAnsi"/>
          <w:lang w:eastAsia="en-US"/>
        </w:rPr>
        <w:t xml:space="preserve"> Lewiatan</w:t>
      </w:r>
      <w:r w:rsidR="0081353E"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Związk</w:t>
      </w:r>
      <w:r w:rsidR="00020FC4">
        <w:rPr>
          <w:rFonts w:eastAsiaTheme="minorHAnsi"/>
          <w:lang w:eastAsia="en-US"/>
        </w:rPr>
        <w:t>u</w:t>
      </w:r>
      <w:r w:rsidRPr="006E76A2">
        <w:rPr>
          <w:rFonts w:eastAsiaTheme="minorHAnsi"/>
          <w:lang w:eastAsia="en-US"/>
        </w:rPr>
        <w:t xml:space="preserve"> Rzemiosła Polskiego</w:t>
      </w:r>
      <w:r w:rsidR="0081353E"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Porozumieni</w:t>
      </w:r>
      <w:r w:rsidR="00020FC4">
        <w:rPr>
          <w:rFonts w:eastAsiaTheme="minorHAnsi"/>
          <w:lang w:eastAsia="en-US"/>
        </w:rPr>
        <w:t>a</w:t>
      </w:r>
      <w:r w:rsidRPr="006E76A2">
        <w:rPr>
          <w:rFonts w:eastAsiaTheme="minorHAnsi"/>
          <w:lang w:eastAsia="en-US"/>
        </w:rPr>
        <w:t xml:space="preserve"> Samorządów Zawodowych i Stowarzyszeń Prawniczych</w:t>
      </w:r>
      <w:r w:rsidR="0081353E"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Związk</w:t>
      </w:r>
      <w:r w:rsidR="00020FC4">
        <w:rPr>
          <w:rFonts w:eastAsiaTheme="minorHAnsi"/>
          <w:lang w:eastAsia="en-US"/>
        </w:rPr>
        <w:t>u</w:t>
      </w:r>
      <w:r w:rsidRPr="006E76A2">
        <w:rPr>
          <w:rFonts w:eastAsiaTheme="minorHAnsi"/>
          <w:lang w:eastAsia="en-US"/>
        </w:rPr>
        <w:t xml:space="preserve"> Przedsiębiorców i Pracodawców</w:t>
      </w:r>
      <w:r w:rsidR="0081353E"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Polsk</w:t>
      </w:r>
      <w:r w:rsidR="00020FC4">
        <w:rPr>
          <w:rFonts w:eastAsiaTheme="minorHAnsi"/>
          <w:lang w:eastAsia="en-US"/>
        </w:rPr>
        <w:t>iej</w:t>
      </w:r>
      <w:r w:rsidRPr="006E76A2">
        <w:rPr>
          <w:rFonts w:eastAsiaTheme="minorHAnsi"/>
          <w:lang w:eastAsia="en-US"/>
        </w:rPr>
        <w:t xml:space="preserve"> Rad</w:t>
      </w:r>
      <w:r w:rsidR="00020FC4">
        <w:rPr>
          <w:rFonts w:eastAsiaTheme="minorHAnsi"/>
          <w:lang w:eastAsia="en-US"/>
        </w:rPr>
        <w:t>y</w:t>
      </w:r>
      <w:r w:rsidRPr="006E76A2">
        <w:rPr>
          <w:rFonts w:eastAsiaTheme="minorHAnsi"/>
          <w:lang w:eastAsia="en-US"/>
        </w:rPr>
        <w:t xml:space="preserve"> Biznesu</w:t>
      </w:r>
      <w:r w:rsidR="0081353E"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Poczt</w:t>
      </w:r>
      <w:r w:rsidR="00020FC4">
        <w:rPr>
          <w:rFonts w:eastAsiaTheme="minorHAnsi"/>
          <w:lang w:eastAsia="en-US"/>
        </w:rPr>
        <w:t>y</w:t>
      </w:r>
      <w:r w:rsidRPr="006E76A2">
        <w:rPr>
          <w:rFonts w:eastAsiaTheme="minorHAnsi"/>
          <w:lang w:eastAsia="en-US"/>
        </w:rPr>
        <w:t xml:space="preserve"> Polska S.A.</w:t>
      </w:r>
      <w:r w:rsidR="0081353E" w:rsidRPr="00876E43">
        <w:rPr>
          <w:rFonts w:eastAsiaTheme="minorHAnsi"/>
          <w:lang w:eastAsia="en-US"/>
        </w:rPr>
        <w:t>,</w:t>
      </w:r>
      <w:r w:rsidRPr="006E76A2">
        <w:rPr>
          <w:rFonts w:eastAsiaTheme="minorHAnsi"/>
          <w:lang w:eastAsia="en-US"/>
        </w:rPr>
        <w:t xml:space="preserve"> Krajow</w:t>
      </w:r>
      <w:r w:rsidR="00020FC4">
        <w:rPr>
          <w:rFonts w:eastAsiaTheme="minorHAnsi"/>
          <w:lang w:eastAsia="en-US"/>
        </w:rPr>
        <w:t>ej</w:t>
      </w:r>
      <w:r w:rsidRPr="006E76A2">
        <w:rPr>
          <w:rFonts w:eastAsiaTheme="minorHAnsi"/>
          <w:lang w:eastAsia="en-US"/>
        </w:rPr>
        <w:t xml:space="preserve"> Rada Sądownictwa</w:t>
      </w:r>
      <w:r w:rsidR="0081353E"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Prokuratori</w:t>
      </w:r>
      <w:r w:rsidR="00020FC4">
        <w:rPr>
          <w:rFonts w:eastAsiaTheme="minorHAnsi"/>
          <w:lang w:eastAsia="en-US"/>
        </w:rPr>
        <w:t>i</w:t>
      </w:r>
      <w:r w:rsidRPr="006E76A2">
        <w:rPr>
          <w:rFonts w:eastAsiaTheme="minorHAnsi"/>
          <w:lang w:eastAsia="en-US"/>
        </w:rPr>
        <w:t xml:space="preserve"> Generaln</w:t>
      </w:r>
      <w:r w:rsidR="00020FC4">
        <w:rPr>
          <w:rFonts w:eastAsiaTheme="minorHAnsi"/>
          <w:lang w:eastAsia="en-US"/>
        </w:rPr>
        <w:t>ej</w:t>
      </w:r>
      <w:r w:rsidRPr="006E76A2">
        <w:rPr>
          <w:rFonts w:eastAsiaTheme="minorHAnsi"/>
          <w:lang w:eastAsia="en-US"/>
        </w:rPr>
        <w:t xml:space="preserve"> RP</w:t>
      </w:r>
      <w:r w:rsidR="0081353E"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Sąd</w:t>
      </w:r>
      <w:r w:rsidR="00020FC4">
        <w:rPr>
          <w:rFonts w:eastAsiaTheme="minorHAnsi"/>
          <w:lang w:eastAsia="en-US"/>
        </w:rPr>
        <w:t>ów</w:t>
      </w:r>
      <w:r w:rsidRPr="006E76A2">
        <w:rPr>
          <w:rFonts w:eastAsiaTheme="minorHAnsi"/>
          <w:lang w:eastAsia="en-US"/>
        </w:rPr>
        <w:t xml:space="preserve"> Apelacyjn</w:t>
      </w:r>
      <w:r w:rsidR="00020FC4">
        <w:rPr>
          <w:rFonts w:eastAsiaTheme="minorHAnsi"/>
          <w:lang w:eastAsia="en-US"/>
        </w:rPr>
        <w:t>ych</w:t>
      </w:r>
      <w:r w:rsidR="0081353E" w:rsidRPr="00876E43">
        <w:rPr>
          <w:rFonts w:eastAsiaTheme="minorHAnsi"/>
          <w:lang w:eastAsia="en-US"/>
        </w:rPr>
        <w:t xml:space="preserve"> oraz </w:t>
      </w:r>
      <w:r w:rsidR="00020FC4">
        <w:rPr>
          <w:rFonts w:eastAsiaTheme="minorHAnsi"/>
          <w:lang w:eastAsia="en-US"/>
        </w:rPr>
        <w:t xml:space="preserve">do </w:t>
      </w:r>
      <w:r w:rsidRPr="00876E43">
        <w:rPr>
          <w:rFonts w:eastAsiaTheme="minorHAnsi"/>
          <w:lang w:eastAsia="en-US"/>
        </w:rPr>
        <w:t>Sąd</w:t>
      </w:r>
      <w:r w:rsidR="00020FC4">
        <w:rPr>
          <w:rFonts w:eastAsiaTheme="minorHAnsi"/>
          <w:lang w:eastAsia="en-US"/>
        </w:rPr>
        <w:t>u</w:t>
      </w:r>
      <w:r w:rsidRPr="00876E43">
        <w:rPr>
          <w:rFonts w:eastAsiaTheme="minorHAnsi"/>
          <w:lang w:eastAsia="en-US"/>
        </w:rPr>
        <w:t xml:space="preserve"> Najwyższ</w:t>
      </w:r>
      <w:r w:rsidR="00020FC4">
        <w:rPr>
          <w:rFonts w:eastAsiaTheme="minorHAnsi"/>
          <w:lang w:eastAsia="en-US"/>
        </w:rPr>
        <w:t>ego</w:t>
      </w:r>
    </w:p>
    <w:p w14:paraId="4447A917" w14:textId="77777777" w:rsidR="006E76A2" w:rsidRPr="00876E43" w:rsidRDefault="006E76A2" w:rsidP="00876E43">
      <w:pPr>
        <w:tabs>
          <w:tab w:val="left" w:pos="10773"/>
        </w:tabs>
        <w:spacing w:after="0" w:line="360" w:lineRule="auto"/>
        <w:ind w:firstLine="709"/>
        <w:jc w:val="both"/>
      </w:pPr>
    </w:p>
    <w:p w14:paraId="0C2EA236" w14:textId="77777777" w:rsidR="006E76A2" w:rsidRPr="00876E43" w:rsidRDefault="006E76A2" w:rsidP="00876E43">
      <w:pPr>
        <w:tabs>
          <w:tab w:val="left" w:pos="10773"/>
        </w:tabs>
        <w:spacing w:after="0" w:line="360" w:lineRule="auto"/>
        <w:ind w:firstLine="709"/>
        <w:jc w:val="both"/>
        <w:rPr>
          <w:spacing w:val="-2"/>
        </w:rPr>
      </w:pPr>
      <w:r w:rsidRPr="00876E43">
        <w:rPr>
          <w:spacing w:val="-2"/>
        </w:rPr>
        <w:t xml:space="preserve">Termin przedstawienia stanowiska lub opinii zakreślono do dnia </w:t>
      </w:r>
      <w:r w:rsidR="0081353E" w:rsidRPr="00876E43">
        <w:rPr>
          <w:spacing w:val="-2"/>
        </w:rPr>
        <w:t>6 marca</w:t>
      </w:r>
      <w:r w:rsidRPr="00876E43">
        <w:rPr>
          <w:spacing w:val="-2"/>
        </w:rPr>
        <w:t xml:space="preserve"> 202</w:t>
      </w:r>
      <w:r w:rsidR="0081353E" w:rsidRPr="00876E43">
        <w:rPr>
          <w:spacing w:val="-2"/>
        </w:rPr>
        <w:t>1</w:t>
      </w:r>
      <w:r w:rsidRPr="00876E43">
        <w:rPr>
          <w:spacing w:val="-2"/>
        </w:rPr>
        <w:t xml:space="preserve"> roku.</w:t>
      </w:r>
    </w:p>
    <w:p w14:paraId="7411B6B3" w14:textId="77777777" w:rsidR="006E76A2" w:rsidRPr="00876E43" w:rsidRDefault="006E76A2" w:rsidP="00876E43">
      <w:pPr>
        <w:tabs>
          <w:tab w:val="left" w:pos="10773"/>
        </w:tabs>
        <w:spacing w:after="0" w:line="360" w:lineRule="auto"/>
        <w:ind w:firstLine="709"/>
        <w:jc w:val="both"/>
        <w:rPr>
          <w:spacing w:val="-2"/>
        </w:rPr>
      </w:pPr>
    </w:p>
    <w:p w14:paraId="669ADCFF" w14:textId="4E37354C" w:rsidR="00876E43" w:rsidRPr="00876E43" w:rsidRDefault="00C876B1" w:rsidP="00876E43">
      <w:pPr>
        <w:spacing w:after="0" w:line="36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876E43">
        <w:t xml:space="preserve">Zdaniem </w:t>
      </w:r>
      <w:r w:rsidRPr="00B2025B">
        <w:rPr>
          <w:b/>
          <w:bCs/>
        </w:rPr>
        <w:t>Poczty Polskiej S.A.</w:t>
      </w:r>
      <w:r w:rsidRPr="00876E43">
        <w:t xml:space="preserve"> </w:t>
      </w:r>
      <w:r w:rsidRPr="00876E43">
        <w:rPr>
          <w:rFonts w:eastAsiaTheme="minorHAnsi"/>
        </w:rPr>
        <w:t>podstawa prawna wydania przedmiotowego rozporządzenia nie uwzględnia w pełni rozwiązań przewidzianych w ustawie z dnia 18 listopada 2020 r. o doręczeniach elektronicznych (Dz. U. poz. 2320). Podmiot ten podniósł</w:t>
      </w:r>
      <w:r w:rsidRPr="00876E43">
        <w:rPr>
          <w:rStyle w:val="FontStyle21"/>
          <w:rFonts w:ascii="Times New Roman" w:hAnsi="Times New Roman" w:cs="Times New Roman"/>
          <w:sz w:val="24"/>
          <w:szCs w:val="24"/>
        </w:rPr>
        <w:t>, iż</w:t>
      </w:r>
      <w:r w:rsidR="00EC739F">
        <w:rPr>
          <w:rStyle w:val="FontStyle21"/>
          <w:rFonts w:ascii="Times New Roman" w:hAnsi="Times New Roman" w:cs="Times New Roman"/>
          <w:sz w:val="24"/>
          <w:szCs w:val="24"/>
        </w:rPr>
        <w:t> </w:t>
      </w:r>
      <w:r w:rsidRPr="00876E43">
        <w:rPr>
          <w:rStyle w:val="FontStyle21"/>
          <w:rFonts w:ascii="Times New Roman" w:hAnsi="Times New Roman" w:cs="Times New Roman"/>
          <w:sz w:val="24"/>
          <w:szCs w:val="24"/>
        </w:rPr>
        <w:t>przywołana ustawa o doręczeniach elektronicznych ustala zasady wymiany korespondencji z podmiotami publicznymi w relacji z innymi podmiotami publicznymi oraz podmiotami niepublicznymi, w tym osobami fizycznymi. Tym samym ustawa o doręczeniach elektronicznych określa domyślny sposób wymiany korespondencji z wykorzystaniem publicznej usługi rejestrowanego doręczenia elektronicznego oraz uzupełniająco publicznej usługi hybrydowej, która zapewnia podmiotom publicznym wysyłkę korespondencji w</w:t>
      </w:r>
      <w:r w:rsidR="00EC739F">
        <w:rPr>
          <w:rStyle w:val="FontStyle21"/>
          <w:rFonts w:ascii="Times New Roman" w:hAnsi="Times New Roman" w:cs="Times New Roman"/>
          <w:sz w:val="24"/>
          <w:szCs w:val="24"/>
        </w:rPr>
        <w:t> </w:t>
      </w:r>
      <w:r w:rsidRPr="00876E43">
        <w:rPr>
          <w:rStyle w:val="FontStyle21"/>
          <w:rFonts w:ascii="Times New Roman" w:hAnsi="Times New Roman" w:cs="Times New Roman"/>
          <w:sz w:val="24"/>
          <w:szCs w:val="24"/>
        </w:rPr>
        <w:t>domyślnej postaci elektronicznej również w kontaktach z osobami</w:t>
      </w:r>
      <w:r w:rsidR="00020FC4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876E43" w:rsidRPr="00876E43">
        <w:rPr>
          <w:rStyle w:val="FontStyle21"/>
          <w:rFonts w:ascii="Times New Roman" w:hAnsi="Times New Roman" w:cs="Times New Roman"/>
          <w:sz w:val="24"/>
          <w:szCs w:val="24"/>
        </w:rPr>
        <w:t xml:space="preserve">wykluczonymi cyfrowo. </w:t>
      </w:r>
      <w:r w:rsidR="00876E43" w:rsidRPr="00876E43">
        <w:rPr>
          <w:rStyle w:val="FontStyle21"/>
          <w:rFonts w:ascii="Times New Roman" w:hAnsi="Times New Roman" w:cs="Times New Roman"/>
          <w:sz w:val="24"/>
          <w:szCs w:val="24"/>
        </w:rPr>
        <w:lastRenderedPageBreak/>
        <w:t>Umocowanie zawarte w przepisach ustawy o doręczeniach elektronicznych pozwala na wykorzystanie w komunikacji między stronami publicznej usługi rejestrowanego doręczenia elektronicznego oraz publicznej usługi hybrydowej, jako metody skutecznej prawnie na równi z wysłaniem tradycyjnego listu poleconego za potwierdzeniem odbioru lub doręczeniem osobistym. Dlatego też projektowane tryby dokonywania doręczeń elektronicznych zarówno w</w:t>
      </w:r>
      <w:r w:rsidR="00EC739F">
        <w:rPr>
          <w:rStyle w:val="FontStyle21"/>
          <w:rFonts w:ascii="Times New Roman" w:hAnsi="Times New Roman" w:cs="Times New Roman"/>
          <w:sz w:val="24"/>
          <w:szCs w:val="24"/>
        </w:rPr>
        <w:t> </w:t>
      </w:r>
      <w:r w:rsidR="00876E43" w:rsidRPr="00876E43">
        <w:rPr>
          <w:rStyle w:val="FontStyle21"/>
          <w:rFonts w:ascii="Times New Roman" w:hAnsi="Times New Roman" w:cs="Times New Roman"/>
          <w:sz w:val="24"/>
          <w:szCs w:val="24"/>
        </w:rPr>
        <w:t>postępowaniu upadłościowym, realizowane za pośrednictwem systemu teleinformatycznego obsługującego postępowanie sądowe, wydają się pomijać mechanizmy przyjęte przez polskiego ustawodawcę, w zakresie wymiany korespondencji prowadzonej przez podmioty publiczne z wykorzystaniem publicznej usługi rejestrowanego doręczenia elektronicznego oraz publicznej usługi hybrydowej.</w:t>
      </w:r>
    </w:p>
    <w:p w14:paraId="5E1D1919" w14:textId="77777777" w:rsidR="00876E43" w:rsidRPr="00876E43" w:rsidRDefault="00876E43" w:rsidP="00876E43">
      <w:pPr>
        <w:pStyle w:val="Style14"/>
        <w:widowControl/>
        <w:spacing w:line="360" w:lineRule="auto"/>
        <w:ind w:firstLine="709"/>
        <w:rPr>
          <w:rStyle w:val="FontStyle21"/>
          <w:rFonts w:ascii="Times New Roman" w:hAnsi="Times New Roman" w:cs="Times New Roman"/>
          <w:sz w:val="24"/>
          <w:szCs w:val="24"/>
        </w:rPr>
      </w:pPr>
      <w:r w:rsidRPr="00876E43">
        <w:rPr>
          <w:rStyle w:val="FontStyle21"/>
          <w:rFonts w:ascii="Times New Roman" w:hAnsi="Times New Roman" w:cs="Times New Roman"/>
          <w:sz w:val="24"/>
          <w:szCs w:val="24"/>
        </w:rPr>
        <w:t>Zdaniem Poczty Polskiej S.A. przyjmowane w porządku prawnym rozwiązania powinny zapewniać spójność w ramach wprowadzanych mechanizmów w zakresie doręczeń elektronicznych korespondencji podmiotów publicznych, aby przyjęty mechanizm na podstawie ustawy o doręczeniach elektronicznych mógł być w pełni wykorzystywany.</w:t>
      </w:r>
    </w:p>
    <w:p w14:paraId="1AA32F54" w14:textId="167FF7F3" w:rsidR="00356D28" w:rsidRDefault="00876E43" w:rsidP="00356D28">
      <w:pPr>
        <w:pStyle w:val="Style14"/>
        <w:widowControl/>
        <w:spacing w:line="360" w:lineRule="auto"/>
        <w:ind w:firstLine="709"/>
        <w:rPr>
          <w:rFonts w:ascii="Times New Roman" w:hAnsi="Times New Roman" w:cs="Times New Roman"/>
        </w:rPr>
      </w:pPr>
      <w:r w:rsidRPr="00876E43">
        <w:rPr>
          <w:rFonts w:ascii="Times New Roman" w:hAnsi="Times New Roman" w:cs="Times New Roman"/>
        </w:rPr>
        <w:t xml:space="preserve">Odnosząc się do przedmiotowej uwagi to należy podkreślić, że ustawa o doręczeniach elektronicznych nie ma zastosowania do postępowania upadłościowego, gdyż ustawa </w:t>
      </w:r>
      <w:r w:rsidR="00A75D44">
        <w:rPr>
          <w:rFonts w:ascii="Times New Roman" w:hAnsi="Times New Roman" w:cs="Times New Roman"/>
        </w:rPr>
        <w:br/>
      </w:r>
      <w:r w:rsidRPr="00876E43">
        <w:rPr>
          <w:rFonts w:ascii="Times New Roman" w:hAnsi="Times New Roman" w:cs="Times New Roman"/>
        </w:rPr>
        <w:t>o Krajowym Rejestrze Zadłużonych w tym zakresie wprowadza autonomiczne rozwiązania</w:t>
      </w:r>
      <w:r w:rsidR="00020FC4">
        <w:rPr>
          <w:rFonts w:ascii="Times New Roman" w:hAnsi="Times New Roman" w:cs="Times New Roman"/>
        </w:rPr>
        <w:t>.</w:t>
      </w:r>
    </w:p>
    <w:p w14:paraId="4A04D63D" w14:textId="2604FBC2" w:rsidR="00356D28" w:rsidRPr="00356D28" w:rsidRDefault="00356D28" w:rsidP="00356D28">
      <w:pPr>
        <w:pStyle w:val="Style14"/>
        <w:widowControl/>
        <w:spacing w:line="360" w:lineRule="auto"/>
        <w:ind w:firstLine="709"/>
        <w:rPr>
          <w:rStyle w:val="FontStyle13"/>
          <w:rFonts w:ascii="Times New Roman" w:hAnsi="Times New Roman" w:cs="Times New Roman"/>
          <w:sz w:val="24"/>
          <w:szCs w:val="24"/>
        </w:rPr>
      </w:pPr>
      <w:r w:rsidRPr="00356D28">
        <w:rPr>
          <w:rFonts w:ascii="Times New Roman" w:hAnsi="Times New Roman" w:cs="Times New Roman"/>
          <w:b/>
          <w:bCs/>
        </w:rPr>
        <w:t>Krajowa Rada Komornicza</w:t>
      </w:r>
      <w:r w:rsidRPr="00356D28">
        <w:rPr>
          <w:rFonts w:ascii="Times New Roman" w:hAnsi="Times New Roman" w:cs="Times New Roman"/>
        </w:rPr>
        <w:t xml:space="preserve"> </w:t>
      </w:r>
      <w:r w:rsidRPr="00356D28">
        <w:rPr>
          <w:rStyle w:val="FontStyle13"/>
          <w:rFonts w:ascii="Times New Roman" w:hAnsi="Times New Roman" w:cs="Times New Roman"/>
          <w:sz w:val="24"/>
          <w:szCs w:val="24"/>
        </w:rPr>
        <w:t xml:space="preserve">podniosła, że w projektowanym rozporządzeniu, które określać ma </w:t>
      </w:r>
      <w:r w:rsidRPr="00356D28">
        <w:rPr>
          <w:rStyle w:val="FontStyle12"/>
          <w:rFonts w:ascii="Times New Roman" w:hAnsi="Times New Roman" w:cs="Times New Roman"/>
          <w:b w:val="0"/>
          <w:bCs w:val="0"/>
          <w:sz w:val="24"/>
          <w:szCs w:val="24"/>
        </w:rPr>
        <w:t xml:space="preserve">tryb i sposób dokonywania doręczeń elektronicznych, </w:t>
      </w:r>
      <w:r w:rsidRPr="00356D28">
        <w:rPr>
          <w:rStyle w:val="FontStyle13"/>
          <w:rFonts w:ascii="Times New Roman" w:hAnsi="Times New Roman" w:cs="Times New Roman"/>
          <w:sz w:val="24"/>
          <w:szCs w:val="24"/>
        </w:rPr>
        <w:t>mając na względzie</w:t>
      </w:r>
      <w:r w:rsidRPr="00356D28">
        <w:rPr>
          <w:rStyle w:val="FontStyle13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56D28">
        <w:rPr>
          <w:rStyle w:val="FontStyle12"/>
          <w:rFonts w:ascii="Times New Roman" w:hAnsi="Times New Roman" w:cs="Times New Roman"/>
          <w:b w:val="0"/>
          <w:bCs w:val="0"/>
          <w:sz w:val="24"/>
          <w:szCs w:val="24"/>
        </w:rPr>
        <w:t>zapewnienie skuteczności doręczeń oraz ochronę praw osób, którym pisma są doręczane,</w:t>
      </w:r>
      <w:r w:rsidRPr="00356D28">
        <w:rPr>
          <w:rStyle w:val="FontStyle12"/>
          <w:rFonts w:ascii="Times New Roman" w:hAnsi="Times New Roman" w:cs="Times New Roman"/>
          <w:sz w:val="24"/>
          <w:szCs w:val="24"/>
        </w:rPr>
        <w:t xml:space="preserve"> </w:t>
      </w:r>
      <w:r w:rsidRPr="00356D28">
        <w:rPr>
          <w:rStyle w:val="FontStyle13"/>
          <w:rFonts w:ascii="Times New Roman" w:hAnsi="Times New Roman" w:cs="Times New Roman"/>
          <w:sz w:val="24"/>
          <w:szCs w:val="24"/>
        </w:rPr>
        <w:t xml:space="preserve">zawarto wyłącznie regulację, według której </w:t>
      </w:r>
      <w:r w:rsidRPr="00356D28">
        <w:rPr>
          <w:rStyle w:val="FontStyle14"/>
          <w:rFonts w:ascii="Times New Roman" w:hAnsi="Times New Roman" w:cs="Times New Roman"/>
          <w:sz w:val="24"/>
          <w:szCs w:val="24"/>
        </w:rPr>
        <w:t xml:space="preserve">„doręczenie pisma następuje poprzez jego odebranie na koncie w systemie teleinformatycznym obsługującym postępowanie sądowe. </w:t>
      </w:r>
      <w:r w:rsidR="00A75D44">
        <w:rPr>
          <w:rStyle w:val="FontStyle14"/>
          <w:rFonts w:ascii="Times New Roman" w:hAnsi="Times New Roman" w:cs="Times New Roman"/>
          <w:sz w:val="24"/>
          <w:szCs w:val="24"/>
        </w:rPr>
        <w:br/>
      </w:r>
      <w:r w:rsidRPr="00356D28">
        <w:rPr>
          <w:rStyle w:val="FontStyle14"/>
          <w:rFonts w:ascii="Times New Roman" w:hAnsi="Times New Roman" w:cs="Times New Roman"/>
          <w:sz w:val="24"/>
          <w:szCs w:val="24"/>
        </w:rPr>
        <w:t xml:space="preserve">W przypadku nieodebrania pisma w terminie 14 dniu od dnia umieszczenia go na koncie, pismo uznaje się za doręczone w dniu następującym po upływie tego terminu" </w:t>
      </w:r>
      <w:r w:rsidRPr="00356D28">
        <w:rPr>
          <w:rStyle w:val="FontStyle13"/>
          <w:rFonts w:ascii="Times New Roman" w:hAnsi="Times New Roman" w:cs="Times New Roman"/>
          <w:sz w:val="24"/>
          <w:szCs w:val="24"/>
        </w:rPr>
        <w:t xml:space="preserve">(§ 2 projektu). </w:t>
      </w:r>
      <w:r w:rsidRPr="00356D28">
        <w:rPr>
          <w:rStyle w:val="FontStyle14"/>
          <w:rFonts w:ascii="Times New Roman" w:hAnsi="Times New Roman" w:cs="Times New Roman"/>
          <w:sz w:val="24"/>
          <w:szCs w:val="24"/>
        </w:rPr>
        <w:t>„Po doręczeniu pisma lub upływie terminu, o którym mowa w § 2 ust. 2 do nadawcy pisma przekazywane jest elektroniczne potwierdzenie doręczenia pisma. Elektroniczne potwierdzenie doręczenia pisma zawiera: oznaczenie doręczonego pisma, chwilę jego odbioru, właściciela konta, któremu doręczono pismo, uprawnionego użytkownika, który odebrał pismo, albo - w przypadku nieodebrania pisma - informację, że pismo uznano za doręczone w trybie art. 131</w:t>
      </w:r>
      <w:r w:rsidRPr="00356D28">
        <w:rPr>
          <w:rStyle w:val="FontStyle14"/>
          <w:rFonts w:ascii="Times New Roman" w:hAnsi="Times New Roman" w:cs="Times New Roman"/>
          <w:sz w:val="24"/>
          <w:szCs w:val="24"/>
          <w:vertAlign w:val="superscript"/>
        </w:rPr>
        <w:t>1</w:t>
      </w:r>
      <w:r w:rsidRPr="00356D28">
        <w:rPr>
          <w:rStyle w:val="FontStyle14"/>
          <w:rFonts w:ascii="Times New Roman" w:hAnsi="Times New Roman" w:cs="Times New Roman"/>
          <w:sz w:val="24"/>
          <w:szCs w:val="24"/>
        </w:rPr>
        <w:t xml:space="preserve"> § 2 zdanie trzecie ustawy z dnia 17 listopada 1964 r. - Kodeks postępowania cywilnego (Dz. U. z 2020 r. poz. 1575) oraz chwilę umieszczenia pisma na koncie z oznaczeniem doręczonego pisma" </w:t>
      </w:r>
      <w:r w:rsidRPr="00356D28">
        <w:rPr>
          <w:rStyle w:val="FontStyle13"/>
          <w:rFonts w:ascii="Times New Roman" w:hAnsi="Times New Roman" w:cs="Times New Roman"/>
          <w:sz w:val="24"/>
          <w:szCs w:val="24"/>
        </w:rPr>
        <w:t>(§ 3 projektu). Z treści projektowanych przepisów rozporządzenia wynika, że stanowią one wyłącznie powtórzenie regulacji zawartej już w przepisach ustawy - Prawo upadłościowe oraz w przepisie art 131</w:t>
      </w:r>
      <w:r w:rsidRPr="00356D28">
        <w:rPr>
          <w:rStyle w:val="FontStyle13"/>
          <w:rFonts w:ascii="Times New Roman" w:hAnsi="Times New Roman" w:cs="Times New Roman"/>
          <w:sz w:val="24"/>
          <w:szCs w:val="24"/>
          <w:vertAlign w:val="superscript"/>
        </w:rPr>
        <w:t>1</w:t>
      </w:r>
      <w:r w:rsidRPr="00356D28">
        <w:rPr>
          <w:rStyle w:val="FontStyle13"/>
          <w:rFonts w:ascii="Times New Roman" w:hAnsi="Times New Roman" w:cs="Times New Roman"/>
          <w:sz w:val="24"/>
          <w:szCs w:val="24"/>
        </w:rPr>
        <w:t xml:space="preserve"> § 2 </w:t>
      </w:r>
      <w:proofErr w:type="spellStart"/>
      <w:r w:rsidRPr="00356D28">
        <w:rPr>
          <w:rStyle w:val="FontStyle13"/>
          <w:rFonts w:ascii="Times New Roman" w:hAnsi="Times New Roman" w:cs="Times New Roman"/>
          <w:sz w:val="24"/>
          <w:szCs w:val="24"/>
        </w:rPr>
        <w:t>k</w:t>
      </w:r>
      <w:r w:rsidR="00580875">
        <w:rPr>
          <w:rStyle w:val="FontStyle13"/>
          <w:rFonts w:ascii="Times New Roman" w:hAnsi="Times New Roman" w:cs="Times New Roman"/>
          <w:sz w:val="24"/>
          <w:szCs w:val="24"/>
        </w:rPr>
        <w:t>.</w:t>
      </w:r>
      <w:r w:rsidRPr="00356D28">
        <w:rPr>
          <w:rStyle w:val="FontStyle13"/>
          <w:rFonts w:ascii="Times New Roman" w:hAnsi="Times New Roman" w:cs="Times New Roman"/>
          <w:sz w:val="24"/>
          <w:szCs w:val="24"/>
        </w:rPr>
        <w:t>p.c</w:t>
      </w:r>
      <w:proofErr w:type="spellEnd"/>
      <w:r w:rsidRPr="00356D28">
        <w:rPr>
          <w:rStyle w:val="FontStyle13"/>
          <w:rFonts w:ascii="Times New Roman" w:hAnsi="Times New Roman" w:cs="Times New Roman"/>
          <w:sz w:val="24"/>
          <w:szCs w:val="24"/>
        </w:rPr>
        <w:t xml:space="preserve">, mającego odpowiednie zastosowanie do doręczeń </w:t>
      </w:r>
      <w:r w:rsidR="00A75D44">
        <w:rPr>
          <w:rStyle w:val="FontStyle13"/>
          <w:rFonts w:ascii="Times New Roman" w:hAnsi="Times New Roman" w:cs="Times New Roman"/>
          <w:sz w:val="24"/>
          <w:szCs w:val="24"/>
        </w:rPr>
        <w:br/>
      </w:r>
      <w:r w:rsidRPr="00356D28">
        <w:rPr>
          <w:rStyle w:val="FontStyle13"/>
          <w:rFonts w:ascii="Times New Roman" w:hAnsi="Times New Roman" w:cs="Times New Roman"/>
          <w:sz w:val="24"/>
          <w:szCs w:val="24"/>
        </w:rPr>
        <w:lastRenderedPageBreak/>
        <w:t xml:space="preserve">w postępowaniu upadłościowym. Tym samym projektowane rozporządzenie w istocie nie wnosi żadnych nowych rozwiązań prawnych, do których Minister Sprawiedliwości został upoważniony. Tymczasem rozporządzenie określać winno </w:t>
      </w:r>
      <w:r w:rsidRPr="00356D28">
        <w:rPr>
          <w:rStyle w:val="FontStyle12"/>
          <w:rFonts w:ascii="Times New Roman" w:hAnsi="Times New Roman" w:cs="Times New Roman"/>
          <w:b w:val="0"/>
          <w:bCs w:val="0"/>
          <w:sz w:val="24"/>
          <w:szCs w:val="24"/>
        </w:rPr>
        <w:t>tryb i sposób dokonywania doręczeń elektronicznych,</w:t>
      </w:r>
      <w:r w:rsidRPr="00356D28">
        <w:rPr>
          <w:rStyle w:val="FontStyle12"/>
          <w:rFonts w:ascii="Times New Roman" w:hAnsi="Times New Roman" w:cs="Times New Roman"/>
          <w:sz w:val="24"/>
          <w:szCs w:val="24"/>
        </w:rPr>
        <w:t xml:space="preserve"> </w:t>
      </w:r>
      <w:r w:rsidRPr="00356D28">
        <w:rPr>
          <w:rStyle w:val="FontStyle13"/>
          <w:rFonts w:ascii="Times New Roman" w:hAnsi="Times New Roman" w:cs="Times New Roman"/>
          <w:sz w:val="24"/>
          <w:szCs w:val="24"/>
        </w:rPr>
        <w:t>a nie moment doręczenia (co wynika już z treści art. 131</w:t>
      </w:r>
      <w:r w:rsidRPr="00356D28">
        <w:rPr>
          <w:rStyle w:val="FontStyle13"/>
          <w:rFonts w:ascii="Times New Roman" w:hAnsi="Times New Roman" w:cs="Times New Roman"/>
          <w:sz w:val="24"/>
          <w:szCs w:val="24"/>
          <w:vertAlign w:val="superscript"/>
        </w:rPr>
        <w:t>1</w:t>
      </w:r>
      <w:r w:rsidRPr="00356D28">
        <w:rPr>
          <w:rStyle w:val="FontStyle13"/>
          <w:rFonts w:ascii="Times New Roman" w:hAnsi="Times New Roman" w:cs="Times New Roman"/>
          <w:sz w:val="24"/>
          <w:szCs w:val="24"/>
        </w:rPr>
        <w:t xml:space="preserve"> § 2 k</w:t>
      </w:r>
      <w:r w:rsidR="00F23B9D">
        <w:rPr>
          <w:rStyle w:val="FontStyle13"/>
          <w:rFonts w:ascii="Times New Roman" w:hAnsi="Times New Roman" w:cs="Times New Roman"/>
          <w:sz w:val="24"/>
          <w:szCs w:val="24"/>
        </w:rPr>
        <w:t>.</w:t>
      </w:r>
      <w:r w:rsidRPr="00356D28">
        <w:rPr>
          <w:rStyle w:val="FontStyle13"/>
          <w:rFonts w:ascii="Times New Roman" w:hAnsi="Times New Roman" w:cs="Times New Roman"/>
          <w:sz w:val="24"/>
          <w:szCs w:val="24"/>
        </w:rPr>
        <w:t>p.c. w związku z art. 220 ust 2 Prawa upadłościowego), czy elementy elektronicznego potwierdzenie doręczenia pisma, do czego w ogóle nie upoważniono organu wykonawczego w treści art. 220 ust. 7 ustawy.</w:t>
      </w:r>
    </w:p>
    <w:p w14:paraId="369BC06C" w14:textId="7E88A709" w:rsidR="00356D28" w:rsidRPr="00356D28" w:rsidRDefault="00356D28" w:rsidP="00356D28">
      <w:pPr>
        <w:pStyle w:val="Style7"/>
        <w:widowControl/>
        <w:spacing w:line="360" w:lineRule="auto"/>
        <w:ind w:right="5" w:firstLine="709"/>
        <w:rPr>
          <w:rFonts w:ascii="Times New Roman" w:eastAsiaTheme="minorHAnsi" w:hAnsi="Times New Roman" w:cs="Times New Roman"/>
        </w:rPr>
      </w:pPr>
      <w:r w:rsidRPr="00356D28">
        <w:rPr>
          <w:rStyle w:val="FontStyle13"/>
          <w:rFonts w:ascii="Times New Roman" w:hAnsi="Times New Roman" w:cs="Times New Roman"/>
          <w:sz w:val="24"/>
          <w:szCs w:val="24"/>
        </w:rPr>
        <w:t xml:space="preserve">Odnosząc się do powyższych uwag to należy podkreślić, że </w:t>
      </w:r>
      <w:r>
        <w:rPr>
          <w:rStyle w:val="FontStyle13"/>
          <w:rFonts w:ascii="Times New Roman" w:hAnsi="Times New Roman" w:cs="Times New Roman"/>
          <w:sz w:val="24"/>
          <w:szCs w:val="24"/>
        </w:rPr>
        <w:t xml:space="preserve">zgodnie z </w:t>
      </w:r>
      <w:r w:rsidRPr="00356D28">
        <w:rPr>
          <w:rStyle w:val="FontStyle13"/>
          <w:rFonts w:ascii="Times New Roman" w:hAnsi="Times New Roman" w:cs="Times New Roman"/>
          <w:sz w:val="24"/>
          <w:szCs w:val="24"/>
        </w:rPr>
        <w:t xml:space="preserve">art. 220 ust. 7 </w:t>
      </w:r>
      <w:r w:rsidRPr="001C3898">
        <w:rPr>
          <w:rFonts w:ascii="Times New Roman" w:hAnsi="Times New Roman" w:cs="Times New Roman"/>
        </w:rPr>
        <w:t xml:space="preserve">ustawy z dnia </w:t>
      </w:r>
      <w:r w:rsidRPr="001C3898">
        <w:rPr>
          <w:rFonts w:ascii="Times New Roman" w:hAnsi="Times New Roman" w:cs="Times New Roman"/>
          <w:spacing w:val="20"/>
        </w:rPr>
        <w:t>28</w:t>
      </w:r>
      <w:r w:rsidRPr="001C3898">
        <w:rPr>
          <w:rFonts w:ascii="Times New Roman" w:hAnsi="Times New Roman" w:cs="Times New Roman"/>
        </w:rPr>
        <w:t xml:space="preserve"> lutego 2003 r. - Prawo Upadłościowe (Dz. U. z 2020 r. poz. 1228)</w:t>
      </w:r>
      <w:r w:rsidRPr="00356D28">
        <w:rPr>
          <w:rFonts w:ascii="Times New Roman" w:hAnsi="Times New Roman" w:cs="Times New Roman"/>
        </w:rPr>
        <w:t xml:space="preserve"> </w:t>
      </w:r>
      <w:r w:rsidRPr="00356D28">
        <w:rPr>
          <w:rFonts w:ascii="Times New Roman" w:hAnsi="Times New Roman" w:cs="Times New Roman"/>
          <w:color w:val="333333"/>
          <w:shd w:val="clear" w:color="auto" w:fill="FFFFFF"/>
        </w:rPr>
        <w:t xml:space="preserve">Minister Sprawiedliwości w porozumieniu z ministrem właściwym do spraw informatyzacji określi, </w:t>
      </w:r>
      <w:r w:rsidR="00A75D44">
        <w:rPr>
          <w:rFonts w:ascii="Times New Roman" w:hAnsi="Times New Roman" w:cs="Times New Roman"/>
          <w:color w:val="333333"/>
          <w:shd w:val="clear" w:color="auto" w:fill="FFFFFF"/>
        </w:rPr>
        <w:br/>
      </w:r>
      <w:r w:rsidRPr="00356D28">
        <w:rPr>
          <w:rFonts w:ascii="Times New Roman" w:hAnsi="Times New Roman" w:cs="Times New Roman"/>
          <w:color w:val="333333"/>
          <w:shd w:val="clear" w:color="auto" w:fill="FFFFFF"/>
        </w:rPr>
        <w:t xml:space="preserve">w drodze rozporządzenia, tryb i sposób dokonywania doręczeń elektronicznych, mając na względzie zapewnienie skuteczności doręczeń oraz ochronę praw osób, którym pisma są doręczane. Przedmiotowa delegacja ustawowa do wydania rozporządzenia jest identyczna jak delegacja ustawowa z art. </w:t>
      </w:r>
      <w:r w:rsidRPr="00356D28">
        <w:rPr>
          <w:rFonts w:ascii="Times New Roman" w:eastAsiaTheme="minorHAnsi" w:hAnsi="Times New Roman" w:cs="Times New Roman"/>
        </w:rPr>
        <w:t>131</w:t>
      </w:r>
      <w:r w:rsidRPr="00356D28">
        <w:rPr>
          <w:rFonts w:ascii="Times New Roman" w:eastAsiaTheme="minorHAnsi" w:hAnsi="Times New Roman" w:cs="Times New Roman"/>
          <w:vertAlign w:val="superscript"/>
        </w:rPr>
        <w:t>1</w:t>
      </w:r>
      <w:r w:rsidRPr="00356D28">
        <w:rPr>
          <w:rFonts w:ascii="Times New Roman" w:eastAsiaTheme="minorHAnsi" w:hAnsi="Times New Roman" w:cs="Times New Roman"/>
        </w:rPr>
        <w:t xml:space="preserve"> § 3 ustawy z dnia 17 listopada 1964 r. – Kodeks postępowania cywilnego (Dz. U. z 2020 r. poz. 1575). Na powyższej</w:t>
      </w:r>
      <w:r w:rsidRPr="00F81108">
        <w:rPr>
          <w:rFonts w:ascii="Times New Roman" w:hAnsi="Times New Roman" w:cs="Times New Roman"/>
        </w:rPr>
        <w:t xml:space="preserve"> podstawie prawnej </w:t>
      </w:r>
      <w:r w:rsidRPr="00356D28">
        <w:rPr>
          <w:rFonts w:ascii="Times New Roman" w:hAnsi="Times New Roman" w:cs="Times New Roman"/>
        </w:rPr>
        <w:t xml:space="preserve">zostało wydane </w:t>
      </w:r>
      <w:r w:rsidRPr="00F81108">
        <w:rPr>
          <w:rFonts w:ascii="Times New Roman" w:hAnsi="Times New Roman" w:cs="Times New Roman"/>
        </w:rPr>
        <w:t>rozporządzeni</w:t>
      </w:r>
      <w:r w:rsidRPr="00356D28">
        <w:rPr>
          <w:rFonts w:ascii="Times New Roman" w:hAnsi="Times New Roman" w:cs="Times New Roman"/>
        </w:rPr>
        <w:t>e</w:t>
      </w:r>
      <w:r w:rsidRPr="00F81108">
        <w:rPr>
          <w:rFonts w:ascii="Times New Roman" w:hAnsi="Times New Roman" w:cs="Times New Roman"/>
        </w:rPr>
        <w:t xml:space="preserve"> Ministra Sprawiedliwości z dnia 20 października 2015 r. w sprawie trybu </w:t>
      </w:r>
      <w:r w:rsidR="00A75D44">
        <w:rPr>
          <w:rFonts w:ascii="Times New Roman" w:hAnsi="Times New Roman" w:cs="Times New Roman"/>
        </w:rPr>
        <w:br/>
      </w:r>
      <w:r w:rsidRPr="00F81108">
        <w:rPr>
          <w:rFonts w:ascii="Times New Roman" w:hAnsi="Times New Roman" w:cs="Times New Roman"/>
        </w:rPr>
        <w:t>i sposobu dokonywania doręczeń elektronicznych</w:t>
      </w:r>
      <w:r w:rsidRPr="00356D28">
        <w:rPr>
          <w:rFonts w:ascii="Times New Roman" w:eastAsiaTheme="minorHAnsi" w:hAnsi="Times New Roman" w:cs="Times New Roman"/>
        </w:rPr>
        <w:t xml:space="preserve"> </w:t>
      </w:r>
      <w:r w:rsidRPr="00356D28">
        <w:rPr>
          <w:rFonts w:ascii="Times New Roman" w:eastAsiaTheme="minorHAnsi" w:hAnsi="Times New Roman" w:cs="Times New Roman"/>
          <w:lang w:eastAsia="en-US"/>
        </w:rPr>
        <w:t xml:space="preserve">(Dz. U. z 2015 r. poz. 1776). Należy podkreślić, że projektowane rozwiązania są rozwiązaniami analogicznymi jak rozwiązania przyjęte w rozporządzeniu wydanym na podstawie </w:t>
      </w:r>
      <w:r w:rsidRPr="00356D28">
        <w:rPr>
          <w:rFonts w:ascii="Times New Roman" w:hAnsi="Times New Roman" w:cs="Times New Roman"/>
          <w:color w:val="333333"/>
          <w:shd w:val="clear" w:color="auto" w:fill="FFFFFF"/>
        </w:rPr>
        <w:t xml:space="preserve">z art. </w:t>
      </w:r>
      <w:r w:rsidRPr="00356D28">
        <w:rPr>
          <w:rFonts w:ascii="Times New Roman" w:eastAsiaTheme="minorHAnsi" w:hAnsi="Times New Roman" w:cs="Times New Roman"/>
        </w:rPr>
        <w:t>131</w:t>
      </w:r>
      <w:r w:rsidRPr="00356D28">
        <w:rPr>
          <w:rFonts w:ascii="Times New Roman" w:eastAsiaTheme="minorHAnsi" w:hAnsi="Times New Roman" w:cs="Times New Roman"/>
          <w:vertAlign w:val="superscript"/>
        </w:rPr>
        <w:t>1</w:t>
      </w:r>
      <w:r w:rsidRPr="00356D28">
        <w:rPr>
          <w:rFonts w:ascii="Times New Roman" w:eastAsiaTheme="minorHAnsi" w:hAnsi="Times New Roman" w:cs="Times New Roman"/>
        </w:rPr>
        <w:t xml:space="preserve"> § 3 Kodeksu postępowania cywilnego. W związku z tym nie uzasadnione jest stanowisko, że projekt nie wypełnia delegacji ustawowej zawartej w art. 220 ust. 7 </w:t>
      </w:r>
      <w:r>
        <w:rPr>
          <w:rFonts w:ascii="Times New Roman" w:eastAsiaTheme="minorHAnsi" w:hAnsi="Times New Roman" w:cs="Times New Roman"/>
        </w:rPr>
        <w:t>P</w:t>
      </w:r>
      <w:r w:rsidRPr="00356D28">
        <w:rPr>
          <w:rFonts w:ascii="Times New Roman" w:eastAsiaTheme="minorHAnsi" w:hAnsi="Times New Roman" w:cs="Times New Roman"/>
        </w:rPr>
        <w:t>rawa upadłościowego.</w:t>
      </w:r>
    </w:p>
    <w:p w14:paraId="72A2DC92" w14:textId="77777777" w:rsidR="00356D28" w:rsidRPr="00876E43" w:rsidRDefault="00356D28" w:rsidP="00876E43">
      <w:pPr>
        <w:pStyle w:val="Style14"/>
        <w:widowControl/>
        <w:spacing w:line="360" w:lineRule="auto"/>
        <w:ind w:firstLine="709"/>
        <w:rPr>
          <w:rStyle w:val="FontStyle21"/>
          <w:rFonts w:ascii="Times New Roman" w:hAnsi="Times New Roman" w:cs="Times New Roman"/>
          <w:sz w:val="24"/>
          <w:szCs w:val="24"/>
        </w:rPr>
      </w:pPr>
    </w:p>
    <w:p w14:paraId="6F14DCE5" w14:textId="77777777" w:rsidR="00876E43" w:rsidRPr="00876E43" w:rsidRDefault="00876E43" w:rsidP="00876E43">
      <w:pPr>
        <w:spacing w:after="0" w:line="360" w:lineRule="auto"/>
        <w:ind w:firstLine="709"/>
        <w:jc w:val="both"/>
        <w:rPr>
          <w:rFonts w:eastAsiaTheme="minorHAnsi"/>
        </w:rPr>
      </w:pPr>
    </w:p>
    <w:p w14:paraId="0E6B2771" w14:textId="77777777" w:rsidR="00876E43" w:rsidRPr="00876E43" w:rsidRDefault="00876E43">
      <w:pPr>
        <w:spacing w:after="0" w:line="360" w:lineRule="auto"/>
        <w:ind w:firstLine="709"/>
        <w:jc w:val="both"/>
        <w:rPr>
          <w:rFonts w:eastAsiaTheme="minorHAnsi"/>
        </w:rPr>
      </w:pPr>
    </w:p>
    <w:sectPr w:rsidR="00876E43" w:rsidRPr="00876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6A2"/>
    <w:rsid w:val="00020FC4"/>
    <w:rsid w:val="00260C51"/>
    <w:rsid w:val="00356D28"/>
    <w:rsid w:val="00580875"/>
    <w:rsid w:val="006E76A2"/>
    <w:rsid w:val="0081353E"/>
    <w:rsid w:val="00876E43"/>
    <w:rsid w:val="00A75D44"/>
    <w:rsid w:val="00B2025B"/>
    <w:rsid w:val="00C876B1"/>
    <w:rsid w:val="00E65575"/>
    <w:rsid w:val="00EC739F"/>
    <w:rsid w:val="00F2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4DFF3"/>
  <w15:chartTrackingRefBased/>
  <w15:docId w15:val="{D1AF645C-395E-40DC-A489-5609E8A44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6A2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1">
    <w:name w:val="Font Style21"/>
    <w:basedOn w:val="Domylnaczcionkaakapitu"/>
    <w:uiPriority w:val="99"/>
    <w:rsid w:val="00C876B1"/>
    <w:rPr>
      <w:rFonts w:ascii="Arial" w:hAnsi="Arial" w:cs="Arial"/>
      <w:sz w:val="22"/>
      <w:szCs w:val="22"/>
    </w:rPr>
  </w:style>
  <w:style w:type="paragraph" w:customStyle="1" w:styleId="Style14">
    <w:name w:val="Style14"/>
    <w:basedOn w:val="Normalny"/>
    <w:uiPriority w:val="99"/>
    <w:rsid w:val="00876E43"/>
    <w:pPr>
      <w:widowControl w:val="0"/>
      <w:autoSpaceDE w:val="0"/>
      <w:autoSpaceDN w:val="0"/>
      <w:adjustRightInd w:val="0"/>
      <w:spacing w:after="0" w:line="380" w:lineRule="exact"/>
      <w:jc w:val="both"/>
    </w:pPr>
    <w:rPr>
      <w:rFonts w:ascii="Arial" w:eastAsiaTheme="minorEastAsia" w:hAnsi="Arial" w:cs="Arial"/>
    </w:rPr>
  </w:style>
  <w:style w:type="paragraph" w:customStyle="1" w:styleId="Style7">
    <w:name w:val="Style7"/>
    <w:basedOn w:val="Normalny"/>
    <w:uiPriority w:val="99"/>
    <w:rsid w:val="00356D28"/>
    <w:pPr>
      <w:widowControl w:val="0"/>
      <w:autoSpaceDE w:val="0"/>
      <w:autoSpaceDN w:val="0"/>
      <w:adjustRightInd w:val="0"/>
      <w:spacing w:after="0" w:line="386" w:lineRule="exact"/>
      <w:ind w:firstLine="710"/>
      <w:jc w:val="both"/>
    </w:pPr>
    <w:rPr>
      <w:rFonts w:ascii="Cambria" w:eastAsiaTheme="minorEastAsia" w:hAnsi="Cambria" w:cstheme="minorBidi"/>
    </w:rPr>
  </w:style>
  <w:style w:type="character" w:customStyle="1" w:styleId="FontStyle12">
    <w:name w:val="Font Style12"/>
    <w:basedOn w:val="Domylnaczcionkaakapitu"/>
    <w:uiPriority w:val="99"/>
    <w:rsid w:val="00356D28"/>
    <w:rPr>
      <w:rFonts w:ascii="Cambria" w:hAnsi="Cambria" w:cs="Cambria"/>
      <w:b/>
      <w:bCs/>
      <w:sz w:val="20"/>
      <w:szCs w:val="20"/>
    </w:rPr>
  </w:style>
  <w:style w:type="character" w:customStyle="1" w:styleId="FontStyle13">
    <w:name w:val="Font Style13"/>
    <w:basedOn w:val="Domylnaczcionkaakapitu"/>
    <w:uiPriority w:val="99"/>
    <w:rsid w:val="00356D28"/>
    <w:rPr>
      <w:rFonts w:ascii="Cambria" w:hAnsi="Cambria" w:cs="Cambria"/>
      <w:sz w:val="20"/>
      <w:szCs w:val="20"/>
    </w:rPr>
  </w:style>
  <w:style w:type="character" w:customStyle="1" w:styleId="FontStyle14">
    <w:name w:val="Font Style14"/>
    <w:basedOn w:val="Domylnaczcionkaakapitu"/>
    <w:uiPriority w:val="99"/>
    <w:rsid w:val="00356D28"/>
    <w:rPr>
      <w:rFonts w:ascii="Cambria" w:hAnsi="Cambria" w:cs="Cambria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971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Wołowski Przemysław  (DLPC)</dc:creator>
  <cp:keywords/>
  <dc:description/>
  <cp:lastModifiedBy>Wołowski Przemysław  (DLPC)</cp:lastModifiedBy>
  <cp:revision>2</cp:revision>
  <dcterms:created xsi:type="dcterms:W3CDTF">2021-04-06T13:32:00Z</dcterms:created>
  <dcterms:modified xsi:type="dcterms:W3CDTF">2021-04-06T13:32:00Z</dcterms:modified>
</cp:coreProperties>
</file>