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CB9D1C" w14:textId="7D9A6A8D" w:rsidR="00FF4B96" w:rsidRPr="00FF4B96" w:rsidRDefault="00FF4B96" w:rsidP="00FF4B96">
      <w:pPr>
        <w:autoSpaceDE w:val="0"/>
        <w:autoSpaceDN w:val="0"/>
        <w:adjustRightInd w:val="0"/>
        <w:spacing w:after="0" w:line="240" w:lineRule="auto"/>
        <w:jc w:val="center"/>
        <w:rPr>
          <w:rFonts w:ascii="Times New Roman" w:eastAsiaTheme="minorHAnsi" w:hAnsi="Times New Roman"/>
          <w:b/>
          <w:i/>
          <w:iCs/>
          <w:sz w:val="24"/>
          <w:szCs w:val="24"/>
          <w:u w:val="single"/>
        </w:rPr>
      </w:pPr>
      <w:r w:rsidRPr="00FF4B96">
        <w:rPr>
          <w:rFonts w:ascii="Times New Roman" w:hAnsi="Times New Roman"/>
          <w:b/>
          <w:i/>
          <w:iCs/>
          <w:sz w:val="24"/>
          <w:szCs w:val="24"/>
          <w:u w:val="single"/>
        </w:rPr>
        <w:t>Zestawienie uwag zgłoszonych w uzgodnieniach międzyresortowych</w:t>
      </w:r>
      <w:r w:rsidR="00A76931">
        <w:rPr>
          <w:rFonts w:ascii="Times New Roman" w:hAnsi="Times New Roman"/>
          <w:b/>
          <w:i/>
          <w:iCs/>
          <w:sz w:val="24"/>
          <w:szCs w:val="24"/>
          <w:u w:val="single"/>
        </w:rPr>
        <w:t xml:space="preserve"> </w:t>
      </w:r>
      <w:r w:rsidRPr="00FF4B96">
        <w:rPr>
          <w:rFonts w:ascii="Times New Roman" w:hAnsi="Times New Roman"/>
          <w:b/>
          <w:i/>
          <w:iCs/>
          <w:sz w:val="24"/>
          <w:szCs w:val="24"/>
          <w:u w:val="single"/>
        </w:rPr>
        <w:t xml:space="preserve">do </w:t>
      </w:r>
      <w:bookmarkStart w:id="0" w:name="_Hlk66693850"/>
      <w:r w:rsidRPr="00FF4B96">
        <w:rPr>
          <w:rFonts w:ascii="Times New Roman" w:hAnsi="Times New Roman"/>
          <w:b/>
          <w:i/>
          <w:iCs/>
          <w:sz w:val="24"/>
          <w:szCs w:val="24"/>
          <w:u w:val="single"/>
        </w:rPr>
        <w:t>projektu</w:t>
      </w:r>
      <w:r w:rsidRPr="00FF4B96">
        <w:rPr>
          <w:rFonts w:ascii="Times New Roman" w:eastAsiaTheme="minorHAnsi" w:hAnsi="Times New Roman"/>
          <w:b/>
          <w:i/>
          <w:iCs/>
          <w:sz w:val="24"/>
          <w:szCs w:val="24"/>
          <w:u w:val="single"/>
        </w:rPr>
        <w:t xml:space="preserve"> rozporządzenia Ministra Sprawiedliwości w sprawie trybu i sposobu dokonywania doręczeń elektronicznych</w:t>
      </w:r>
    </w:p>
    <w:p w14:paraId="7956EF65" w14:textId="77777777" w:rsidR="00FF4B96" w:rsidRPr="00FF4B96" w:rsidRDefault="00FF4B96" w:rsidP="00FF4B96">
      <w:pPr>
        <w:tabs>
          <w:tab w:val="left" w:pos="1701"/>
          <w:tab w:val="right" w:pos="8080"/>
          <w:tab w:val="right" w:pos="9639"/>
        </w:tabs>
        <w:ind w:left="142" w:right="254" w:hanging="142"/>
        <w:jc w:val="center"/>
        <w:rPr>
          <w:rFonts w:ascii="Times New Roman" w:hAnsi="Times New Roman"/>
          <w:b/>
          <w:i/>
          <w:iCs/>
          <w:sz w:val="24"/>
          <w:szCs w:val="24"/>
          <w:u w:val="single"/>
        </w:rPr>
      </w:pPr>
      <w:r w:rsidRPr="00FF4B96">
        <w:rPr>
          <w:rFonts w:ascii="Times New Roman" w:eastAsiaTheme="minorHAnsi" w:hAnsi="Times New Roman"/>
          <w:b/>
          <w:i/>
          <w:iCs/>
          <w:sz w:val="24"/>
          <w:szCs w:val="24"/>
          <w:u w:val="single"/>
        </w:rPr>
        <w:t>w postępowaniach upadłościowych (nr w wykazie A419)</w:t>
      </w:r>
    </w:p>
    <w:tbl>
      <w:tblPr>
        <w:tblW w:w="14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938"/>
        <w:gridCol w:w="1432"/>
        <w:gridCol w:w="2143"/>
        <w:gridCol w:w="5050"/>
        <w:gridCol w:w="4919"/>
      </w:tblGrid>
      <w:tr w:rsidR="00FF4B96" w:rsidRPr="007A51B3" w14:paraId="7953BC40" w14:textId="77777777" w:rsidTr="00A76931">
        <w:tc>
          <w:tcPr>
            <w:tcW w:w="938" w:type="dxa"/>
          </w:tcPr>
          <w:bookmarkEnd w:id="0"/>
          <w:p w14:paraId="172AE6B0" w14:textId="77777777" w:rsidR="00FF4B96" w:rsidRPr="007A51B3" w:rsidRDefault="00FF4B96" w:rsidP="00D62FDE">
            <w:pPr>
              <w:spacing w:after="0" w:line="240" w:lineRule="auto"/>
              <w:jc w:val="both"/>
              <w:rPr>
                <w:rFonts w:ascii="Times New Roman" w:hAnsi="Times New Roman"/>
                <w:b/>
                <w:sz w:val="24"/>
                <w:szCs w:val="24"/>
              </w:rPr>
            </w:pPr>
            <w:r w:rsidRPr="007A51B3">
              <w:rPr>
                <w:rFonts w:ascii="Times New Roman" w:hAnsi="Times New Roman"/>
                <w:b/>
                <w:sz w:val="24"/>
                <w:szCs w:val="24"/>
              </w:rPr>
              <w:t>Lp.</w:t>
            </w:r>
          </w:p>
        </w:tc>
        <w:tc>
          <w:tcPr>
            <w:tcW w:w="1432" w:type="dxa"/>
          </w:tcPr>
          <w:p w14:paraId="63E09E1D" w14:textId="77777777" w:rsidR="00FF4B96" w:rsidRPr="007A51B3" w:rsidRDefault="00FF4B96" w:rsidP="00D62FDE">
            <w:pPr>
              <w:spacing w:after="0" w:line="240" w:lineRule="auto"/>
              <w:jc w:val="both"/>
              <w:rPr>
                <w:rFonts w:ascii="Times New Roman" w:hAnsi="Times New Roman"/>
                <w:b/>
                <w:sz w:val="24"/>
                <w:szCs w:val="24"/>
              </w:rPr>
            </w:pPr>
            <w:r w:rsidRPr="007A51B3">
              <w:rPr>
                <w:rFonts w:ascii="Times New Roman" w:hAnsi="Times New Roman"/>
                <w:b/>
                <w:sz w:val="24"/>
                <w:szCs w:val="24"/>
              </w:rPr>
              <w:t xml:space="preserve">Zgłaszający </w:t>
            </w:r>
          </w:p>
          <w:p w14:paraId="3B1EB6DF" w14:textId="77777777" w:rsidR="00FF4B96" w:rsidRPr="007A51B3" w:rsidRDefault="00FF4B96" w:rsidP="00D62FDE">
            <w:pPr>
              <w:spacing w:after="0" w:line="240" w:lineRule="auto"/>
              <w:jc w:val="both"/>
              <w:rPr>
                <w:rFonts w:ascii="Times New Roman" w:hAnsi="Times New Roman"/>
                <w:b/>
                <w:sz w:val="24"/>
                <w:szCs w:val="24"/>
              </w:rPr>
            </w:pPr>
            <w:r w:rsidRPr="007A51B3">
              <w:rPr>
                <w:rFonts w:ascii="Times New Roman" w:hAnsi="Times New Roman"/>
                <w:b/>
                <w:sz w:val="24"/>
                <w:szCs w:val="24"/>
              </w:rPr>
              <w:t>uwagę</w:t>
            </w:r>
          </w:p>
        </w:tc>
        <w:tc>
          <w:tcPr>
            <w:tcW w:w="2143" w:type="dxa"/>
          </w:tcPr>
          <w:p w14:paraId="245A57EA" w14:textId="77777777" w:rsidR="00FF4B96" w:rsidRPr="007A51B3" w:rsidRDefault="00FF4B96" w:rsidP="00D62FDE">
            <w:pPr>
              <w:spacing w:after="0" w:line="240" w:lineRule="auto"/>
              <w:jc w:val="both"/>
              <w:rPr>
                <w:rFonts w:ascii="Times New Roman" w:hAnsi="Times New Roman"/>
                <w:b/>
                <w:sz w:val="24"/>
                <w:szCs w:val="24"/>
              </w:rPr>
            </w:pPr>
            <w:r w:rsidRPr="007A51B3">
              <w:rPr>
                <w:rFonts w:ascii="Times New Roman" w:hAnsi="Times New Roman"/>
                <w:b/>
                <w:sz w:val="24"/>
                <w:szCs w:val="24"/>
              </w:rPr>
              <w:t>Uwaga dotyczy</w:t>
            </w:r>
          </w:p>
        </w:tc>
        <w:tc>
          <w:tcPr>
            <w:tcW w:w="5050" w:type="dxa"/>
          </w:tcPr>
          <w:p w14:paraId="38EB69C0" w14:textId="77777777" w:rsidR="00FF4B96" w:rsidRPr="007A51B3" w:rsidRDefault="00FF4B96" w:rsidP="00D62FDE">
            <w:pPr>
              <w:spacing w:after="0" w:line="240" w:lineRule="auto"/>
              <w:jc w:val="both"/>
              <w:rPr>
                <w:rFonts w:ascii="Times New Roman" w:hAnsi="Times New Roman"/>
                <w:b/>
                <w:sz w:val="24"/>
                <w:szCs w:val="24"/>
              </w:rPr>
            </w:pPr>
            <w:r w:rsidRPr="007A51B3">
              <w:rPr>
                <w:rFonts w:ascii="Times New Roman" w:hAnsi="Times New Roman"/>
                <w:b/>
                <w:sz w:val="24"/>
                <w:szCs w:val="24"/>
              </w:rPr>
              <w:t>Treść uwagi</w:t>
            </w:r>
          </w:p>
        </w:tc>
        <w:tc>
          <w:tcPr>
            <w:tcW w:w="4919" w:type="dxa"/>
          </w:tcPr>
          <w:p w14:paraId="3A44B800" w14:textId="77777777" w:rsidR="00FF4B96" w:rsidRPr="007A51B3" w:rsidRDefault="00FF4B96" w:rsidP="00D62FDE">
            <w:pPr>
              <w:spacing w:after="0" w:line="240" w:lineRule="auto"/>
              <w:jc w:val="both"/>
              <w:rPr>
                <w:rFonts w:ascii="Times New Roman" w:hAnsi="Times New Roman"/>
                <w:b/>
                <w:sz w:val="24"/>
                <w:szCs w:val="24"/>
              </w:rPr>
            </w:pPr>
            <w:r w:rsidRPr="007A51B3">
              <w:rPr>
                <w:rFonts w:ascii="Times New Roman" w:hAnsi="Times New Roman"/>
                <w:b/>
                <w:sz w:val="24"/>
                <w:szCs w:val="24"/>
              </w:rPr>
              <w:t xml:space="preserve">Odniesienie się do uwagi </w:t>
            </w:r>
          </w:p>
        </w:tc>
      </w:tr>
      <w:tr w:rsidR="00FF4B96" w:rsidRPr="007A51B3" w14:paraId="6BF4773D" w14:textId="77777777" w:rsidTr="00A76931">
        <w:trPr>
          <w:trHeight w:val="12905"/>
        </w:trPr>
        <w:tc>
          <w:tcPr>
            <w:tcW w:w="938" w:type="dxa"/>
          </w:tcPr>
          <w:p w14:paraId="1C69E4CE" w14:textId="77777777" w:rsidR="00FF4B96" w:rsidRPr="007A51B3" w:rsidRDefault="00FF4B96" w:rsidP="00D62FDE">
            <w:pPr>
              <w:spacing w:after="0" w:line="240" w:lineRule="auto"/>
              <w:jc w:val="both"/>
              <w:rPr>
                <w:rFonts w:ascii="Times New Roman" w:hAnsi="Times New Roman"/>
                <w:sz w:val="24"/>
                <w:szCs w:val="24"/>
              </w:rPr>
            </w:pPr>
            <w:r w:rsidRPr="007A51B3">
              <w:rPr>
                <w:rFonts w:ascii="Times New Roman" w:hAnsi="Times New Roman"/>
                <w:sz w:val="24"/>
                <w:szCs w:val="24"/>
              </w:rPr>
              <w:lastRenderedPageBreak/>
              <w:t>1.</w:t>
            </w:r>
          </w:p>
        </w:tc>
        <w:tc>
          <w:tcPr>
            <w:tcW w:w="1432" w:type="dxa"/>
          </w:tcPr>
          <w:p w14:paraId="257B6890" w14:textId="77777777" w:rsidR="00FF4B96" w:rsidRPr="007A51B3" w:rsidRDefault="00FF4B96" w:rsidP="00D62FDE">
            <w:pPr>
              <w:spacing w:after="0" w:line="240" w:lineRule="auto"/>
              <w:ind w:right="-133"/>
              <w:jc w:val="both"/>
              <w:rPr>
                <w:rFonts w:ascii="Times New Roman" w:hAnsi="Times New Roman"/>
                <w:b/>
                <w:sz w:val="24"/>
                <w:szCs w:val="24"/>
              </w:rPr>
            </w:pPr>
            <w:r w:rsidRPr="007A51B3">
              <w:rPr>
                <w:rFonts w:ascii="Times New Roman" w:hAnsi="Times New Roman"/>
                <w:b/>
                <w:sz w:val="24"/>
                <w:szCs w:val="24"/>
              </w:rPr>
              <w:t>M</w:t>
            </w:r>
            <w:r>
              <w:rPr>
                <w:rFonts w:ascii="Times New Roman" w:hAnsi="Times New Roman"/>
                <w:b/>
                <w:sz w:val="24"/>
                <w:szCs w:val="24"/>
              </w:rPr>
              <w:t>F</w:t>
            </w:r>
          </w:p>
        </w:tc>
        <w:tc>
          <w:tcPr>
            <w:tcW w:w="2143" w:type="dxa"/>
          </w:tcPr>
          <w:p w14:paraId="0A6718DC" w14:textId="77777777" w:rsidR="00FF4B96" w:rsidRPr="00733E88" w:rsidRDefault="00FF4B96" w:rsidP="00D62FDE">
            <w:pPr>
              <w:spacing w:after="0" w:line="360" w:lineRule="auto"/>
              <w:jc w:val="both"/>
              <w:rPr>
                <w:rFonts w:ascii="Times New Roman" w:hAnsi="Times New Roman"/>
                <w:sz w:val="24"/>
                <w:szCs w:val="24"/>
              </w:rPr>
            </w:pPr>
            <w:r>
              <w:rPr>
                <w:rFonts w:ascii="Times New Roman" w:eastAsiaTheme="minorHAnsi" w:hAnsi="Times New Roman"/>
                <w:sz w:val="24"/>
                <w:szCs w:val="24"/>
              </w:rPr>
              <w:t>Uwaga ogólna</w:t>
            </w:r>
          </w:p>
        </w:tc>
        <w:tc>
          <w:tcPr>
            <w:tcW w:w="5050" w:type="dxa"/>
          </w:tcPr>
          <w:p w14:paraId="30315A68" w14:textId="77777777" w:rsidR="00FF4B96" w:rsidRDefault="00FF4B96" w:rsidP="00FF4B96">
            <w:pPr>
              <w:autoSpaceDE w:val="0"/>
              <w:autoSpaceDN w:val="0"/>
              <w:adjustRightInd w:val="0"/>
              <w:spacing w:after="0" w:line="360" w:lineRule="auto"/>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MF prosi o wyjaśnienie, czy projektowane rozporządzenie będzie miało zastosowanie do doręczeń znanym wierzycielom zagranicznym</w:t>
            </w:r>
          </w:p>
          <w:p w14:paraId="7066213E" w14:textId="77777777" w:rsidR="00FF4B96" w:rsidRDefault="00FF4B96" w:rsidP="00FF4B96">
            <w:pPr>
              <w:autoSpaceDE w:val="0"/>
              <w:autoSpaceDN w:val="0"/>
              <w:adjustRightInd w:val="0"/>
              <w:spacing w:after="0" w:line="360" w:lineRule="auto"/>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powiadomień, o których mowa w art. 54 ust. 1 rozporządzenia Parlamentu Europejskiego i Rady</w:t>
            </w:r>
          </w:p>
          <w:p w14:paraId="19164315" w14:textId="77777777" w:rsidR="00FF4B96" w:rsidRDefault="00FF4B96" w:rsidP="00FF4B96">
            <w:pPr>
              <w:autoSpaceDE w:val="0"/>
              <w:autoSpaceDN w:val="0"/>
              <w:adjustRightInd w:val="0"/>
              <w:spacing w:after="0" w:line="360" w:lineRule="auto"/>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 xml:space="preserve">(UE) 2015/848 z dnia 20 maja 2015 r. w sprawie postępowania upadłościowego (Dz. U. UE. L. 141 z 05.06.2015, str. 19, z </w:t>
            </w:r>
            <w:proofErr w:type="spellStart"/>
            <w:r>
              <w:rPr>
                <w:rFonts w:ascii="TimesNewRomanPSMT" w:eastAsiaTheme="minorHAnsi" w:hAnsi="TimesNewRomanPSMT" w:cs="TimesNewRomanPSMT"/>
                <w:sz w:val="24"/>
                <w:szCs w:val="24"/>
              </w:rPr>
              <w:t>późn</w:t>
            </w:r>
            <w:proofErr w:type="spellEnd"/>
            <w:r>
              <w:rPr>
                <w:rFonts w:ascii="TimesNewRomanPSMT" w:eastAsiaTheme="minorHAnsi" w:hAnsi="TimesNewRomanPSMT" w:cs="TimesNewRomanPSMT"/>
                <w:sz w:val="24"/>
                <w:szCs w:val="24"/>
              </w:rPr>
              <w:t>. zm.). Wskazuję, że zgodnie z art. 54 ust. 1 i 2 ww. rozporządzenia niezwłocznie po wszczęciu postępowania upadłościowego w państwie członkowskim, posiadający jurysdykcję sąd tego państwa lub powołany przez ten sąd zarządca powiadamiają znanych wierzycieli zagranicznych, przy czym powiadomienie to następuje przez indywidualne przesłanie zawiadomienia, informującego w szczególności o terminach, których należy przestrzegać, skutkach ich niedochowania, organach lub instytucjach właściwych do przyjmowania zgłoszeń wierzytelności oraz innych przewidzianych czynnościach.</w:t>
            </w:r>
          </w:p>
          <w:p w14:paraId="06184457" w14:textId="77777777" w:rsidR="00FF4B96" w:rsidRPr="001135E9" w:rsidRDefault="00FF4B96" w:rsidP="001135E9">
            <w:pPr>
              <w:autoSpaceDE w:val="0"/>
              <w:autoSpaceDN w:val="0"/>
              <w:adjustRightInd w:val="0"/>
              <w:spacing w:after="0" w:line="360" w:lineRule="auto"/>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Tym samym dla uniknięcia wątpliwości konieczne jest wyjaśnienie, czy ww. powiadomienia będą</w:t>
            </w:r>
            <w:r w:rsidR="001135E9">
              <w:rPr>
                <w:rFonts w:ascii="TimesNewRomanPSMT" w:eastAsiaTheme="minorHAnsi" w:hAnsi="TimesNewRomanPSMT" w:cs="TimesNewRomanPSMT"/>
                <w:sz w:val="24"/>
                <w:szCs w:val="24"/>
              </w:rPr>
              <w:t xml:space="preserve"> </w:t>
            </w:r>
            <w:r>
              <w:rPr>
                <w:rFonts w:ascii="TimesNewRomanPSMT" w:eastAsiaTheme="minorHAnsi" w:hAnsi="TimesNewRomanPSMT" w:cs="TimesNewRomanPSMT"/>
                <w:sz w:val="24"/>
                <w:szCs w:val="24"/>
              </w:rPr>
              <w:t>także doręczane elektronicznie w sposób zgodny z projektowanym rozporządzeniem.</w:t>
            </w:r>
          </w:p>
        </w:tc>
        <w:tc>
          <w:tcPr>
            <w:tcW w:w="4919" w:type="dxa"/>
          </w:tcPr>
          <w:p w14:paraId="6C026A8F" w14:textId="77777777" w:rsidR="001135E9" w:rsidRPr="001135E9" w:rsidRDefault="001135E9" w:rsidP="001135E9">
            <w:pPr>
              <w:autoSpaceDE w:val="0"/>
              <w:autoSpaceDN w:val="0"/>
              <w:adjustRightInd w:val="0"/>
              <w:spacing w:after="0" w:line="360" w:lineRule="auto"/>
              <w:jc w:val="both"/>
              <w:rPr>
                <w:rFonts w:ascii="Times New Roman" w:eastAsiaTheme="minorEastAsia" w:hAnsi="Times New Roman"/>
                <w:sz w:val="24"/>
                <w:szCs w:val="24"/>
                <w:lang w:eastAsia="pl-PL"/>
              </w:rPr>
            </w:pPr>
            <w:r>
              <w:rPr>
                <w:rFonts w:ascii="Times New Roman" w:eastAsiaTheme="minorEastAsia" w:hAnsi="Times New Roman"/>
                <w:sz w:val="24"/>
                <w:szCs w:val="24"/>
                <w:lang w:eastAsia="pl-PL"/>
              </w:rPr>
              <w:t>D</w:t>
            </w:r>
            <w:r w:rsidRPr="001135E9">
              <w:rPr>
                <w:rFonts w:ascii="Times New Roman" w:eastAsiaTheme="minorEastAsia" w:hAnsi="Times New Roman"/>
                <w:sz w:val="24"/>
                <w:szCs w:val="24"/>
                <w:lang w:eastAsia="pl-PL"/>
              </w:rPr>
              <w:t xml:space="preserve">o wierzycieli zagranicznych w rozumieniu rozporządzenia 2015/848, mają </w:t>
            </w:r>
            <w:r>
              <w:rPr>
                <w:rFonts w:ascii="Times New Roman" w:eastAsiaTheme="minorEastAsia" w:hAnsi="Times New Roman"/>
                <w:sz w:val="24"/>
                <w:szCs w:val="24"/>
                <w:lang w:eastAsia="pl-PL"/>
              </w:rPr>
              <w:t xml:space="preserve">zastosowanie </w:t>
            </w:r>
            <w:r w:rsidRPr="001135E9">
              <w:rPr>
                <w:rFonts w:ascii="Times New Roman" w:eastAsiaTheme="minorEastAsia" w:hAnsi="Times New Roman"/>
                <w:sz w:val="24"/>
                <w:szCs w:val="24"/>
                <w:lang w:eastAsia="pl-PL"/>
              </w:rPr>
              <w:t xml:space="preserve">przepisy art. 220 ustawy z dnia 28 lutego 2003 r. – Prawo Upadłościowe, dalej jako </w:t>
            </w:r>
            <w:proofErr w:type="spellStart"/>
            <w:r w:rsidRPr="001135E9">
              <w:rPr>
                <w:rFonts w:ascii="Times New Roman" w:eastAsiaTheme="minorEastAsia" w:hAnsi="Times New Roman"/>
                <w:sz w:val="24"/>
                <w:szCs w:val="24"/>
                <w:lang w:eastAsia="pl-PL"/>
              </w:rPr>
              <w:t>p.u</w:t>
            </w:r>
            <w:proofErr w:type="spellEnd"/>
            <w:r w:rsidRPr="001135E9">
              <w:rPr>
                <w:rFonts w:ascii="Times New Roman" w:eastAsiaTheme="minorEastAsia" w:hAnsi="Times New Roman"/>
                <w:sz w:val="24"/>
                <w:szCs w:val="24"/>
                <w:lang w:eastAsia="pl-PL"/>
              </w:rPr>
              <w:t xml:space="preserve">., nadanej w brzmieniu ustawą z dnia 6 grudnia 2018 r. – o Krajowym Rejestrze Zadłużonych. </w:t>
            </w:r>
          </w:p>
          <w:p w14:paraId="33BEEF8E" w14:textId="77777777" w:rsidR="001135E9" w:rsidRPr="001135E9" w:rsidRDefault="001135E9" w:rsidP="001135E9">
            <w:pPr>
              <w:spacing w:after="0" w:line="360" w:lineRule="auto"/>
              <w:jc w:val="both"/>
              <w:rPr>
                <w:rFonts w:ascii="Times New Roman" w:eastAsiaTheme="minorHAnsi" w:hAnsi="Times New Roman"/>
                <w:sz w:val="24"/>
                <w:szCs w:val="24"/>
              </w:rPr>
            </w:pPr>
            <w:r w:rsidRPr="001135E9">
              <w:rPr>
                <w:rFonts w:ascii="Times New Roman" w:eastAsiaTheme="minorHAnsi" w:hAnsi="Times New Roman"/>
                <w:sz w:val="24"/>
                <w:szCs w:val="24"/>
              </w:rPr>
              <w:t xml:space="preserve">W art. 220 ust. 5 </w:t>
            </w:r>
            <w:proofErr w:type="spellStart"/>
            <w:r w:rsidRPr="001135E9">
              <w:rPr>
                <w:rFonts w:ascii="Times New Roman" w:eastAsiaTheme="minorHAnsi" w:hAnsi="Times New Roman"/>
                <w:sz w:val="24"/>
                <w:szCs w:val="24"/>
              </w:rPr>
              <w:t>p.u</w:t>
            </w:r>
            <w:proofErr w:type="spellEnd"/>
            <w:r w:rsidRPr="001135E9">
              <w:rPr>
                <w:rFonts w:ascii="Times New Roman" w:eastAsiaTheme="minorHAnsi" w:hAnsi="Times New Roman"/>
                <w:sz w:val="24"/>
                <w:szCs w:val="24"/>
              </w:rPr>
              <w:t xml:space="preserve">. została wyrażona zasada, że doręczeń w postępowaniu upadłościowym dokonuje się </w:t>
            </w:r>
            <w:r w:rsidRPr="001135E9">
              <w:rPr>
                <w:rFonts w:ascii="Times New Roman" w:eastAsia="Times New Roman" w:hAnsi="Times New Roman"/>
                <w:sz w:val="24"/>
                <w:szCs w:val="24"/>
                <w:lang w:eastAsia="pl-PL"/>
              </w:rPr>
              <w:t>za pośrednictwem systemu teleinformatycznego</w:t>
            </w:r>
            <w:r>
              <w:rPr>
                <w:rFonts w:ascii="Times New Roman" w:eastAsia="Times New Roman" w:hAnsi="Times New Roman"/>
                <w:sz w:val="24"/>
                <w:szCs w:val="24"/>
                <w:lang w:eastAsia="pl-PL"/>
              </w:rPr>
              <w:t xml:space="preserve"> </w:t>
            </w:r>
            <w:r w:rsidRPr="001135E9">
              <w:rPr>
                <w:rFonts w:ascii="Times New Roman" w:eastAsia="Times New Roman" w:hAnsi="Times New Roman"/>
                <w:sz w:val="24"/>
                <w:szCs w:val="24"/>
                <w:lang w:eastAsia="pl-PL"/>
              </w:rPr>
              <w:t>obsługującego postępowanie sądowe. Przy czym zasada ta nie ma zastosowania do pierwszego doręczenia dokonywanego osobie fizycznej, osobie prawnej oraz jednostce organizacyjnej niebędącej osobą prawną, której ustawa przyznaje zdolność prawną, jeżeli nie wniosła w sprawie żadnego pisma (</w:t>
            </w:r>
            <w:r w:rsidRPr="001135E9">
              <w:rPr>
                <w:rFonts w:ascii="Times New Roman" w:eastAsiaTheme="minorHAnsi" w:hAnsi="Times New Roman"/>
                <w:sz w:val="24"/>
                <w:szCs w:val="24"/>
              </w:rPr>
              <w:t xml:space="preserve">art. 220 ust 5 </w:t>
            </w:r>
            <w:proofErr w:type="spellStart"/>
            <w:r w:rsidRPr="001135E9">
              <w:rPr>
                <w:rFonts w:ascii="Times New Roman" w:eastAsiaTheme="minorHAnsi" w:hAnsi="Times New Roman"/>
                <w:sz w:val="24"/>
                <w:szCs w:val="24"/>
              </w:rPr>
              <w:t>p.u</w:t>
            </w:r>
            <w:proofErr w:type="spellEnd"/>
            <w:r w:rsidRPr="001135E9">
              <w:rPr>
                <w:rFonts w:ascii="Times New Roman" w:eastAsiaTheme="minorHAnsi" w:hAnsi="Times New Roman"/>
                <w:sz w:val="24"/>
                <w:szCs w:val="24"/>
              </w:rPr>
              <w:t>.)</w:t>
            </w:r>
            <w:r w:rsidRPr="001135E9">
              <w:rPr>
                <w:rFonts w:ascii="Times New Roman" w:eastAsia="Times New Roman" w:hAnsi="Times New Roman"/>
                <w:sz w:val="24"/>
                <w:szCs w:val="24"/>
                <w:lang w:eastAsia="pl-PL"/>
              </w:rPr>
              <w:t xml:space="preserve">. W związku z tym przedmiotowe rozporządzenie może znaleźć zastosowanie do doręczenia, </w:t>
            </w:r>
            <w:r w:rsidRPr="001135E9">
              <w:rPr>
                <w:rFonts w:ascii="Times New Roman" w:eastAsiaTheme="minorHAnsi" w:hAnsi="Times New Roman"/>
                <w:sz w:val="24"/>
                <w:szCs w:val="24"/>
              </w:rPr>
              <w:t>o których mowa w art. 54 ust. 1 rozporządzenia 2015/848</w:t>
            </w:r>
            <w:r w:rsidRPr="001135E9">
              <w:rPr>
                <w:rFonts w:ascii="Times New Roman" w:eastAsia="Times New Roman" w:hAnsi="Times New Roman"/>
                <w:sz w:val="24"/>
                <w:szCs w:val="24"/>
                <w:lang w:eastAsia="pl-PL"/>
              </w:rPr>
              <w:t xml:space="preserve"> </w:t>
            </w:r>
            <w:r w:rsidRPr="001135E9">
              <w:rPr>
                <w:rFonts w:ascii="Times New Roman" w:eastAsia="Times New Roman" w:hAnsi="Times New Roman"/>
                <w:sz w:val="24"/>
                <w:szCs w:val="24"/>
                <w:lang w:eastAsia="pl-PL"/>
              </w:rPr>
              <w:br/>
              <w:t xml:space="preserve">pod warunkiem, że wierzycieli zagraniczny w danym postępowaniu wniósł jakieś pismo. </w:t>
            </w:r>
          </w:p>
          <w:p w14:paraId="3EF8DAF3" w14:textId="77777777" w:rsidR="00FF4B96" w:rsidRPr="0017406A" w:rsidRDefault="00FF4B96" w:rsidP="00D62FDE">
            <w:pPr>
              <w:spacing w:after="0" w:line="360" w:lineRule="auto"/>
              <w:ind w:firstLine="709"/>
              <w:jc w:val="both"/>
              <w:rPr>
                <w:rFonts w:ascii="Times New Roman" w:hAnsi="Times New Roman"/>
                <w:b/>
                <w:bCs/>
                <w:sz w:val="24"/>
                <w:szCs w:val="24"/>
              </w:rPr>
            </w:pPr>
            <w:r w:rsidRPr="0027671A">
              <w:rPr>
                <w:rStyle w:val="Pogrubienie"/>
                <w:sz w:val="24"/>
                <w:szCs w:val="24"/>
              </w:rPr>
              <w:t xml:space="preserve"> </w:t>
            </w:r>
          </w:p>
        </w:tc>
      </w:tr>
      <w:tr w:rsidR="00FF4B96" w:rsidRPr="007A51B3" w14:paraId="31697449" w14:textId="77777777" w:rsidTr="00A76931">
        <w:trPr>
          <w:trHeight w:val="2786"/>
        </w:trPr>
        <w:tc>
          <w:tcPr>
            <w:tcW w:w="938" w:type="dxa"/>
          </w:tcPr>
          <w:p w14:paraId="1C8F4CA2" w14:textId="77777777" w:rsidR="00FF4B96" w:rsidRPr="007A51B3" w:rsidRDefault="002C3B0C" w:rsidP="00D62FDE">
            <w:pPr>
              <w:spacing w:after="0" w:line="240" w:lineRule="auto"/>
              <w:jc w:val="both"/>
              <w:rPr>
                <w:rFonts w:ascii="Times New Roman" w:hAnsi="Times New Roman"/>
                <w:sz w:val="24"/>
                <w:szCs w:val="24"/>
              </w:rPr>
            </w:pPr>
            <w:r>
              <w:rPr>
                <w:rFonts w:ascii="Times New Roman" w:hAnsi="Times New Roman"/>
                <w:sz w:val="24"/>
                <w:szCs w:val="24"/>
              </w:rPr>
              <w:lastRenderedPageBreak/>
              <w:t>2</w:t>
            </w:r>
            <w:r w:rsidR="00FF4B96">
              <w:rPr>
                <w:rFonts w:ascii="Times New Roman" w:hAnsi="Times New Roman"/>
                <w:sz w:val="24"/>
                <w:szCs w:val="24"/>
              </w:rPr>
              <w:t>.</w:t>
            </w:r>
          </w:p>
        </w:tc>
        <w:tc>
          <w:tcPr>
            <w:tcW w:w="1432" w:type="dxa"/>
          </w:tcPr>
          <w:p w14:paraId="407BA4DD" w14:textId="77777777" w:rsidR="00FF4B96" w:rsidRPr="007A51B3" w:rsidRDefault="00FF4B96" w:rsidP="00D62FDE">
            <w:pPr>
              <w:spacing w:after="0" w:line="240" w:lineRule="auto"/>
              <w:ind w:right="-133"/>
              <w:jc w:val="both"/>
              <w:rPr>
                <w:rFonts w:ascii="Times New Roman" w:hAnsi="Times New Roman"/>
                <w:b/>
                <w:sz w:val="24"/>
                <w:szCs w:val="24"/>
              </w:rPr>
            </w:pPr>
            <w:r>
              <w:rPr>
                <w:rFonts w:ascii="Times New Roman" w:hAnsi="Times New Roman"/>
                <w:b/>
                <w:sz w:val="24"/>
                <w:szCs w:val="24"/>
              </w:rPr>
              <w:t>RCL</w:t>
            </w:r>
          </w:p>
        </w:tc>
        <w:tc>
          <w:tcPr>
            <w:tcW w:w="2143" w:type="dxa"/>
          </w:tcPr>
          <w:p w14:paraId="62708D19" w14:textId="77777777" w:rsidR="00FF4B96" w:rsidRPr="00EB2499" w:rsidRDefault="001135E9" w:rsidP="00D62FDE">
            <w:pPr>
              <w:spacing w:after="0" w:line="360" w:lineRule="auto"/>
              <w:jc w:val="both"/>
              <w:rPr>
                <w:rFonts w:ascii="Times New Roman" w:hAnsi="Times New Roman"/>
                <w:sz w:val="24"/>
                <w:szCs w:val="24"/>
              </w:rPr>
            </w:pPr>
            <w:r>
              <w:rPr>
                <w:rFonts w:ascii="Times New Roman" w:eastAsiaTheme="minorHAnsi" w:hAnsi="Times New Roman"/>
                <w:sz w:val="24"/>
                <w:szCs w:val="24"/>
              </w:rPr>
              <w:t>Uwaga ogólna</w:t>
            </w:r>
          </w:p>
        </w:tc>
        <w:tc>
          <w:tcPr>
            <w:tcW w:w="5050" w:type="dxa"/>
          </w:tcPr>
          <w:p w14:paraId="12E1D79E" w14:textId="77777777" w:rsidR="00696012" w:rsidRPr="00696012" w:rsidRDefault="00696012" w:rsidP="00696012">
            <w:pPr>
              <w:autoSpaceDE w:val="0"/>
              <w:autoSpaceDN w:val="0"/>
              <w:adjustRightInd w:val="0"/>
              <w:spacing w:after="0" w:line="360" w:lineRule="auto"/>
              <w:jc w:val="both"/>
              <w:rPr>
                <w:rFonts w:ascii="Times New Roman" w:eastAsiaTheme="minorHAnsi" w:hAnsi="Times New Roman"/>
                <w:sz w:val="24"/>
                <w:szCs w:val="24"/>
              </w:rPr>
            </w:pPr>
            <w:r w:rsidRPr="00696012">
              <w:rPr>
                <w:rFonts w:ascii="Times New Roman" w:eastAsiaTheme="minorHAnsi" w:hAnsi="Times New Roman"/>
                <w:sz w:val="24"/>
                <w:szCs w:val="24"/>
              </w:rPr>
              <w:t>Upoważnienie ustawowe do wydania niniejszego rozporządzenia jest identyczne jak</w:t>
            </w:r>
            <w:r>
              <w:rPr>
                <w:rFonts w:ascii="Times New Roman" w:eastAsiaTheme="minorHAnsi" w:hAnsi="Times New Roman"/>
                <w:sz w:val="24"/>
                <w:szCs w:val="24"/>
              </w:rPr>
              <w:t xml:space="preserve"> </w:t>
            </w:r>
            <w:r w:rsidRPr="00696012">
              <w:rPr>
                <w:rFonts w:ascii="Times New Roman" w:eastAsiaTheme="minorHAnsi" w:hAnsi="Times New Roman"/>
                <w:sz w:val="24"/>
                <w:szCs w:val="24"/>
              </w:rPr>
              <w:t>upoważnienie określone w art. 131</w:t>
            </w:r>
            <w:r w:rsidRPr="00696012">
              <w:rPr>
                <w:rFonts w:ascii="Times New Roman" w:eastAsiaTheme="minorHAnsi" w:hAnsi="Times New Roman"/>
                <w:sz w:val="24"/>
                <w:szCs w:val="24"/>
                <w:vertAlign w:val="superscript"/>
              </w:rPr>
              <w:t>1</w:t>
            </w:r>
            <w:r w:rsidRPr="00696012">
              <w:rPr>
                <w:rFonts w:ascii="Times New Roman" w:eastAsiaTheme="minorHAnsi" w:hAnsi="Times New Roman"/>
                <w:sz w:val="24"/>
                <w:szCs w:val="24"/>
              </w:rPr>
              <w:t xml:space="preserve"> § 3 ustawy z dnia 17 listopada 1964 r. – Kodeks</w:t>
            </w:r>
            <w:r>
              <w:rPr>
                <w:rFonts w:ascii="Times New Roman" w:eastAsiaTheme="minorHAnsi" w:hAnsi="Times New Roman"/>
                <w:sz w:val="24"/>
                <w:szCs w:val="24"/>
              </w:rPr>
              <w:t xml:space="preserve"> </w:t>
            </w:r>
            <w:r w:rsidRPr="00696012">
              <w:rPr>
                <w:rFonts w:ascii="Times New Roman" w:eastAsiaTheme="minorHAnsi" w:hAnsi="Times New Roman"/>
                <w:sz w:val="24"/>
                <w:szCs w:val="24"/>
              </w:rPr>
              <w:t>postępowania cywilnego (Dz. U. z 2020 r. poz. 1575). Zauważa się, że w wydanym na</w:t>
            </w:r>
            <w:r>
              <w:rPr>
                <w:rFonts w:ascii="Times New Roman" w:eastAsiaTheme="minorHAnsi" w:hAnsi="Times New Roman"/>
                <w:sz w:val="24"/>
                <w:szCs w:val="24"/>
              </w:rPr>
              <w:t xml:space="preserve"> </w:t>
            </w:r>
            <w:r w:rsidRPr="00696012">
              <w:rPr>
                <w:rFonts w:ascii="Times New Roman" w:eastAsiaTheme="minorHAnsi" w:hAnsi="Times New Roman"/>
                <w:sz w:val="24"/>
                <w:szCs w:val="24"/>
              </w:rPr>
              <w:t>powyższej podstawie prawnej rozporządzeniu Ministra Sprawiedliwości z dnia 20</w:t>
            </w:r>
            <w:r>
              <w:rPr>
                <w:rFonts w:ascii="Times New Roman" w:eastAsiaTheme="minorHAnsi" w:hAnsi="Times New Roman"/>
                <w:sz w:val="24"/>
                <w:szCs w:val="24"/>
              </w:rPr>
              <w:t xml:space="preserve"> </w:t>
            </w:r>
            <w:r w:rsidRPr="00696012">
              <w:rPr>
                <w:rFonts w:ascii="Times New Roman" w:eastAsiaTheme="minorHAnsi" w:hAnsi="Times New Roman"/>
                <w:sz w:val="24"/>
                <w:szCs w:val="24"/>
              </w:rPr>
              <w:t>października 2015 r. w sprawie trybu i sposobu dokonywania doręczeń elektronicznych</w:t>
            </w:r>
          </w:p>
          <w:p w14:paraId="7D199293" w14:textId="77777777" w:rsidR="00FF4B96" w:rsidRPr="00696012" w:rsidRDefault="00696012" w:rsidP="00696012">
            <w:pPr>
              <w:autoSpaceDE w:val="0"/>
              <w:autoSpaceDN w:val="0"/>
              <w:adjustRightInd w:val="0"/>
              <w:spacing w:after="0" w:line="360" w:lineRule="auto"/>
              <w:jc w:val="both"/>
              <w:rPr>
                <w:rFonts w:ascii="Times New Roman" w:eastAsiaTheme="minorHAnsi" w:hAnsi="Times New Roman"/>
                <w:i/>
                <w:iCs/>
                <w:sz w:val="24"/>
                <w:szCs w:val="24"/>
              </w:rPr>
            </w:pPr>
            <w:r w:rsidRPr="00696012">
              <w:rPr>
                <w:rFonts w:ascii="Times New Roman" w:eastAsiaTheme="minorHAnsi" w:hAnsi="Times New Roman"/>
                <w:sz w:val="24"/>
                <w:szCs w:val="24"/>
              </w:rPr>
              <w:t xml:space="preserve">(Dz. U. poz. 1776) określono szereg pojęć jak np. pojęcia: </w:t>
            </w:r>
            <w:r w:rsidRPr="00696012">
              <w:rPr>
                <w:rFonts w:ascii="Times New Roman" w:eastAsiaTheme="minorHAnsi" w:hAnsi="Times New Roman"/>
                <w:i/>
                <w:iCs/>
                <w:sz w:val="24"/>
                <w:szCs w:val="24"/>
              </w:rPr>
              <w:t>„użytkownika”, „konta”,</w:t>
            </w:r>
            <w:r>
              <w:rPr>
                <w:rFonts w:ascii="Times New Roman" w:eastAsiaTheme="minorHAnsi" w:hAnsi="Times New Roman"/>
                <w:i/>
                <w:iCs/>
                <w:sz w:val="24"/>
                <w:szCs w:val="24"/>
              </w:rPr>
              <w:t xml:space="preserve"> </w:t>
            </w:r>
            <w:r w:rsidRPr="00696012">
              <w:rPr>
                <w:rFonts w:ascii="Times New Roman" w:eastAsiaTheme="minorHAnsi" w:hAnsi="Times New Roman"/>
                <w:i/>
                <w:iCs/>
                <w:sz w:val="24"/>
                <w:szCs w:val="24"/>
              </w:rPr>
              <w:t xml:space="preserve">„pisma”, „doręczenia pisma”, </w:t>
            </w:r>
            <w:r w:rsidRPr="00696012">
              <w:rPr>
                <w:rFonts w:ascii="Times New Roman" w:eastAsiaTheme="minorHAnsi" w:hAnsi="Times New Roman"/>
                <w:sz w:val="24"/>
                <w:szCs w:val="24"/>
              </w:rPr>
              <w:t>których w przedmiotowym projekcie rozporządzenia jest</w:t>
            </w:r>
            <w:r>
              <w:rPr>
                <w:rFonts w:ascii="Times New Roman" w:eastAsiaTheme="minorHAnsi" w:hAnsi="Times New Roman"/>
                <w:i/>
                <w:iCs/>
                <w:sz w:val="24"/>
                <w:szCs w:val="24"/>
              </w:rPr>
              <w:t xml:space="preserve"> </w:t>
            </w:r>
            <w:r w:rsidRPr="00696012">
              <w:rPr>
                <w:rFonts w:ascii="Times New Roman" w:eastAsiaTheme="minorHAnsi" w:hAnsi="Times New Roman"/>
                <w:sz w:val="24"/>
                <w:szCs w:val="24"/>
              </w:rPr>
              <w:t>brak, a bez których zawarte w projekcie nor</w:t>
            </w:r>
            <w:r>
              <w:rPr>
                <w:rFonts w:ascii="Times New Roman" w:eastAsiaTheme="minorHAnsi" w:hAnsi="Times New Roman"/>
                <w:sz w:val="24"/>
                <w:szCs w:val="24"/>
              </w:rPr>
              <w:t>m</w:t>
            </w:r>
            <w:r w:rsidRPr="00696012">
              <w:rPr>
                <w:rFonts w:ascii="Times New Roman" w:eastAsiaTheme="minorHAnsi" w:hAnsi="Times New Roman"/>
                <w:sz w:val="24"/>
                <w:szCs w:val="24"/>
              </w:rPr>
              <w:t>y stają się niedookreślone. Tym samym,</w:t>
            </w:r>
            <w:r>
              <w:rPr>
                <w:rFonts w:ascii="Times New Roman" w:eastAsiaTheme="minorHAnsi" w:hAnsi="Times New Roman"/>
                <w:i/>
                <w:iCs/>
                <w:sz w:val="24"/>
                <w:szCs w:val="24"/>
              </w:rPr>
              <w:t xml:space="preserve"> </w:t>
            </w:r>
            <w:r w:rsidRPr="00696012">
              <w:rPr>
                <w:rFonts w:ascii="Times New Roman" w:eastAsiaTheme="minorHAnsi" w:hAnsi="Times New Roman"/>
                <w:sz w:val="24"/>
                <w:szCs w:val="24"/>
              </w:rPr>
              <w:t>w celu dookreślenia projektowanych norm należy albo uzupełnić projekt korzystając</w:t>
            </w:r>
            <w:r>
              <w:rPr>
                <w:rFonts w:ascii="Times New Roman" w:eastAsiaTheme="minorHAnsi" w:hAnsi="Times New Roman"/>
                <w:i/>
                <w:iCs/>
                <w:sz w:val="24"/>
                <w:szCs w:val="24"/>
              </w:rPr>
              <w:t xml:space="preserve"> </w:t>
            </w:r>
            <w:r w:rsidRPr="00696012">
              <w:rPr>
                <w:rFonts w:ascii="Times New Roman" w:eastAsiaTheme="minorHAnsi" w:hAnsi="Times New Roman"/>
                <w:sz w:val="24"/>
                <w:szCs w:val="24"/>
              </w:rPr>
              <w:t>z rozwiązań przyjętych w obowiązującym rozporządzeniu albo doprecyzować § 2 ust. 1</w:t>
            </w:r>
            <w:r>
              <w:rPr>
                <w:rFonts w:ascii="Times New Roman" w:eastAsiaTheme="minorHAnsi" w:hAnsi="Times New Roman"/>
                <w:i/>
                <w:iCs/>
                <w:sz w:val="24"/>
                <w:szCs w:val="24"/>
              </w:rPr>
              <w:t xml:space="preserve"> </w:t>
            </w:r>
            <w:r w:rsidRPr="00696012">
              <w:rPr>
                <w:rFonts w:ascii="Times New Roman" w:eastAsiaTheme="minorHAnsi" w:hAnsi="Times New Roman"/>
                <w:sz w:val="24"/>
                <w:szCs w:val="24"/>
              </w:rPr>
              <w:t>projektu przez odesłanie w nim, w zakresie trybu dokonywania doręczeń, do przepisów</w:t>
            </w:r>
            <w:r>
              <w:rPr>
                <w:rFonts w:ascii="Times New Roman" w:eastAsiaTheme="minorHAnsi" w:hAnsi="Times New Roman"/>
                <w:sz w:val="24"/>
                <w:szCs w:val="24"/>
              </w:rPr>
              <w:t xml:space="preserve"> </w:t>
            </w:r>
            <w:r w:rsidRPr="00696012">
              <w:rPr>
                <w:rFonts w:ascii="Times New Roman" w:eastAsiaTheme="minorHAnsi" w:hAnsi="Times New Roman"/>
                <w:sz w:val="24"/>
                <w:szCs w:val="24"/>
              </w:rPr>
              <w:t>wydanych na podstawie art. 131</w:t>
            </w:r>
            <w:r w:rsidRPr="00696012">
              <w:rPr>
                <w:rFonts w:ascii="Times New Roman" w:eastAsiaTheme="minorHAnsi" w:hAnsi="Times New Roman"/>
                <w:sz w:val="24"/>
                <w:szCs w:val="24"/>
                <w:vertAlign w:val="superscript"/>
              </w:rPr>
              <w:t xml:space="preserve">1 </w:t>
            </w:r>
            <w:r w:rsidRPr="00696012">
              <w:rPr>
                <w:rFonts w:ascii="Times New Roman" w:eastAsiaTheme="minorHAnsi" w:hAnsi="Times New Roman"/>
                <w:sz w:val="24"/>
                <w:szCs w:val="24"/>
              </w:rPr>
              <w:t>§ 3 K.p.c.</w:t>
            </w:r>
          </w:p>
        </w:tc>
        <w:tc>
          <w:tcPr>
            <w:tcW w:w="4919" w:type="dxa"/>
          </w:tcPr>
          <w:p w14:paraId="59190ADC" w14:textId="72E48F31" w:rsidR="00FF4B96" w:rsidRDefault="00FF4B96" w:rsidP="00431B52">
            <w:pPr>
              <w:autoSpaceDE w:val="0"/>
              <w:autoSpaceDN w:val="0"/>
              <w:adjustRightInd w:val="0"/>
              <w:spacing w:after="0" w:line="360" w:lineRule="auto"/>
              <w:jc w:val="both"/>
              <w:rPr>
                <w:rFonts w:ascii="Times New Roman" w:eastAsiaTheme="minorHAnsi" w:hAnsi="Times New Roman"/>
                <w:sz w:val="24"/>
                <w:szCs w:val="24"/>
              </w:rPr>
            </w:pPr>
            <w:r w:rsidRPr="009C23EC">
              <w:rPr>
                <w:rFonts w:ascii="Times New Roman" w:hAnsi="Times New Roman"/>
                <w:b/>
                <w:bCs/>
                <w:sz w:val="24"/>
                <w:szCs w:val="24"/>
              </w:rPr>
              <w:t>Uwaga uwzględniona</w:t>
            </w:r>
            <w:r w:rsidR="00696012" w:rsidRPr="00431B52">
              <w:rPr>
                <w:rFonts w:ascii="Times New Roman" w:hAnsi="Times New Roman"/>
                <w:sz w:val="24"/>
                <w:szCs w:val="24"/>
              </w:rPr>
              <w:t xml:space="preserve"> poprzez wprowadzenie do projektu definicji na potrzeby przedmiotowej regulacji. Przy czym z uwagi na to, że postępowanie upadłościowe będzie obsługiwane przez inny system teleinformatyczny obsługujący postępowanie sądowe</w:t>
            </w:r>
            <w:r w:rsidR="00431B52" w:rsidRPr="00431B52">
              <w:rPr>
                <w:rFonts w:ascii="Times New Roman" w:hAnsi="Times New Roman"/>
                <w:sz w:val="24"/>
                <w:szCs w:val="24"/>
              </w:rPr>
              <w:t>, niż o którym mowa</w:t>
            </w:r>
            <w:r w:rsidR="00696012" w:rsidRPr="00431B52">
              <w:rPr>
                <w:rFonts w:ascii="Times New Roman" w:hAnsi="Times New Roman"/>
                <w:sz w:val="24"/>
                <w:szCs w:val="24"/>
              </w:rPr>
              <w:t xml:space="preserve"> </w:t>
            </w:r>
            <w:r w:rsidR="00431B52" w:rsidRPr="00431B52">
              <w:rPr>
                <w:rFonts w:ascii="Times New Roman" w:hAnsi="Times New Roman"/>
                <w:sz w:val="24"/>
                <w:szCs w:val="24"/>
              </w:rPr>
              <w:t>w</w:t>
            </w:r>
            <w:r w:rsidR="00431B52" w:rsidRPr="00431B52">
              <w:rPr>
                <w:rFonts w:ascii="Times New Roman" w:hAnsi="Times New Roman"/>
                <w:b/>
                <w:bCs/>
                <w:sz w:val="24"/>
                <w:szCs w:val="24"/>
              </w:rPr>
              <w:t xml:space="preserve"> </w:t>
            </w:r>
            <w:r w:rsidR="00431B52" w:rsidRPr="00431B52">
              <w:rPr>
                <w:rFonts w:ascii="Times New Roman" w:eastAsiaTheme="minorHAnsi" w:hAnsi="Times New Roman"/>
                <w:sz w:val="24"/>
                <w:szCs w:val="24"/>
              </w:rPr>
              <w:t>rozporządzeniu Ministra Sprawiedliwości z dnia 20 października 2015 r. w sprawie trybu i sposobu dokonywania doręczeń elektronicznych</w:t>
            </w:r>
            <w:r w:rsidR="00431B52">
              <w:rPr>
                <w:rFonts w:ascii="Times New Roman" w:eastAsiaTheme="minorHAnsi" w:hAnsi="Times New Roman"/>
                <w:sz w:val="24"/>
                <w:szCs w:val="24"/>
              </w:rPr>
              <w:t xml:space="preserve"> </w:t>
            </w:r>
            <w:r w:rsidR="00431B52" w:rsidRPr="00431B52">
              <w:rPr>
                <w:rFonts w:ascii="Times New Roman" w:eastAsiaTheme="minorHAnsi" w:hAnsi="Times New Roman"/>
                <w:sz w:val="24"/>
                <w:szCs w:val="24"/>
              </w:rPr>
              <w:t>(Dz. U. poz. 1776)</w:t>
            </w:r>
            <w:r w:rsidR="00431B52">
              <w:rPr>
                <w:rFonts w:ascii="Times New Roman" w:eastAsiaTheme="minorHAnsi" w:hAnsi="Times New Roman"/>
                <w:sz w:val="24"/>
                <w:szCs w:val="24"/>
              </w:rPr>
              <w:t>,</w:t>
            </w:r>
            <w:r w:rsidR="00431B52" w:rsidRPr="00431B52">
              <w:rPr>
                <w:rFonts w:ascii="Times New Roman" w:eastAsiaTheme="minorHAnsi" w:hAnsi="Times New Roman"/>
                <w:sz w:val="24"/>
                <w:szCs w:val="24"/>
              </w:rPr>
              <w:t xml:space="preserve"> to definicje sformułowane w projektowanym rozporządzeniu nie będą tożsame z definicjami zawartymi w rozporządzeniu wydanym na podstawie art. 131</w:t>
            </w:r>
            <w:r w:rsidR="00431B52" w:rsidRPr="00431B52">
              <w:rPr>
                <w:rFonts w:ascii="Times New Roman" w:eastAsiaTheme="minorHAnsi" w:hAnsi="Times New Roman"/>
                <w:sz w:val="24"/>
                <w:szCs w:val="24"/>
                <w:vertAlign w:val="superscript"/>
              </w:rPr>
              <w:t xml:space="preserve">1 </w:t>
            </w:r>
            <w:r w:rsidR="00431B52" w:rsidRPr="00431B52">
              <w:rPr>
                <w:rFonts w:ascii="Times New Roman" w:eastAsiaTheme="minorHAnsi" w:hAnsi="Times New Roman"/>
                <w:sz w:val="24"/>
                <w:szCs w:val="24"/>
              </w:rPr>
              <w:t>§ 3 K.p.c.</w:t>
            </w:r>
          </w:p>
          <w:p w14:paraId="30C284B2" w14:textId="45D879CA" w:rsidR="00431B52" w:rsidRPr="00431B52" w:rsidRDefault="002C3B0C" w:rsidP="00431B52">
            <w:pPr>
              <w:autoSpaceDE w:val="0"/>
              <w:autoSpaceDN w:val="0"/>
              <w:adjustRightInd w:val="0"/>
              <w:spacing w:after="0" w:line="360" w:lineRule="auto"/>
              <w:jc w:val="both"/>
              <w:rPr>
                <w:rFonts w:ascii="Times New Roman" w:eastAsiaTheme="minorHAnsi" w:hAnsi="Times New Roman"/>
                <w:sz w:val="24"/>
                <w:szCs w:val="24"/>
              </w:rPr>
            </w:pPr>
            <w:r>
              <w:rPr>
                <w:rFonts w:ascii="Times New Roman" w:eastAsiaTheme="minorHAnsi" w:hAnsi="Times New Roman"/>
                <w:sz w:val="24"/>
                <w:szCs w:val="24"/>
              </w:rPr>
              <w:t xml:space="preserve">Jest to podyktowane innymi rozwiązaniami technicznymi przyjętymi w systemie teleinformatycznym obsługującym postępowanie </w:t>
            </w:r>
            <w:r w:rsidR="00577E22">
              <w:rPr>
                <w:rFonts w:ascii="Times New Roman" w:eastAsiaTheme="minorHAnsi" w:hAnsi="Times New Roman"/>
                <w:sz w:val="24"/>
                <w:szCs w:val="24"/>
              </w:rPr>
              <w:t>upadłościowe</w:t>
            </w:r>
            <w:r>
              <w:rPr>
                <w:rFonts w:ascii="Times New Roman" w:eastAsiaTheme="minorHAnsi" w:hAnsi="Times New Roman"/>
                <w:sz w:val="24"/>
                <w:szCs w:val="24"/>
              </w:rPr>
              <w:t>.</w:t>
            </w:r>
          </w:p>
        </w:tc>
      </w:tr>
      <w:tr w:rsidR="00FF4B96" w:rsidRPr="007A51B3" w14:paraId="07CFF860" w14:textId="77777777" w:rsidTr="00A76931">
        <w:trPr>
          <w:trHeight w:val="2786"/>
        </w:trPr>
        <w:tc>
          <w:tcPr>
            <w:tcW w:w="938" w:type="dxa"/>
          </w:tcPr>
          <w:p w14:paraId="359EE345" w14:textId="77777777" w:rsidR="00FF4B96" w:rsidRPr="007A51B3" w:rsidRDefault="002C3B0C" w:rsidP="00D62FDE">
            <w:pPr>
              <w:spacing w:after="0" w:line="240" w:lineRule="auto"/>
              <w:jc w:val="both"/>
              <w:rPr>
                <w:rFonts w:ascii="Times New Roman" w:hAnsi="Times New Roman"/>
                <w:sz w:val="24"/>
                <w:szCs w:val="24"/>
              </w:rPr>
            </w:pPr>
            <w:r>
              <w:rPr>
                <w:rFonts w:ascii="Times New Roman" w:hAnsi="Times New Roman"/>
                <w:sz w:val="24"/>
                <w:szCs w:val="24"/>
              </w:rPr>
              <w:t>3</w:t>
            </w:r>
            <w:r w:rsidR="00FF4B96">
              <w:rPr>
                <w:rFonts w:ascii="Times New Roman" w:hAnsi="Times New Roman"/>
                <w:sz w:val="24"/>
                <w:szCs w:val="24"/>
              </w:rPr>
              <w:t>.</w:t>
            </w:r>
          </w:p>
        </w:tc>
        <w:tc>
          <w:tcPr>
            <w:tcW w:w="1432" w:type="dxa"/>
          </w:tcPr>
          <w:p w14:paraId="2B81A43C" w14:textId="77777777" w:rsidR="00FF4B96" w:rsidRPr="007A51B3" w:rsidRDefault="00FF4B96" w:rsidP="00D62FDE">
            <w:pPr>
              <w:spacing w:after="0" w:line="240" w:lineRule="auto"/>
              <w:ind w:right="-133"/>
              <w:jc w:val="both"/>
              <w:rPr>
                <w:rFonts w:ascii="Times New Roman" w:hAnsi="Times New Roman"/>
                <w:b/>
                <w:sz w:val="24"/>
                <w:szCs w:val="24"/>
              </w:rPr>
            </w:pPr>
            <w:r>
              <w:rPr>
                <w:rFonts w:ascii="Times New Roman" w:hAnsi="Times New Roman"/>
                <w:b/>
                <w:sz w:val="24"/>
                <w:szCs w:val="24"/>
              </w:rPr>
              <w:t>RCL</w:t>
            </w:r>
          </w:p>
        </w:tc>
        <w:tc>
          <w:tcPr>
            <w:tcW w:w="2143" w:type="dxa"/>
          </w:tcPr>
          <w:p w14:paraId="2786674B" w14:textId="77777777" w:rsidR="00FF4B96" w:rsidRPr="00EB2499" w:rsidRDefault="00FF4B96" w:rsidP="00D62FDE">
            <w:pPr>
              <w:spacing w:after="0" w:line="360" w:lineRule="auto"/>
              <w:jc w:val="both"/>
              <w:rPr>
                <w:rFonts w:ascii="Times New Roman" w:hAnsi="Times New Roman"/>
                <w:sz w:val="24"/>
                <w:szCs w:val="24"/>
              </w:rPr>
            </w:pPr>
            <w:r w:rsidRPr="00EB2499">
              <w:rPr>
                <w:rFonts w:ascii="Times New Roman" w:eastAsiaTheme="minorHAnsi" w:hAnsi="Times New Roman"/>
                <w:sz w:val="24"/>
                <w:szCs w:val="24"/>
              </w:rPr>
              <w:t>§</w:t>
            </w:r>
            <w:r>
              <w:rPr>
                <w:rFonts w:ascii="Times New Roman" w:eastAsiaTheme="minorHAnsi" w:hAnsi="Times New Roman"/>
                <w:sz w:val="24"/>
                <w:szCs w:val="24"/>
              </w:rPr>
              <w:t xml:space="preserve"> </w:t>
            </w:r>
            <w:r w:rsidR="002C3B0C">
              <w:rPr>
                <w:rFonts w:ascii="Times New Roman" w:eastAsiaTheme="minorHAnsi" w:hAnsi="Times New Roman"/>
                <w:sz w:val="24"/>
                <w:szCs w:val="24"/>
              </w:rPr>
              <w:t>2 ust. 2</w:t>
            </w:r>
            <w:r w:rsidRPr="00EB2499">
              <w:rPr>
                <w:rFonts w:ascii="Times New Roman" w:hAnsi="Times New Roman"/>
                <w:sz w:val="24"/>
                <w:szCs w:val="24"/>
              </w:rPr>
              <w:t>.</w:t>
            </w:r>
          </w:p>
        </w:tc>
        <w:tc>
          <w:tcPr>
            <w:tcW w:w="5050" w:type="dxa"/>
          </w:tcPr>
          <w:p w14:paraId="6A356563" w14:textId="2F0902E1" w:rsidR="00FF4B96" w:rsidRPr="002C3B0C" w:rsidRDefault="002C3B0C" w:rsidP="002C3B0C">
            <w:pPr>
              <w:autoSpaceDE w:val="0"/>
              <w:autoSpaceDN w:val="0"/>
              <w:adjustRightInd w:val="0"/>
              <w:spacing w:after="0" w:line="360" w:lineRule="auto"/>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 xml:space="preserve">Przepis § 2 ust. 2 projektu rozporządzenia należy </w:t>
            </w:r>
            <w:r w:rsidR="00C010C9">
              <w:rPr>
                <w:rFonts w:ascii="TimesNewRomanPSMT" w:eastAsiaTheme="minorHAnsi" w:hAnsi="TimesNewRomanPSMT" w:cs="TimesNewRomanPSMT"/>
                <w:sz w:val="24"/>
                <w:szCs w:val="24"/>
              </w:rPr>
              <w:t>usunąć,</w:t>
            </w:r>
            <w:r>
              <w:rPr>
                <w:rFonts w:ascii="TimesNewRomanPSMT" w:eastAsiaTheme="minorHAnsi" w:hAnsi="TimesNewRomanPSMT" w:cs="TimesNewRomanPSMT"/>
                <w:sz w:val="24"/>
                <w:szCs w:val="24"/>
              </w:rPr>
              <w:t xml:space="preserve"> ponieważ uznanie pisma za doręczone stanowi materię ustawową.</w:t>
            </w:r>
          </w:p>
          <w:p w14:paraId="1D7F6933" w14:textId="77777777" w:rsidR="00FF4B96" w:rsidRPr="007A51B3" w:rsidRDefault="00FF4B96" w:rsidP="00D62FDE">
            <w:pPr>
              <w:pStyle w:val="Style9"/>
              <w:widowControl/>
              <w:tabs>
                <w:tab w:val="left" w:pos="355"/>
              </w:tabs>
              <w:spacing w:line="360" w:lineRule="auto"/>
              <w:ind w:firstLine="709"/>
            </w:pPr>
          </w:p>
        </w:tc>
        <w:tc>
          <w:tcPr>
            <w:tcW w:w="4919" w:type="dxa"/>
          </w:tcPr>
          <w:p w14:paraId="3BF38206" w14:textId="77777777" w:rsidR="00FF4B96" w:rsidRPr="007A51B3" w:rsidRDefault="00FF4B96" w:rsidP="00D62FDE">
            <w:pPr>
              <w:pStyle w:val="Style2"/>
              <w:widowControl/>
              <w:spacing w:line="360" w:lineRule="auto"/>
              <w:ind w:firstLine="0"/>
              <w:rPr>
                <w:rFonts w:ascii="Times New Roman" w:hAnsi="Times New Roman" w:cs="Times New Roman"/>
              </w:rPr>
            </w:pPr>
            <w:r w:rsidRPr="00800775">
              <w:rPr>
                <w:rFonts w:ascii="Times New Roman" w:hAnsi="Times New Roman" w:cs="Times New Roman"/>
                <w:b/>
                <w:bCs/>
              </w:rPr>
              <w:t>Uwaga uwzględniona.</w:t>
            </w:r>
          </w:p>
        </w:tc>
      </w:tr>
      <w:tr w:rsidR="00FF4B96" w:rsidRPr="007A51B3" w14:paraId="7694C865" w14:textId="77777777" w:rsidTr="00A76931">
        <w:trPr>
          <w:trHeight w:val="2786"/>
        </w:trPr>
        <w:tc>
          <w:tcPr>
            <w:tcW w:w="938" w:type="dxa"/>
          </w:tcPr>
          <w:p w14:paraId="50782655" w14:textId="77777777" w:rsidR="00FF4B96" w:rsidRPr="007A51B3" w:rsidRDefault="002C3B0C" w:rsidP="00D62FDE">
            <w:pPr>
              <w:spacing w:after="0" w:line="240" w:lineRule="auto"/>
              <w:jc w:val="both"/>
              <w:rPr>
                <w:rFonts w:ascii="Times New Roman" w:hAnsi="Times New Roman"/>
                <w:sz w:val="24"/>
                <w:szCs w:val="24"/>
              </w:rPr>
            </w:pPr>
            <w:r>
              <w:rPr>
                <w:rFonts w:ascii="Times New Roman" w:hAnsi="Times New Roman"/>
                <w:sz w:val="24"/>
                <w:szCs w:val="24"/>
              </w:rPr>
              <w:lastRenderedPageBreak/>
              <w:t>4</w:t>
            </w:r>
            <w:r w:rsidR="00FF4B96">
              <w:rPr>
                <w:rFonts w:ascii="Times New Roman" w:hAnsi="Times New Roman"/>
                <w:sz w:val="24"/>
                <w:szCs w:val="24"/>
              </w:rPr>
              <w:t>.</w:t>
            </w:r>
          </w:p>
        </w:tc>
        <w:tc>
          <w:tcPr>
            <w:tcW w:w="1432" w:type="dxa"/>
          </w:tcPr>
          <w:p w14:paraId="2C637235" w14:textId="77777777" w:rsidR="00FF4B96" w:rsidRPr="007A51B3" w:rsidRDefault="00FF4B96" w:rsidP="00D62FDE">
            <w:pPr>
              <w:spacing w:after="0" w:line="240" w:lineRule="auto"/>
              <w:ind w:right="-133"/>
              <w:jc w:val="both"/>
              <w:rPr>
                <w:rFonts w:ascii="Times New Roman" w:hAnsi="Times New Roman"/>
                <w:b/>
                <w:sz w:val="24"/>
                <w:szCs w:val="24"/>
              </w:rPr>
            </w:pPr>
            <w:r>
              <w:rPr>
                <w:rFonts w:ascii="Times New Roman" w:hAnsi="Times New Roman"/>
                <w:b/>
                <w:sz w:val="24"/>
                <w:szCs w:val="24"/>
              </w:rPr>
              <w:t>RCL</w:t>
            </w:r>
          </w:p>
        </w:tc>
        <w:tc>
          <w:tcPr>
            <w:tcW w:w="2143" w:type="dxa"/>
          </w:tcPr>
          <w:p w14:paraId="7E21213C" w14:textId="77777777" w:rsidR="00FF4B96" w:rsidRPr="00EB2499" w:rsidRDefault="002C3B0C" w:rsidP="00D62FDE">
            <w:pPr>
              <w:spacing w:after="0" w:line="360" w:lineRule="auto"/>
              <w:jc w:val="both"/>
              <w:rPr>
                <w:rFonts w:ascii="Times New Roman" w:hAnsi="Times New Roman"/>
                <w:sz w:val="24"/>
                <w:szCs w:val="24"/>
              </w:rPr>
            </w:pPr>
            <w:r>
              <w:rPr>
                <w:rFonts w:ascii="Times New Roman" w:eastAsiaTheme="minorHAnsi" w:hAnsi="Times New Roman"/>
                <w:sz w:val="24"/>
                <w:szCs w:val="24"/>
              </w:rPr>
              <w:t>OSR</w:t>
            </w:r>
          </w:p>
        </w:tc>
        <w:tc>
          <w:tcPr>
            <w:tcW w:w="5050" w:type="dxa"/>
          </w:tcPr>
          <w:p w14:paraId="5804EDA9" w14:textId="1794390D" w:rsidR="00FF4B96" w:rsidRPr="002C3B0C" w:rsidRDefault="002C3B0C" w:rsidP="002C3B0C">
            <w:pPr>
              <w:autoSpaceDE w:val="0"/>
              <w:autoSpaceDN w:val="0"/>
              <w:adjustRightInd w:val="0"/>
              <w:spacing w:after="0" w:line="360" w:lineRule="auto"/>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 xml:space="preserve">W OSR należy uaktualnić informację dotyczącą zamieszczenia projektu rozporządzenia na stronie podmiotowej Rządowego Centrum Legislacji, w serwisie Rządowy Proces </w:t>
            </w:r>
            <w:r w:rsidR="00C010C9">
              <w:rPr>
                <w:rFonts w:ascii="TimesNewRomanPSMT" w:eastAsiaTheme="minorHAnsi" w:hAnsi="TimesNewRomanPSMT" w:cs="TimesNewRomanPSMT"/>
                <w:sz w:val="24"/>
                <w:szCs w:val="24"/>
              </w:rPr>
              <w:t>Legislacyjny</w:t>
            </w:r>
            <w:r>
              <w:rPr>
                <w:rFonts w:ascii="TimesNewRomanPSMT" w:eastAsiaTheme="minorHAnsi" w:hAnsi="TimesNewRomanPSMT" w:cs="TimesNewRomanPSMT"/>
                <w:sz w:val="24"/>
                <w:szCs w:val="24"/>
              </w:rPr>
              <w:t xml:space="preserve"> oraz uzupełnić o informacje dotyczącą wyników przeprowadzonych konsultacji.</w:t>
            </w:r>
          </w:p>
          <w:p w14:paraId="501E57C4" w14:textId="77777777" w:rsidR="00FF4B96" w:rsidRPr="007A51B3" w:rsidRDefault="00FF4B96" w:rsidP="00D62FDE">
            <w:pPr>
              <w:pStyle w:val="Style9"/>
              <w:widowControl/>
              <w:tabs>
                <w:tab w:val="left" w:pos="355"/>
              </w:tabs>
              <w:spacing w:line="360" w:lineRule="auto"/>
              <w:ind w:firstLine="709"/>
            </w:pPr>
          </w:p>
        </w:tc>
        <w:tc>
          <w:tcPr>
            <w:tcW w:w="4919" w:type="dxa"/>
          </w:tcPr>
          <w:p w14:paraId="506F6BF5" w14:textId="77777777" w:rsidR="00FF4B96" w:rsidRDefault="00FF4B96" w:rsidP="00D62FDE">
            <w:pPr>
              <w:pStyle w:val="Style2"/>
              <w:widowControl/>
              <w:spacing w:line="360" w:lineRule="auto"/>
              <w:ind w:firstLine="0"/>
              <w:rPr>
                <w:rFonts w:ascii="Times New Roman" w:hAnsi="Times New Roman" w:cs="Times New Roman"/>
                <w:b/>
                <w:bCs/>
              </w:rPr>
            </w:pPr>
            <w:r w:rsidRPr="00800775">
              <w:rPr>
                <w:rFonts w:ascii="Times New Roman" w:hAnsi="Times New Roman" w:cs="Times New Roman"/>
                <w:b/>
                <w:bCs/>
              </w:rPr>
              <w:t>Uwaga uwzględniona.</w:t>
            </w:r>
          </w:p>
          <w:p w14:paraId="3719DF35" w14:textId="0E593CF7" w:rsidR="00E41465" w:rsidRPr="00467B54" w:rsidRDefault="00E41465" w:rsidP="00D62FDE">
            <w:pPr>
              <w:pStyle w:val="Style2"/>
              <w:widowControl/>
              <w:spacing w:line="360" w:lineRule="auto"/>
              <w:ind w:firstLine="0"/>
              <w:rPr>
                <w:rFonts w:ascii="Times New Roman" w:hAnsi="Times New Roman" w:cs="Times New Roman"/>
                <w:color w:val="00B050"/>
              </w:rPr>
            </w:pPr>
            <w:r w:rsidRPr="004C0C95">
              <w:rPr>
                <w:rFonts w:ascii="Times New Roman" w:hAnsi="Times New Roman"/>
                <w:szCs w:val="20"/>
              </w:rPr>
              <w:t>Projekt zostanie udostępniony w Biuletynie Informacji Publicznej na stronie podmiotowej Rządowego Centrum Legislacji w serwisie Rządowy Proces Legislacyjny</w:t>
            </w:r>
          </w:p>
        </w:tc>
      </w:tr>
    </w:tbl>
    <w:p w14:paraId="44D8CA38" w14:textId="77777777" w:rsidR="00BE13B3" w:rsidRDefault="00BE13B3"/>
    <w:sectPr w:rsidR="00BE13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B96"/>
    <w:rsid w:val="001135E9"/>
    <w:rsid w:val="00177541"/>
    <w:rsid w:val="002C3B0C"/>
    <w:rsid w:val="00431B52"/>
    <w:rsid w:val="00577E22"/>
    <w:rsid w:val="005A5BA0"/>
    <w:rsid w:val="00696012"/>
    <w:rsid w:val="00800775"/>
    <w:rsid w:val="009C23EC"/>
    <w:rsid w:val="00A76931"/>
    <w:rsid w:val="00BE13B3"/>
    <w:rsid w:val="00C010C9"/>
    <w:rsid w:val="00E41465"/>
    <w:rsid w:val="00EC53FB"/>
    <w:rsid w:val="00FF4B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DF266"/>
  <w15:chartTrackingRefBased/>
  <w15:docId w15:val="{6D378943-E9C0-4BBA-892D-B9B940B51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4B96"/>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2">
    <w:name w:val="Style2"/>
    <w:basedOn w:val="Normalny"/>
    <w:uiPriority w:val="99"/>
    <w:rsid w:val="00FF4B96"/>
    <w:pPr>
      <w:widowControl w:val="0"/>
      <w:autoSpaceDE w:val="0"/>
      <w:autoSpaceDN w:val="0"/>
      <w:adjustRightInd w:val="0"/>
      <w:spacing w:after="0" w:line="414" w:lineRule="exact"/>
      <w:ind w:firstLine="713"/>
      <w:jc w:val="both"/>
    </w:pPr>
    <w:rPr>
      <w:rFonts w:ascii="Arial" w:eastAsiaTheme="minorEastAsia" w:hAnsi="Arial" w:cs="Arial"/>
      <w:sz w:val="24"/>
      <w:szCs w:val="24"/>
      <w:lang w:eastAsia="pl-PL"/>
    </w:rPr>
  </w:style>
  <w:style w:type="paragraph" w:customStyle="1" w:styleId="Style5">
    <w:name w:val="Style5"/>
    <w:basedOn w:val="Normalny"/>
    <w:uiPriority w:val="99"/>
    <w:rsid w:val="00FF4B96"/>
    <w:pPr>
      <w:widowControl w:val="0"/>
      <w:autoSpaceDE w:val="0"/>
      <w:autoSpaceDN w:val="0"/>
      <w:adjustRightInd w:val="0"/>
      <w:spacing w:after="0" w:line="412" w:lineRule="exact"/>
      <w:ind w:firstLine="742"/>
      <w:jc w:val="both"/>
    </w:pPr>
    <w:rPr>
      <w:rFonts w:ascii="Arial" w:eastAsiaTheme="minorEastAsia" w:hAnsi="Arial" w:cs="Arial"/>
      <w:sz w:val="24"/>
      <w:szCs w:val="24"/>
      <w:lang w:eastAsia="pl-PL"/>
    </w:rPr>
  </w:style>
  <w:style w:type="paragraph" w:customStyle="1" w:styleId="Style4">
    <w:name w:val="Style4"/>
    <w:basedOn w:val="Normalny"/>
    <w:uiPriority w:val="99"/>
    <w:rsid w:val="00FF4B96"/>
    <w:pPr>
      <w:widowControl w:val="0"/>
      <w:autoSpaceDE w:val="0"/>
      <w:autoSpaceDN w:val="0"/>
      <w:adjustRightInd w:val="0"/>
      <w:spacing w:after="0" w:line="415" w:lineRule="exact"/>
      <w:ind w:firstLine="684"/>
      <w:jc w:val="both"/>
    </w:pPr>
    <w:rPr>
      <w:rFonts w:ascii="Times New Roman" w:eastAsiaTheme="minorEastAsia" w:hAnsi="Times New Roman"/>
      <w:sz w:val="24"/>
      <w:szCs w:val="24"/>
      <w:lang w:eastAsia="pl-PL"/>
    </w:rPr>
  </w:style>
  <w:style w:type="paragraph" w:customStyle="1" w:styleId="Style9">
    <w:name w:val="Style9"/>
    <w:basedOn w:val="Normalny"/>
    <w:uiPriority w:val="99"/>
    <w:rsid w:val="00FF4B96"/>
    <w:pPr>
      <w:widowControl w:val="0"/>
      <w:autoSpaceDE w:val="0"/>
      <w:autoSpaceDN w:val="0"/>
      <w:adjustRightInd w:val="0"/>
      <w:spacing w:after="0" w:line="418" w:lineRule="exact"/>
      <w:ind w:firstLine="713"/>
      <w:jc w:val="both"/>
    </w:pPr>
    <w:rPr>
      <w:rFonts w:ascii="Times New Roman" w:eastAsiaTheme="minorEastAsia" w:hAnsi="Times New Roman"/>
      <w:sz w:val="24"/>
      <w:szCs w:val="24"/>
      <w:lang w:eastAsia="pl-PL"/>
    </w:rPr>
  </w:style>
  <w:style w:type="character" w:customStyle="1" w:styleId="FontStyle14">
    <w:name w:val="Font Style14"/>
    <w:basedOn w:val="Domylnaczcionkaakapitu"/>
    <w:uiPriority w:val="99"/>
    <w:rsid w:val="00FF4B96"/>
    <w:rPr>
      <w:rFonts w:ascii="Arial" w:hAnsi="Arial" w:cs="Arial"/>
      <w:b/>
      <w:bCs/>
      <w:sz w:val="18"/>
      <w:szCs w:val="18"/>
    </w:rPr>
  </w:style>
  <w:style w:type="character" w:styleId="Pogrubienie">
    <w:name w:val="Strong"/>
    <w:basedOn w:val="Domylnaczcionkaakapitu"/>
    <w:uiPriority w:val="22"/>
    <w:qFormat/>
    <w:rsid w:val="00FF4B96"/>
    <w:rPr>
      <w:b/>
      <w:bCs/>
    </w:rPr>
  </w:style>
  <w:style w:type="character" w:customStyle="1" w:styleId="FontStyle17">
    <w:name w:val="Font Style17"/>
    <w:basedOn w:val="Domylnaczcionkaakapitu"/>
    <w:uiPriority w:val="99"/>
    <w:rsid w:val="00FF4B96"/>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662</Words>
  <Characters>3976</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Wołowski Przemysław  (DLPC)</dc:creator>
  <cp:keywords/>
  <dc:description/>
  <cp:lastModifiedBy>Wołowski Przemysław  (DLPC)</cp:lastModifiedBy>
  <cp:revision>2</cp:revision>
  <dcterms:created xsi:type="dcterms:W3CDTF">2021-04-06T13:31:00Z</dcterms:created>
  <dcterms:modified xsi:type="dcterms:W3CDTF">2021-04-06T13:31:00Z</dcterms:modified>
</cp:coreProperties>
</file>