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1D4AAA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bookmarkStart w:id="0" w:name="ezdDataPodpisu"/>
      <w:r>
        <w:rPr>
          <w:sz w:val="24"/>
          <w:szCs w:val="24"/>
        </w:rPr>
        <w:t>8 października 2021</w:t>
      </w:r>
      <w:bookmarkEnd w:id="0"/>
      <w:r>
        <w:rPr>
          <w:sz w:val="24"/>
          <w:szCs w:val="24"/>
        </w:rPr>
        <w:t xml:space="preserve"> r.</w:t>
      </w:r>
    </w:p>
    <w:p w:rsidR="001D4AAA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ezdSprawaZnak"/>
      <w:r>
        <w:rPr>
          <w:sz w:val="24"/>
          <w:szCs w:val="24"/>
        </w:rPr>
        <w:t>RT-I.431.10.2021</w:t>
      </w:r>
      <w:bookmarkEnd w:id="1"/>
    </w:p>
    <w:p w:rsidR="001D4AAA">
      <w:pPr>
        <w:snapToGrid w:val="0"/>
        <w:rPr>
          <w:sz w:val="24"/>
          <w:szCs w:val="24"/>
        </w:rPr>
      </w:pPr>
    </w:p>
    <w:p w:rsidR="00E505DC" w:rsidP="00BC2968">
      <w:pPr>
        <w:snapToGrid w:val="0"/>
        <w:spacing w:line="360" w:lineRule="auto"/>
        <w:ind w:left="4815"/>
        <w:rPr>
          <w:b/>
          <w:kern w:val="1"/>
          <w:sz w:val="24"/>
          <w:szCs w:val="24"/>
        </w:rPr>
      </w:pPr>
    </w:p>
    <w:p w:rsidR="00BC2968" w:rsidRPr="00BC2968" w:rsidP="00BC2968">
      <w:pPr>
        <w:snapToGrid w:val="0"/>
        <w:spacing w:line="360" w:lineRule="auto"/>
        <w:ind w:left="4815"/>
        <w:rPr>
          <w:b/>
          <w:kern w:val="1"/>
          <w:sz w:val="24"/>
          <w:szCs w:val="24"/>
        </w:rPr>
      </w:pPr>
      <w:r w:rsidRPr="00BC2968">
        <w:rPr>
          <w:b/>
          <w:kern w:val="1"/>
          <w:sz w:val="24"/>
          <w:szCs w:val="24"/>
        </w:rPr>
        <w:t xml:space="preserve">Pani </w:t>
      </w:r>
      <w:r w:rsidRPr="00BC2968">
        <w:rPr>
          <w:b/>
          <w:kern w:val="1"/>
          <w:sz w:val="24"/>
          <w:szCs w:val="24"/>
        </w:rPr>
        <w:br/>
        <w:t>Hanna Zdanowska</w:t>
      </w:r>
    </w:p>
    <w:p w:rsidR="00BC2968" w:rsidRPr="00BC2968" w:rsidP="00BC2968">
      <w:pPr>
        <w:snapToGrid w:val="0"/>
        <w:spacing w:line="360" w:lineRule="auto"/>
        <w:ind w:left="4815"/>
        <w:rPr>
          <w:kern w:val="1"/>
          <w:sz w:val="24"/>
          <w:szCs w:val="24"/>
        </w:rPr>
      </w:pPr>
      <w:r w:rsidRPr="00BC2968">
        <w:rPr>
          <w:b/>
          <w:kern w:val="1"/>
          <w:sz w:val="24"/>
          <w:szCs w:val="24"/>
        </w:rPr>
        <w:t>Prezydent Miasta Łodzi</w:t>
      </w:r>
    </w:p>
    <w:p w:rsidR="00BC2968" w:rsidP="00BC2968">
      <w:pPr>
        <w:snapToGrid w:val="0"/>
        <w:spacing w:line="360" w:lineRule="auto"/>
        <w:rPr>
          <w:kern w:val="1"/>
          <w:sz w:val="24"/>
          <w:szCs w:val="24"/>
        </w:rPr>
      </w:pPr>
    </w:p>
    <w:p w:rsidR="00E505DC" w:rsidRPr="00BC2968" w:rsidP="00BC2968">
      <w:pPr>
        <w:snapToGrid w:val="0"/>
        <w:spacing w:line="360" w:lineRule="auto"/>
        <w:rPr>
          <w:kern w:val="1"/>
          <w:sz w:val="24"/>
          <w:szCs w:val="24"/>
        </w:rPr>
      </w:pPr>
    </w:p>
    <w:p w:rsidR="00BC2968" w:rsidRPr="00BC2968" w:rsidP="00BC2968">
      <w:pPr>
        <w:snapToGrid w:val="0"/>
        <w:spacing w:line="360" w:lineRule="auto"/>
        <w:jc w:val="center"/>
        <w:rPr>
          <w:b/>
          <w:bCs/>
          <w:kern w:val="1"/>
          <w:sz w:val="24"/>
          <w:szCs w:val="24"/>
        </w:rPr>
      </w:pPr>
      <w:r>
        <w:rPr>
          <w:b/>
          <w:bCs/>
          <w:kern w:val="1"/>
          <w:sz w:val="24"/>
          <w:szCs w:val="24"/>
        </w:rPr>
        <w:t>WYSTĄPIENIE POKONTROLNE</w:t>
      </w:r>
    </w:p>
    <w:p w:rsidR="00BC2968" w:rsidRPr="00BC2968" w:rsidP="00BC2968">
      <w:pPr>
        <w:snapToGrid w:val="0"/>
        <w:spacing w:line="360" w:lineRule="auto"/>
        <w:rPr>
          <w:kern w:val="1"/>
          <w:sz w:val="24"/>
          <w:szCs w:val="24"/>
        </w:rPr>
      </w:pPr>
    </w:p>
    <w:p w:rsidR="00BC2968" w:rsidRPr="00BC2968" w:rsidP="00BC2968">
      <w:pPr>
        <w:snapToGrid w:val="0"/>
        <w:spacing w:line="360" w:lineRule="auto"/>
        <w:ind w:firstLine="709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 xml:space="preserve"> Działając zgodnie z art. 122 ust. 1 pkt 1 oraz ust. 2 pkt 1 i 2 ustawy z dnia 5 stycznia 2011 roku o kierujących pojazdami (Dz. U z 2021 r., poz. 1212) oraz Regulaminem Kontroli, stanowiącym załącznik do Zarządzenia Nr 3/2018 Wojewody Łódzkiego z dnia 12 stycznia 2018 roku w sprawie wprowadzenia Regulaminu Kontroli Łódzkiego Urzędu Wojewódzkiego w   Łodzi,   przeprowadzona   została   kontrola   Prezydenta    Łodzi,   ul.   Piotrkowska   104 </w:t>
      </w:r>
    </w:p>
    <w:p w:rsidR="00BC2968" w:rsidRPr="00BC2968" w:rsidP="00BC2968">
      <w:p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 xml:space="preserve">90-926 Łódź, w przedmiocie prowadzenia dokumentacji w zakresie wymiany zagranicznych praw jazdy na prawa jazdy polskie. </w:t>
      </w:r>
    </w:p>
    <w:p w:rsidR="00BC2968" w:rsidRPr="00BC2968" w:rsidP="00BC2968">
      <w:p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 xml:space="preserve">Okres objęty kontrolą: od dnia 1 lipca 2020 roku do dnia 31 grudnia 2020 roku. </w:t>
      </w:r>
    </w:p>
    <w:p w:rsidR="00BC2968" w:rsidRPr="00BC2968" w:rsidP="00BC2968">
      <w:pPr>
        <w:snapToGrid w:val="0"/>
        <w:spacing w:line="360" w:lineRule="auto"/>
        <w:ind w:firstLine="709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 xml:space="preserve">Kontrolę w dniach 7 – 9 lipca 2021 roku, zgodnie z upoważnieniami Wojewody Łódzkiego z dnia 18 czerwca 2021 r., przeprowadził zespół kontrolerów w składzie: </w:t>
      </w:r>
    </w:p>
    <w:p w:rsidR="00BC2968" w:rsidRPr="00BC2968" w:rsidP="00BC2968">
      <w:p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- Monika Gaczyńska – starszy specjalista w Oddziale K</w:t>
      </w:r>
      <w:r w:rsidR="000C1934">
        <w:rPr>
          <w:kern w:val="1"/>
          <w:sz w:val="24"/>
          <w:szCs w:val="24"/>
        </w:rPr>
        <w:t>omunikacji Wydziału Rolnictwa i </w:t>
      </w:r>
      <w:r w:rsidRPr="00BC2968">
        <w:rPr>
          <w:kern w:val="1"/>
          <w:sz w:val="24"/>
          <w:szCs w:val="24"/>
        </w:rPr>
        <w:t xml:space="preserve">Transportu , pełniąca funkcję kierownika zespołu kontrolerów (Upoważnienie Nr 51/2021), </w:t>
      </w:r>
    </w:p>
    <w:p w:rsidR="00BC2968" w:rsidRPr="00BC2968" w:rsidP="00BC2968">
      <w:p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- Joanna Kikosicka-Oskroba – starszy specjalista Oddziału K</w:t>
      </w:r>
      <w:r w:rsidR="000C1934">
        <w:rPr>
          <w:kern w:val="1"/>
          <w:sz w:val="24"/>
          <w:szCs w:val="24"/>
        </w:rPr>
        <w:t>omunikacji Wydziału Rolnictwa i </w:t>
      </w:r>
      <w:r w:rsidRPr="00BC2968">
        <w:rPr>
          <w:kern w:val="1"/>
          <w:sz w:val="24"/>
          <w:szCs w:val="24"/>
        </w:rPr>
        <w:t xml:space="preserve">Transportu, pełniąca funkcję członka zespołu kontrolerów (Upoważnienie Nr 52/2021). </w:t>
      </w:r>
    </w:p>
    <w:p w:rsidR="00BC2968" w:rsidRPr="00BC2968" w:rsidP="00BC2968">
      <w:pPr>
        <w:snapToGrid w:val="0"/>
        <w:spacing w:line="360" w:lineRule="auto"/>
        <w:ind w:firstLine="709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Ustalenia opisane w pkt I - III niniejszego</w:t>
      </w:r>
      <w:r>
        <w:rPr>
          <w:kern w:val="1"/>
          <w:sz w:val="24"/>
          <w:szCs w:val="24"/>
        </w:rPr>
        <w:t xml:space="preserve"> </w:t>
      </w:r>
      <w:r w:rsidRPr="00BC2968">
        <w:rPr>
          <w:kern w:val="1"/>
          <w:sz w:val="24"/>
          <w:szCs w:val="24"/>
        </w:rPr>
        <w:t xml:space="preserve">wystąpienia pokontrolnego odnoszą się do dokumentacji dotyczącej łącznie 30 postępowań. Mając na uwadze powyższe działalność we wskazanym zakresie należy ocenić pozytywnie. </w:t>
      </w:r>
    </w:p>
    <w:p w:rsidR="00BC2968" w:rsidRPr="00BC2968" w:rsidP="00BC2968">
      <w:pPr>
        <w:snapToGrid w:val="0"/>
        <w:spacing w:line="360" w:lineRule="auto"/>
        <w:ind w:firstLine="709"/>
        <w:jc w:val="both"/>
        <w:rPr>
          <w:kern w:val="1"/>
          <w:sz w:val="24"/>
          <w:szCs w:val="24"/>
        </w:rPr>
      </w:pPr>
    </w:p>
    <w:p w:rsidR="00BC2968" w:rsidRPr="00BC2968" w:rsidP="00BC2968">
      <w:pPr>
        <w:snapToGrid w:val="0"/>
        <w:spacing w:line="360" w:lineRule="auto"/>
        <w:ind w:firstLine="709"/>
        <w:jc w:val="center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I. PRZYGOTOWANIE ORGANIZACYJNE</w:t>
      </w:r>
    </w:p>
    <w:p w:rsidR="00BC2968" w:rsidRPr="00BC2968" w:rsidP="000C1934">
      <w:pPr>
        <w:snapToGrid w:val="0"/>
        <w:spacing w:line="360" w:lineRule="auto"/>
        <w:ind w:firstLine="709"/>
        <w:jc w:val="both"/>
        <w:rPr>
          <w:bCs/>
          <w:kern w:val="1"/>
          <w:sz w:val="24"/>
          <w:szCs w:val="24"/>
        </w:rPr>
      </w:pPr>
      <w:r w:rsidRPr="00BC2968">
        <w:rPr>
          <w:bCs/>
          <w:kern w:val="1"/>
          <w:sz w:val="24"/>
          <w:szCs w:val="24"/>
        </w:rPr>
        <w:t xml:space="preserve">W okresie objętym kontrolą funkcję Prezydenta Miasta Łodzi pełniła Pani Hanna Zdanowska. Natomiast zgodnie z Regulaminem Organizacyjnym Urzędu Miasta Łodzi, </w:t>
      </w:r>
      <w:r w:rsidRPr="00BC2968">
        <w:rPr>
          <w:bCs/>
          <w:kern w:val="1"/>
          <w:sz w:val="24"/>
          <w:szCs w:val="24"/>
        </w:rPr>
        <w:t>stanowiącym załącznik do zarządzenia Nr 637/VIII/19 Prezydenta Miasta Łodzi z dnia 27 lutego 2019 roku (z późn. zm.) prowadzenie spraw związanych z wymianą zagranicznych praw jazdy na prawa jazdy polskie należy do Oddziału P</w:t>
      </w:r>
      <w:r w:rsidR="000C1934">
        <w:rPr>
          <w:bCs/>
          <w:kern w:val="1"/>
          <w:sz w:val="24"/>
          <w:szCs w:val="24"/>
        </w:rPr>
        <w:t>raw Jazdy Wydziału Praw Jazdy i </w:t>
      </w:r>
      <w:r w:rsidRPr="00BC2968">
        <w:rPr>
          <w:bCs/>
          <w:kern w:val="1"/>
          <w:sz w:val="24"/>
          <w:szCs w:val="24"/>
        </w:rPr>
        <w:t>Rejestracji Pojazdów podległego Departamentowi Organizacji Urzędu i Obsługi Mieszkańców Urzędu</w:t>
      </w:r>
      <w:r>
        <w:rPr>
          <w:bCs/>
          <w:kern w:val="1"/>
          <w:sz w:val="24"/>
          <w:szCs w:val="24"/>
        </w:rPr>
        <w:t xml:space="preserve"> </w:t>
      </w:r>
      <w:r w:rsidRPr="00BC2968">
        <w:rPr>
          <w:bCs/>
          <w:kern w:val="1"/>
          <w:sz w:val="24"/>
          <w:szCs w:val="24"/>
        </w:rPr>
        <w:t xml:space="preserve"> Miasta </w:t>
      </w:r>
      <w:r>
        <w:rPr>
          <w:bCs/>
          <w:kern w:val="1"/>
          <w:sz w:val="24"/>
          <w:szCs w:val="24"/>
        </w:rPr>
        <w:t xml:space="preserve"> </w:t>
      </w:r>
      <w:r w:rsidRPr="00BC2968">
        <w:rPr>
          <w:bCs/>
          <w:kern w:val="1"/>
          <w:sz w:val="24"/>
          <w:szCs w:val="24"/>
        </w:rPr>
        <w:t xml:space="preserve">Łodzi </w:t>
      </w:r>
      <w:r w:rsidR="000C1934">
        <w:rPr>
          <w:bCs/>
          <w:kern w:val="1"/>
          <w:sz w:val="24"/>
          <w:szCs w:val="24"/>
        </w:rPr>
        <w:t xml:space="preserve">, </w:t>
      </w:r>
      <w:r w:rsidRPr="00BC2968">
        <w:rPr>
          <w:bCs/>
          <w:kern w:val="1"/>
          <w:sz w:val="24"/>
          <w:szCs w:val="24"/>
        </w:rPr>
        <w:t>mieszczącego</w:t>
      </w:r>
      <w:r>
        <w:rPr>
          <w:bCs/>
          <w:kern w:val="1"/>
          <w:sz w:val="24"/>
          <w:szCs w:val="24"/>
        </w:rPr>
        <w:t xml:space="preserve"> </w:t>
      </w:r>
      <w:r w:rsidRPr="00BC2968">
        <w:rPr>
          <w:bCs/>
          <w:kern w:val="1"/>
          <w:sz w:val="24"/>
          <w:szCs w:val="24"/>
        </w:rPr>
        <w:t xml:space="preserve"> się</w:t>
      </w:r>
      <w:r>
        <w:rPr>
          <w:bCs/>
          <w:kern w:val="1"/>
          <w:sz w:val="24"/>
          <w:szCs w:val="24"/>
        </w:rPr>
        <w:t xml:space="preserve"> </w:t>
      </w:r>
      <w:r w:rsidRPr="00BC2968">
        <w:rPr>
          <w:bCs/>
          <w:kern w:val="1"/>
          <w:sz w:val="24"/>
          <w:szCs w:val="24"/>
        </w:rPr>
        <w:t xml:space="preserve"> przy </w:t>
      </w:r>
      <w:r>
        <w:rPr>
          <w:bCs/>
          <w:kern w:val="1"/>
          <w:sz w:val="24"/>
          <w:szCs w:val="24"/>
        </w:rPr>
        <w:t xml:space="preserve"> </w:t>
      </w:r>
      <w:r w:rsidRPr="00BC2968">
        <w:rPr>
          <w:bCs/>
          <w:kern w:val="1"/>
          <w:sz w:val="24"/>
          <w:szCs w:val="24"/>
        </w:rPr>
        <w:t xml:space="preserve">ul. </w:t>
      </w:r>
      <w:r>
        <w:rPr>
          <w:bCs/>
          <w:kern w:val="1"/>
          <w:sz w:val="24"/>
          <w:szCs w:val="24"/>
        </w:rPr>
        <w:t xml:space="preserve"> </w:t>
      </w:r>
      <w:r w:rsidRPr="00BC2968">
        <w:rPr>
          <w:bCs/>
          <w:kern w:val="1"/>
          <w:sz w:val="24"/>
          <w:szCs w:val="24"/>
        </w:rPr>
        <w:t xml:space="preserve">Smugowej </w:t>
      </w:r>
      <w:r>
        <w:rPr>
          <w:bCs/>
          <w:kern w:val="1"/>
          <w:sz w:val="24"/>
          <w:szCs w:val="24"/>
        </w:rPr>
        <w:t xml:space="preserve"> </w:t>
      </w:r>
      <w:r w:rsidRPr="00BC2968">
        <w:rPr>
          <w:bCs/>
          <w:kern w:val="1"/>
          <w:sz w:val="24"/>
          <w:szCs w:val="24"/>
        </w:rPr>
        <w:t>26A</w:t>
      </w:r>
      <w:r>
        <w:rPr>
          <w:bCs/>
          <w:kern w:val="1"/>
          <w:sz w:val="24"/>
          <w:szCs w:val="24"/>
        </w:rPr>
        <w:t xml:space="preserve"> </w:t>
      </w:r>
      <w:r w:rsidRPr="00BC2968">
        <w:rPr>
          <w:bCs/>
          <w:kern w:val="1"/>
          <w:sz w:val="24"/>
          <w:szCs w:val="24"/>
        </w:rPr>
        <w:t xml:space="preserve"> i </w:t>
      </w:r>
      <w:r>
        <w:rPr>
          <w:bCs/>
          <w:kern w:val="1"/>
          <w:sz w:val="24"/>
          <w:szCs w:val="24"/>
        </w:rPr>
        <w:t xml:space="preserve"> </w:t>
      </w:r>
      <w:r w:rsidRPr="00BC2968">
        <w:rPr>
          <w:bCs/>
          <w:kern w:val="1"/>
          <w:sz w:val="24"/>
          <w:szCs w:val="24"/>
        </w:rPr>
        <w:t>30/32</w:t>
      </w:r>
      <w:r>
        <w:rPr>
          <w:bCs/>
          <w:kern w:val="1"/>
          <w:sz w:val="24"/>
          <w:szCs w:val="24"/>
        </w:rPr>
        <w:t xml:space="preserve">,  </w:t>
      </w:r>
      <w:r w:rsidRPr="00BC2968">
        <w:rPr>
          <w:bCs/>
          <w:kern w:val="1"/>
          <w:sz w:val="24"/>
          <w:szCs w:val="24"/>
        </w:rPr>
        <w:t>91</w:t>
      </w:r>
      <w:r>
        <w:rPr>
          <w:bCs/>
          <w:kern w:val="1"/>
          <w:sz w:val="24"/>
          <w:szCs w:val="24"/>
        </w:rPr>
        <w:t xml:space="preserve"> – </w:t>
      </w:r>
      <w:r w:rsidRPr="00BC2968">
        <w:rPr>
          <w:bCs/>
          <w:kern w:val="1"/>
          <w:sz w:val="24"/>
          <w:szCs w:val="24"/>
        </w:rPr>
        <w:t>433</w:t>
      </w:r>
      <w:r>
        <w:rPr>
          <w:bCs/>
          <w:kern w:val="1"/>
          <w:sz w:val="24"/>
          <w:szCs w:val="24"/>
        </w:rPr>
        <w:t xml:space="preserve"> </w:t>
      </w:r>
      <w:r w:rsidRPr="00BC2968">
        <w:rPr>
          <w:bCs/>
          <w:kern w:val="1"/>
          <w:sz w:val="24"/>
          <w:szCs w:val="24"/>
        </w:rPr>
        <w:t xml:space="preserve"> Łódź.</w:t>
      </w:r>
      <w:r w:rsidR="000C1934">
        <w:rPr>
          <w:bCs/>
          <w:kern w:val="1"/>
          <w:sz w:val="24"/>
          <w:szCs w:val="24"/>
        </w:rPr>
        <w:t xml:space="preserve"> </w:t>
      </w:r>
      <w:r w:rsidRPr="00BC2968">
        <w:rPr>
          <w:bCs/>
          <w:kern w:val="1"/>
          <w:sz w:val="24"/>
          <w:szCs w:val="24"/>
        </w:rPr>
        <w:t>Upoważnienia pracowników Oddziału Praw Jazdy do podejmowania działań w zakresie wymiany zagranicznych praw jazdy na prawa jazdy polskie udzielono na podstawie Zarządzenia Nr 3427/VIII/20 Prezydenta Miasta Łodzi z dnia</w:t>
      </w:r>
      <w:r w:rsidRPr="00BC2968">
        <w:rPr>
          <w:bCs/>
          <w:color w:val="FF0000"/>
          <w:kern w:val="1"/>
          <w:sz w:val="24"/>
          <w:szCs w:val="24"/>
        </w:rPr>
        <w:t xml:space="preserve"> </w:t>
      </w:r>
      <w:r w:rsidRPr="00BC2968">
        <w:rPr>
          <w:bCs/>
          <w:kern w:val="1"/>
          <w:sz w:val="24"/>
          <w:szCs w:val="24"/>
        </w:rPr>
        <w:t xml:space="preserve">2 marca 2020 roku </w:t>
      </w:r>
      <w:bookmarkStart w:id="2" w:name="_Hlk76640451"/>
      <w:r w:rsidRPr="00BC2968">
        <w:rPr>
          <w:bCs/>
          <w:kern w:val="1"/>
          <w:sz w:val="24"/>
          <w:szCs w:val="24"/>
        </w:rPr>
        <w:t>w sprawie upoważnienia pracowników Wydziału Praw Jazdy i Rejestracji Pojazdów w Departamencie Organizacji Urzędu i Obsługi Mieszkańców Urzędu Miasta Łodzi do wydawania decyzji, postanowień i zaświadczeń w indywidualnych sprawach z zakresu administracji publicznej</w:t>
      </w:r>
      <w:bookmarkEnd w:id="2"/>
      <w:r w:rsidRPr="00BC2968">
        <w:rPr>
          <w:bCs/>
          <w:kern w:val="1"/>
          <w:sz w:val="24"/>
          <w:szCs w:val="24"/>
        </w:rPr>
        <w:t>, zastąpionego następnie Zarządzeniem Nr 5187/VIII/20 Prezyd</w:t>
      </w:r>
      <w:r>
        <w:rPr>
          <w:bCs/>
          <w:kern w:val="1"/>
          <w:sz w:val="24"/>
          <w:szCs w:val="24"/>
        </w:rPr>
        <w:t>enta Miasta Łodzi z dnia</w:t>
      </w:r>
      <w:r w:rsidRPr="00BC2968">
        <w:rPr>
          <w:bCs/>
          <w:kern w:val="1"/>
          <w:sz w:val="24"/>
          <w:szCs w:val="24"/>
        </w:rPr>
        <w:t xml:space="preserve"> </w:t>
      </w:r>
      <w:r>
        <w:rPr>
          <w:bCs/>
          <w:kern w:val="1"/>
          <w:sz w:val="24"/>
          <w:szCs w:val="24"/>
        </w:rPr>
        <w:t xml:space="preserve">              </w:t>
      </w:r>
      <w:r w:rsidRPr="00BC2968">
        <w:rPr>
          <w:bCs/>
          <w:kern w:val="1"/>
          <w:sz w:val="24"/>
          <w:szCs w:val="24"/>
        </w:rPr>
        <w:t>22 września 2020 roku w sprawie upoważnienia pr</w:t>
      </w:r>
      <w:r w:rsidR="000C1934">
        <w:rPr>
          <w:bCs/>
          <w:kern w:val="1"/>
          <w:sz w:val="24"/>
          <w:szCs w:val="24"/>
        </w:rPr>
        <w:t>acowników Wydziału Praw Jazdy i </w:t>
      </w:r>
      <w:r w:rsidRPr="00BC2968">
        <w:rPr>
          <w:bCs/>
          <w:kern w:val="1"/>
          <w:sz w:val="24"/>
          <w:szCs w:val="24"/>
        </w:rPr>
        <w:t>Rejestracji Pojazdów w Departamencie Organizacji Urzędu i Obsługi Mieszkańców Urzędu Miasta Łodzi do wydawania decyzji, postanowień i zaświadczeń w indywidualnych sprawach z zakresu administracji publicznej.</w:t>
      </w:r>
    </w:p>
    <w:p w:rsidR="00BC2968" w:rsidRPr="00BC2968" w:rsidP="00BC2968">
      <w:p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Bezpośredni nadzór nad pracą Wydziału sprawuje Pan Paweł Kucharski – Dyrektor Wydziału Praw Jazdy i Rejestracji Pojazdów, zaś funkcję Zastępcy Dyrektora pełni Pan Jarosław Ander, natomiast kierownikiem Oddziału Praw Jazdy jest Pani Beata Andrzejczak.</w:t>
      </w:r>
    </w:p>
    <w:p w:rsidR="00BC2968" w:rsidRPr="00BC2968" w:rsidP="00BC2968">
      <w:pPr>
        <w:snapToGrid w:val="0"/>
        <w:spacing w:line="360" w:lineRule="auto"/>
        <w:ind w:firstLine="709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Należy stwierdzić, że Prezydent Miasta Łodzi jest organizacyjnie przygotowany do realizowania zadań będących przedmiotem kontroli, do</w:t>
      </w:r>
      <w:r w:rsidR="000C1934">
        <w:rPr>
          <w:kern w:val="1"/>
          <w:sz w:val="24"/>
          <w:szCs w:val="24"/>
        </w:rPr>
        <w:t xml:space="preserve"> których wykonywania, zgodnie z </w:t>
      </w:r>
      <w:r w:rsidRPr="00BC2968">
        <w:rPr>
          <w:kern w:val="1"/>
          <w:sz w:val="24"/>
          <w:szCs w:val="24"/>
        </w:rPr>
        <w:t>opisem stanowiska pracy, upoważnione są osoby wskazane w ww. zarządzeniach.</w:t>
      </w:r>
    </w:p>
    <w:p w:rsidR="00BC2968" w:rsidRPr="00BC2968" w:rsidP="00BC2968">
      <w:pPr>
        <w:snapToGrid w:val="0"/>
        <w:spacing w:line="360" w:lineRule="auto"/>
        <w:jc w:val="both"/>
        <w:rPr>
          <w:kern w:val="1"/>
          <w:sz w:val="24"/>
          <w:szCs w:val="24"/>
        </w:rPr>
      </w:pPr>
    </w:p>
    <w:p w:rsidR="00BC2968" w:rsidRPr="00BC2968" w:rsidP="00BC2968">
      <w:pPr>
        <w:snapToGrid w:val="0"/>
        <w:spacing w:line="360" w:lineRule="auto"/>
        <w:ind w:firstLine="709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II. PROWADZENIE POSTĘPOWAŃ Z ZAKRESU PRZEDMIOTU KONTROLI</w:t>
      </w:r>
    </w:p>
    <w:p w:rsidR="00BC2968" w:rsidRPr="00BC2968" w:rsidP="00BC2968">
      <w:pPr>
        <w:snapToGrid w:val="0"/>
        <w:spacing w:line="360" w:lineRule="auto"/>
        <w:ind w:firstLine="709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Zgodnie z przeds</w:t>
      </w:r>
      <w:r w:rsidR="000C1934">
        <w:rPr>
          <w:kern w:val="1"/>
          <w:sz w:val="24"/>
          <w:szCs w:val="24"/>
        </w:rPr>
        <w:t xml:space="preserve">tawioną dokumentacją, </w:t>
      </w:r>
      <w:r w:rsidRPr="00BC2968">
        <w:rPr>
          <w:kern w:val="1"/>
          <w:sz w:val="24"/>
          <w:szCs w:val="24"/>
        </w:rPr>
        <w:t xml:space="preserve">Prezydent Miasta Łodzi przeprowadził 308 postępowań w zakresie objętym kontrolą. W ramach procesu doboru próby do kontroli wzięto pod </w:t>
      </w:r>
      <w:r>
        <w:rPr>
          <w:kern w:val="1"/>
          <w:sz w:val="24"/>
          <w:szCs w:val="24"/>
        </w:rPr>
        <w:t xml:space="preserve"> </w:t>
      </w:r>
      <w:r w:rsidRPr="00BC2968">
        <w:rPr>
          <w:kern w:val="1"/>
          <w:sz w:val="24"/>
          <w:szCs w:val="24"/>
        </w:rPr>
        <w:t xml:space="preserve">uwagę </w:t>
      </w:r>
      <w:r>
        <w:rPr>
          <w:kern w:val="1"/>
          <w:sz w:val="24"/>
          <w:szCs w:val="24"/>
        </w:rPr>
        <w:t xml:space="preserve"> </w:t>
      </w:r>
      <w:r w:rsidRPr="00BC2968">
        <w:rPr>
          <w:kern w:val="1"/>
          <w:sz w:val="24"/>
          <w:szCs w:val="24"/>
        </w:rPr>
        <w:t xml:space="preserve">co </w:t>
      </w:r>
      <w:r>
        <w:rPr>
          <w:kern w:val="1"/>
          <w:sz w:val="24"/>
          <w:szCs w:val="24"/>
        </w:rPr>
        <w:t xml:space="preserve"> </w:t>
      </w:r>
      <w:r w:rsidRPr="00BC2968">
        <w:rPr>
          <w:kern w:val="1"/>
          <w:sz w:val="24"/>
          <w:szCs w:val="24"/>
        </w:rPr>
        <w:t xml:space="preserve">10 </w:t>
      </w:r>
      <w:r>
        <w:rPr>
          <w:kern w:val="1"/>
          <w:sz w:val="24"/>
          <w:szCs w:val="24"/>
        </w:rPr>
        <w:t xml:space="preserve"> </w:t>
      </w:r>
      <w:r w:rsidRPr="00BC2968">
        <w:rPr>
          <w:kern w:val="1"/>
          <w:sz w:val="24"/>
          <w:szCs w:val="24"/>
        </w:rPr>
        <w:t xml:space="preserve">prowadzone </w:t>
      </w:r>
      <w:r>
        <w:rPr>
          <w:kern w:val="1"/>
          <w:sz w:val="24"/>
          <w:szCs w:val="24"/>
        </w:rPr>
        <w:t xml:space="preserve"> </w:t>
      </w:r>
      <w:r w:rsidRPr="00BC2968">
        <w:rPr>
          <w:kern w:val="1"/>
          <w:sz w:val="24"/>
          <w:szCs w:val="24"/>
        </w:rPr>
        <w:t>postępowanie,</w:t>
      </w:r>
      <w:r>
        <w:rPr>
          <w:kern w:val="1"/>
          <w:sz w:val="24"/>
          <w:szCs w:val="24"/>
        </w:rPr>
        <w:t xml:space="preserve"> </w:t>
      </w:r>
      <w:r w:rsidRPr="00BC2968">
        <w:rPr>
          <w:kern w:val="1"/>
          <w:sz w:val="24"/>
          <w:szCs w:val="24"/>
        </w:rPr>
        <w:t xml:space="preserve"> począwszy</w:t>
      </w:r>
      <w:r>
        <w:rPr>
          <w:kern w:val="1"/>
          <w:sz w:val="24"/>
          <w:szCs w:val="24"/>
        </w:rPr>
        <w:t xml:space="preserve"> </w:t>
      </w:r>
      <w:r w:rsidRPr="00BC2968">
        <w:rPr>
          <w:kern w:val="1"/>
          <w:sz w:val="24"/>
          <w:szCs w:val="24"/>
        </w:rPr>
        <w:t xml:space="preserve"> od</w:t>
      </w:r>
      <w:r>
        <w:rPr>
          <w:kern w:val="1"/>
          <w:sz w:val="24"/>
          <w:szCs w:val="24"/>
        </w:rPr>
        <w:t xml:space="preserve"> </w:t>
      </w:r>
      <w:r w:rsidRPr="00BC2968">
        <w:rPr>
          <w:kern w:val="1"/>
          <w:sz w:val="24"/>
          <w:szCs w:val="24"/>
        </w:rPr>
        <w:t xml:space="preserve"> pozycji </w:t>
      </w:r>
      <w:r>
        <w:rPr>
          <w:kern w:val="1"/>
          <w:sz w:val="24"/>
          <w:szCs w:val="24"/>
        </w:rPr>
        <w:t xml:space="preserve"> </w:t>
      </w:r>
      <w:r w:rsidRPr="00BC2968">
        <w:rPr>
          <w:kern w:val="1"/>
          <w:sz w:val="24"/>
          <w:szCs w:val="24"/>
        </w:rPr>
        <w:t xml:space="preserve">w </w:t>
      </w:r>
      <w:r>
        <w:rPr>
          <w:kern w:val="1"/>
          <w:sz w:val="24"/>
          <w:szCs w:val="24"/>
        </w:rPr>
        <w:t xml:space="preserve"> </w:t>
      </w:r>
      <w:r w:rsidRPr="00BC2968">
        <w:rPr>
          <w:kern w:val="1"/>
          <w:sz w:val="24"/>
          <w:szCs w:val="24"/>
        </w:rPr>
        <w:t xml:space="preserve">rejestrze </w:t>
      </w:r>
      <w:r>
        <w:rPr>
          <w:kern w:val="1"/>
          <w:sz w:val="24"/>
          <w:szCs w:val="24"/>
        </w:rPr>
        <w:t xml:space="preserve"> </w:t>
      </w:r>
      <w:r w:rsidRPr="00BC2968">
        <w:rPr>
          <w:kern w:val="1"/>
          <w:sz w:val="24"/>
          <w:szCs w:val="24"/>
        </w:rPr>
        <w:t xml:space="preserve">nr </w:t>
      </w:r>
      <w:r>
        <w:rPr>
          <w:kern w:val="1"/>
          <w:sz w:val="24"/>
          <w:szCs w:val="24"/>
        </w:rPr>
        <w:t xml:space="preserve">  </w:t>
      </w:r>
      <w:r w:rsidRPr="00BC2968">
        <w:rPr>
          <w:kern w:val="1"/>
          <w:sz w:val="24"/>
          <w:szCs w:val="24"/>
        </w:rPr>
        <w:t xml:space="preserve">290. </w:t>
      </w:r>
    </w:p>
    <w:p w:rsidR="00BC2968" w:rsidRPr="00BC2968" w:rsidP="00BC2968">
      <w:p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W toku kontroli zespół kontrolerów dokonał szczegółowego sprawdzenia następujących dokumentów:</w:t>
      </w:r>
    </w:p>
    <w:p w:rsidR="00BC2968" w:rsidRPr="00BC2968" w:rsidP="00BC2968">
      <w:pPr>
        <w:numPr>
          <w:ilvl w:val="0"/>
          <w:numId w:val="2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bookmarkStart w:id="3" w:name="_Hlk76641268"/>
      <w:r w:rsidRPr="00BC2968">
        <w:rPr>
          <w:kern w:val="1"/>
          <w:sz w:val="24"/>
          <w:szCs w:val="24"/>
        </w:rPr>
        <w:t>DOM-PJR-II.5430.10.290.2020</w:t>
      </w:r>
      <w:bookmarkEnd w:id="3"/>
      <w:r w:rsidR="000C1934">
        <w:rPr>
          <w:kern w:val="1"/>
          <w:sz w:val="24"/>
          <w:szCs w:val="24"/>
        </w:rPr>
        <w:t>,</w:t>
      </w:r>
    </w:p>
    <w:p w:rsidR="00BC2968" w:rsidRPr="00BC2968" w:rsidP="00BC2968">
      <w:pPr>
        <w:numPr>
          <w:ilvl w:val="0"/>
          <w:numId w:val="2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DOM-PJR-II.5430.10.300.2020</w:t>
      </w:r>
      <w:r w:rsidR="000C1934">
        <w:rPr>
          <w:kern w:val="1"/>
          <w:sz w:val="24"/>
          <w:szCs w:val="24"/>
        </w:rPr>
        <w:t>,</w:t>
      </w:r>
    </w:p>
    <w:p w:rsidR="00BC2968" w:rsidRPr="00BC2968" w:rsidP="00BC2968">
      <w:pPr>
        <w:numPr>
          <w:ilvl w:val="0"/>
          <w:numId w:val="2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DOM-PJR-II.5430.10.310.2020</w:t>
      </w:r>
      <w:r w:rsidR="000C1934">
        <w:rPr>
          <w:kern w:val="1"/>
          <w:sz w:val="24"/>
          <w:szCs w:val="24"/>
        </w:rPr>
        <w:t>,</w:t>
      </w:r>
    </w:p>
    <w:p w:rsidR="00BC2968" w:rsidRPr="00BC2968" w:rsidP="00BC2968">
      <w:pPr>
        <w:numPr>
          <w:ilvl w:val="0"/>
          <w:numId w:val="2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DOM-PJR-II.5430.10.320.2020</w:t>
      </w:r>
      <w:r w:rsidR="000C1934">
        <w:rPr>
          <w:kern w:val="1"/>
          <w:sz w:val="24"/>
          <w:szCs w:val="24"/>
        </w:rPr>
        <w:t>,</w:t>
      </w:r>
    </w:p>
    <w:p w:rsidR="00BC2968" w:rsidRPr="00BC2968" w:rsidP="00BC2968">
      <w:pPr>
        <w:numPr>
          <w:ilvl w:val="0"/>
          <w:numId w:val="2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DOM-PJR-II.5430.10.330.2020</w:t>
      </w:r>
      <w:r w:rsidR="000C1934">
        <w:rPr>
          <w:kern w:val="1"/>
          <w:sz w:val="24"/>
          <w:szCs w:val="24"/>
        </w:rPr>
        <w:t>,</w:t>
      </w:r>
    </w:p>
    <w:p w:rsidR="00BC2968" w:rsidRPr="00BC2968" w:rsidP="00BC2968">
      <w:pPr>
        <w:numPr>
          <w:ilvl w:val="0"/>
          <w:numId w:val="2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DOM-PJR-II.5430.10.340.2020</w:t>
      </w:r>
      <w:r w:rsidR="000C1934">
        <w:rPr>
          <w:kern w:val="1"/>
          <w:sz w:val="24"/>
          <w:szCs w:val="24"/>
        </w:rPr>
        <w:t>,</w:t>
      </w:r>
    </w:p>
    <w:p w:rsidR="00BC2968" w:rsidRPr="00BC2968" w:rsidP="00BC2968">
      <w:pPr>
        <w:numPr>
          <w:ilvl w:val="0"/>
          <w:numId w:val="2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DOM-PJR-II.5430.10.350.2020</w:t>
      </w:r>
      <w:r w:rsidR="000C1934">
        <w:rPr>
          <w:kern w:val="1"/>
          <w:sz w:val="24"/>
          <w:szCs w:val="24"/>
        </w:rPr>
        <w:t>,</w:t>
      </w:r>
    </w:p>
    <w:p w:rsidR="00BC2968" w:rsidRPr="00BC2968" w:rsidP="00BC2968">
      <w:pPr>
        <w:numPr>
          <w:ilvl w:val="0"/>
          <w:numId w:val="2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DOM-PJR-II.5430.10.360.2020</w:t>
      </w:r>
      <w:r w:rsidR="000C1934">
        <w:rPr>
          <w:kern w:val="1"/>
          <w:sz w:val="24"/>
          <w:szCs w:val="24"/>
        </w:rPr>
        <w:t>,</w:t>
      </w:r>
    </w:p>
    <w:p w:rsidR="00BC2968" w:rsidRPr="00BC2968" w:rsidP="00BC2968">
      <w:pPr>
        <w:numPr>
          <w:ilvl w:val="0"/>
          <w:numId w:val="2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DOM-PJR-II.5430.10.370.2020</w:t>
      </w:r>
      <w:r w:rsidR="000C1934">
        <w:rPr>
          <w:kern w:val="1"/>
          <w:sz w:val="24"/>
          <w:szCs w:val="24"/>
        </w:rPr>
        <w:t>,</w:t>
      </w:r>
    </w:p>
    <w:p w:rsidR="00BC2968" w:rsidRPr="00BC2968" w:rsidP="00BC2968">
      <w:pPr>
        <w:numPr>
          <w:ilvl w:val="0"/>
          <w:numId w:val="2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DOM-PJR-II.5430.10.380.2020</w:t>
      </w:r>
      <w:r w:rsidR="000C1934">
        <w:rPr>
          <w:kern w:val="1"/>
          <w:sz w:val="24"/>
          <w:szCs w:val="24"/>
        </w:rPr>
        <w:t>,</w:t>
      </w:r>
    </w:p>
    <w:p w:rsidR="00BC2968" w:rsidRPr="00BC2968" w:rsidP="00BC2968">
      <w:pPr>
        <w:numPr>
          <w:ilvl w:val="0"/>
          <w:numId w:val="2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DOM-PJR-II.5430.10.390.2020</w:t>
      </w:r>
      <w:r w:rsidR="000C1934">
        <w:rPr>
          <w:kern w:val="1"/>
          <w:sz w:val="24"/>
          <w:szCs w:val="24"/>
        </w:rPr>
        <w:t>,</w:t>
      </w:r>
    </w:p>
    <w:p w:rsidR="00BC2968" w:rsidRPr="00BC2968" w:rsidP="00BC2968">
      <w:pPr>
        <w:numPr>
          <w:ilvl w:val="0"/>
          <w:numId w:val="2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DOM-PJR-II.5430.10.400.2020</w:t>
      </w:r>
      <w:r w:rsidR="000C1934">
        <w:rPr>
          <w:kern w:val="1"/>
          <w:sz w:val="24"/>
          <w:szCs w:val="24"/>
        </w:rPr>
        <w:t>,</w:t>
      </w:r>
    </w:p>
    <w:p w:rsidR="00BC2968" w:rsidRPr="00BC2968" w:rsidP="00BC2968">
      <w:pPr>
        <w:numPr>
          <w:ilvl w:val="0"/>
          <w:numId w:val="2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DOM-PJR-II.5430.10.410.2020</w:t>
      </w:r>
      <w:r w:rsidR="000C1934">
        <w:rPr>
          <w:kern w:val="1"/>
          <w:sz w:val="24"/>
          <w:szCs w:val="24"/>
        </w:rPr>
        <w:t>,</w:t>
      </w:r>
    </w:p>
    <w:p w:rsidR="00BC2968" w:rsidRPr="00BC2968" w:rsidP="00BC2968">
      <w:pPr>
        <w:numPr>
          <w:ilvl w:val="0"/>
          <w:numId w:val="2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DOM-PJR-II.5430.10.420.2020</w:t>
      </w:r>
      <w:r w:rsidR="000C1934">
        <w:rPr>
          <w:kern w:val="1"/>
          <w:sz w:val="24"/>
          <w:szCs w:val="24"/>
        </w:rPr>
        <w:t>,</w:t>
      </w:r>
    </w:p>
    <w:p w:rsidR="00BC2968" w:rsidRPr="00BC2968" w:rsidP="00BC2968">
      <w:pPr>
        <w:numPr>
          <w:ilvl w:val="0"/>
          <w:numId w:val="2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DOM-PJR-II.5430.10.430.2020</w:t>
      </w:r>
      <w:r w:rsidR="000C1934">
        <w:rPr>
          <w:kern w:val="1"/>
          <w:sz w:val="24"/>
          <w:szCs w:val="24"/>
        </w:rPr>
        <w:t>,</w:t>
      </w:r>
    </w:p>
    <w:p w:rsidR="00BC2968" w:rsidRPr="00BC2968" w:rsidP="00BC2968">
      <w:pPr>
        <w:numPr>
          <w:ilvl w:val="0"/>
          <w:numId w:val="2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DOM-PJR-II.5430.10.440.2020</w:t>
      </w:r>
      <w:r w:rsidR="000C1934">
        <w:rPr>
          <w:kern w:val="1"/>
          <w:sz w:val="24"/>
          <w:szCs w:val="24"/>
        </w:rPr>
        <w:t>,</w:t>
      </w:r>
    </w:p>
    <w:p w:rsidR="00BC2968" w:rsidRPr="00BC2968" w:rsidP="00BC2968">
      <w:pPr>
        <w:numPr>
          <w:ilvl w:val="0"/>
          <w:numId w:val="2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DOM-PJR-II.5430.10.450.2020</w:t>
      </w:r>
      <w:r w:rsidR="000C1934">
        <w:rPr>
          <w:kern w:val="1"/>
          <w:sz w:val="24"/>
          <w:szCs w:val="24"/>
        </w:rPr>
        <w:t>,</w:t>
      </w:r>
    </w:p>
    <w:p w:rsidR="00BC2968" w:rsidRPr="00BC2968" w:rsidP="00BC2968">
      <w:pPr>
        <w:numPr>
          <w:ilvl w:val="0"/>
          <w:numId w:val="2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DOM-PJR-II.5430.10.460.2020</w:t>
      </w:r>
      <w:r w:rsidR="000C1934">
        <w:rPr>
          <w:kern w:val="1"/>
          <w:sz w:val="24"/>
          <w:szCs w:val="24"/>
        </w:rPr>
        <w:t>,</w:t>
      </w:r>
    </w:p>
    <w:p w:rsidR="00BC2968" w:rsidRPr="00BC2968" w:rsidP="00BC2968">
      <w:pPr>
        <w:numPr>
          <w:ilvl w:val="0"/>
          <w:numId w:val="2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DOM-PJR-II.5430.10.470.2020</w:t>
      </w:r>
      <w:r w:rsidR="000C1934">
        <w:rPr>
          <w:kern w:val="1"/>
          <w:sz w:val="24"/>
          <w:szCs w:val="24"/>
        </w:rPr>
        <w:t>,</w:t>
      </w:r>
    </w:p>
    <w:p w:rsidR="00BC2968" w:rsidRPr="00BC2968" w:rsidP="00BC2968">
      <w:pPr>
        <w:numPr>
          <w:ilvl w:val="0"/>
          <w:numId w:val="2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DOM-PJR-II.5430.10.480.2020</w:t>
      </w:r>
      <w:r w:rsidR="000C1934">
        <w:rPr>
          <w:kern w:val="1"/>
          <w:sz w:val="24"/>
          <w:szCs w:val="24"/>
        </w:rPr>
        <w:t>,</w:t>
      </w:r>
    </w:p>
    <w:p w:rsidR="00BC2968" w:rsidRPr="00BC2968" w:rsidP="00BC2968">
      <w:pPr>
        <w:numPr>
          <w:ilvl w:val="0"/>
          <w:numId w:val="2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DOM-PJR-II.5430.10.490.2020</w:t>
      </w:r>
      <w:r w:rsidR="000C1934">
        <w:rPr>
          <w:kern w:val="1"/>
          <w:sz w:val="24"/>
          <w:szCs w:val="24"/>
        </w:rPr>
        <w:t>,</w:t>
      </w:r>
    </w:p>
    <w:p w:rsidR="00BC2968" w:rsidRPr="00BC2968" w:rsidP="00BC2968">
      <w:pPr>
        <w:numPr>
          <w:ilvl w:val="0"/>
          <w:numId w:val="2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DOM-PJR-II.5430.10.500.2020</w:t>
      </w:r>
      <w:r w:rsidR="000C1934">
        <w:rPr>
          <w:kern w:val="1"/>
          <w:sz w:val="24"/>
          <w:szCs w:val="24"/>
        </w:rPr>
        <w:t>,</w:t>
      </w:r>
    </w:p>
    <w:p w:rsidR="00BC2968" w:rsidRPr="00BC2968" w:rsidP="00BC2968">
      <w:pPr>
        <w:numPr>
          <w:ilvl w:val="0"/>
          <w:numId w:val="2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DOM-PJR-II.5430.10.510.2020</w:t>
      </w:r>
      <w:r w:rsidR="000C1934">
        <w:rPr>
          <w:kern w:val="1"/>
          <w:sz w:val="24"/>
          <w:szCs w:val="24"/>
        </w:rPr>
        <w:t>,</w:t>
      </w:r>
    </w:p>
    <w:p w:rsidR="00BC2968" w:rsidRPr="00BC2968" w:rsidP="00BC2968">
      <w:pPr>
        <w:numPr>
          <w:ilvl w:val="0"/>
          <w:numId w:val="2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DOM-PJR-II.5430.10.520.2020</w:t>
      </w:r>
      <w:r w:rsidR="000C1934">
        <w:rPr>
          <w:kern w:val="1"/>
          <w:sz w:val="24"/>
          <w:szCs w:val="24"/>
        </w:rPr>
        <w:t>,</w:t>
      </w:r>
    </w:p>
    <w:p w:rsidR="00BC2968" w:rsidRPr="00BC2968" w:rsidP="00BC2968">
      <w:pPr>
        <w:numPr>
          <w:ilvl w:val="0"/>
          <w:numId w:val="2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DOM-PJR-II.5430.10.530.2020</w:t>
      </w:r>
      <w:r w:rsidR="000C1934">
        <w:rPr>
          <w:kern w:val="1"/>
          <w:sz w:val="24"/>
          <w:szCs w:val="24"/>
        </w:rPr>
        <w:t>,</w:t>
      </w:r>
    </w:p>
    <w:p w:rsidR="00BC2968" w:rsidRPr="00BC2968" w:rsidP="00BC2968">
      <w:pPr>
        <w:numPr>
          <w:ilvl w:val="0"/>
          <w:numId w:val="2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DOM-PJR-II.5430.10.540.2020</w:t>
      </w:r>
      <w:r w:rsidR="000C1934">
        <w:rPr>
          <w:kern w:val="1"/>
          <w:sz w:val="24"/>
          <w:szCs w:val="24"/>
        </w:rPr>
        <w:t>,</w:t>
      </w:r>
    </w:p>
    <w:p w:rsidR="00BC2968" w:rsidRPr="00BC2968" w:rsidP="00BC2968">
      <w:pPr>
        <w:numPr>
          <w:ilvl w:val="0"/>
          <w:numId w:val="2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DOM-PJR-II.5430.10.550.2020</w:t>
      </w:r>
      <w:r w:rsidR="000C1934">
        <w:rPr>
          <w:kern w:val="1"/>
          <w:sz w:val="24"/>
          <w:szCs w:val="24"/>
        </w:rPr>
        <w:t>,</w:t>
      </w:r>
    </w:p>
    <w:p w:rsidR="00BC2968" w:rsidRPr="00BC2968" w:rsidP="00BC2968">
      <w:pPr>
        <w:numPr>
          <w:ilvl w:val="0"/>
          <w:numId w:val="2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DOM-PJR-II.5430.10.560.2020</w:t>
      </w:r>
      <w:r w:rsidR="000C1934">
        <w:rPr>
          <w:kern w:val="1"/>
          <w:sz w:val="24"/>
          <w:szCs w:val="24"/>
        </w:rPr>
        <w:t>,</w:t>
      </w:r>
    </w:p>
    <w:p w:rsidR="00BC2968" w:rsidRPr="00BC2968" w:rsidP="00BC2968">
      <w:pPr>
        <w:numPr>
          <w:ilvl w:val="0"/>
          <w:numId w:val="2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DOM-PJR-II.5430.10.570.2020</w:t>
      </w:r>
      <w:r w:rsidR="000C1934">
        <w:rPr>
          <w:kern w:val="1"/>
          <w:sz w:val="24"/>
          <w:szCs w:val="24"/>
        </w:rPr>
        <w:t>,</w:t>
      </w:r>
    </w:p>
    <w:p w:rsidR="00BC2968" w:rsidRPr="00BC2968" w:rsidP="00BC2968">
      <w:pPr>
        <w:numPr>
          <w:ilvl w:val="0"/>
          <w:numId w:val="2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DOM-PJR-II.5430.10.580.2020</w:t>
      </w:r>
      <w:r w:rsidR="000C1934">
        <w:rPr>
          <w:kern w:val="1"/>
          <w:sz w:val="24"/>
          <w:szCs w:val="24"/>
        </w:rPr>
        <w:t>.</w:t>
      </w:r>
    </w:p>
    <w:p w:rsidR="00BC2968" w:rsidRPr="00BC2968" w:rsidP="00BC2968">
      <w:p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W trakcie kontroli stwierdzono, że każdorazowo spełnione zostały przesłanki niezbędne do rozstrzygnięcia powyższych postępowań, określone dl</w:t>
      </w:r>
      <w:r w:rsidR="000C1934">
        <w:rPr>
          <w:kern w:val="1"/>
          <w:sz w:val="24"/>
          <w:szCs w:val="24"/>
        </w:rPr>
        <w:t>a poszczególnych ich rodzajów w </w:t>
      </w:r>
      <w:r w:rsidRPr="00BC2968">
        <w:rPr>
          <w:kern w:val="1"/>
          <w:sz w:val="24"/>
          <w:szCs w:val="24"/>
        </w:rPr>
        <w:t>ustawie z dnia 5 stycznia 2011 roku o kierujących pojazdami. Prezydent Miasta Łodzi prawidłowo stosował przepisy prawa materialnego jako podstawę do wymiany praw jazdy zagranicznych na prawa jazdy polskie, co należy ocenić pozytywnie.</w:t>
      </w:r>
    </w:p>
    <w:p w:rsidR="00BC2968" w:rsidRPr="00BC2968" w:rsidP="00BC2968">
      <w:p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 xml:space="preserve">W toku czynności kontrolnych kontrolerzy ustalili, że: </w:t>
      </w:r>
    </w:p>
    <w:p w:rsidR="00BC2968" w:rsidRPr="000C1934" w:rsidP="000C1934">
      <w:pPr>
        <w:pStyle w:val="ListParagraph"/>
        <w:numPr>
          <w:ilvl w:val="0"/>
          <w:numId w:val="4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0C1934">
        <w:rPr>
          <w:kern w:val="1"/>
          <w:sz w:val="24"/>
          <w:szCs w:val="24"/>
        </w:rPr>
        <w:t>w 20 postępowaniach zostały wydane decyzje o wymianie zagranicznego prawa jazdy na odpowiednik krajowego prawa jazdy;</w:t>
      </w:r>
    </w:p>
    <w:p w:rsidR="00BC2968" w:rsidRPr="000C1934" w:rsidP="000C1934">
      <w:pPr>
        <w:pStyle w:val="ListParagraph"/>
        <w:numPr>
          <w:ilvl w:val="0"/>
          <w:numId w:val="4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0C1934">
        <w:rPr>
          <w:kern w:val="1"/>
          <w:sz w:val="24"/>
          <w:szCs w:val="24"/>
        </w:rPr>
        <w:t>w 6 przypadkach wymiana zagranicznego prawa jazdy na polski odpowiednik związana była z wymogiem złożenia z wynikiem pozytywnym egzaminu z części teoretycznej;</w:t>
      </w:r>
    </w:p>
    <w:p w:rsidR="00BC2968" w:rsidP="000C1934">
      <w:pPr>
        <w:pStyle w:val="ListParagraph"/>
        <w:numPr>
          <w:ilvl w:val="0"/>
          <w:numId w:val="4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0C1934">
        <w:rPr>
          <w:kern w:val="1"/>
          <w:sz w:val="24"/>
          <w:szCs w:val="24"/>
        </w:rPr>
        <w:t>w 10 przypadkach postępowanie nie jest zakończone.</w:t>
      </w:r>
    </w:p>
    <w:p w:rsidR="00E505DC" w:rsidRPr="000C1934" w:rsidP="00E505DC">
      <w:pPr>
        <w:pStyle w:val="ListParagraph"/>
        <w:snapToGrid w:val="0"/>
        <w:spacing w:line="360" w:lineRule="auto"/>
        <w:jc w:val="both"/>
        <w:rPr>
          <w:kern w:val="1"/>
          <w:sz w:val="24"/>
          <w:szCs w:val="24"/>
        </w:rPr>
      </w:pPr>
    </w:p>
    <w:p w:rsidR="00BC2968" w:rsidRPr="00BC2968" w:rsidP="00BC2968">
      <w:p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 xml:space="preserve">W dwóch przypadkach, to jest w DOM-PJR-II.5430.10.510.2020 i DOM-PJR-II.5430.10.520.2020,  stwierdzono błędne nadanie sygnatury sprawy w kolejno wpływającej dokumentacji, co w ocenie kontrolerów stanowi uchybienie. </w:t>
      </w:r>
    </w:p>
    <w:p w:rsidR="00BC2968" w:rsidRPr="00BC2968" w:rsidP="00BC2968">
      <w:p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 xml:space="preserve">W toku kontroli sprawdzono wybrane elementy postępowania administracyjnego takie jak: </w:t>
      </w:r>
    </w:p>
    <w:p w:rsidR="00BC2968" w:rsidRPr="000C1934" w:rsidP="000C1934">
      <w:pPr>
        <w:pStyle w:val="ListParagraph"/>
        <w:numPr>
          <w:ilvl w:val="0"/>
          <w:numId w:val="3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0C1934">
        <w:rPr>
          <w:kern w:val="1"/>
          <w:sz w:val="24"/>
          <w:szCs w:val="24"/>
        </w:rPr>
        <w:t xml:space="preserve">przestrzeganie właściwości; </w:t>
      </w:r>
    </w:p>
    <w:p w:rsidR="00BC2968" w:rsidRPr="000C1934" w:rsidP="000C1934">
      <w:pPr>
        <w:pStyle w:val="ListParagraph"/>
        <w:numPr>
          <w:ilvl w:val="0"/>
          <w:numId w:val="3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0C1934">
        <w:rPr>
          <w:kern w:val="1"/>
          <w:sz w:val="24"/>
          <w:szCs w:val="24"/>
        </w:rPr>
        <w:t xml:space="preserve">realizacja obowiązku zapewnienia stronom czynnego udziału w postępowaniu administracyjnym; </w:t>
      </w:r>
    </w:p>
    <w:p w:rsidR="00BC2968" w:rsidRPr="000C1934" w:rsidP="000C1934">
      <w:pPr>
        <w:pStyle w:val="ListParagraph"/>
        <w:numPr>
          <w:ilvl w:val="0"/>
          <w:numId w:val="3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0C1934">
        <w:rPr>
          <w:kern w:val="1"/>
          <w:sz w:val="24"/>
          <w:szCs w:val="24"/>
        </w:rPr>
        <w:t xml:space="preserve">terminowość załatwiania spraw administracyjnych; </w:t>
      </w:r>
    </w:p>
    <w:p w:rsidR="00BC2968" w:rsidP="000C1934">
      <w:pPr>
        <w:pStyle w:val="ListParagraph"/>
        <w:numPr>
          <w:ilvl w:val="0"/>
          <w:numId w:val="3"/>
        </w:num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0C1934">
        <w:rPr>
          <w:kern w:val="1"/>
          <w:sz w:val="24"/>
          <w:szCs w:val="24"/>
        </w:rPr>
        <w:t xml:space="preserve">przestrzeganie zasady szybkości postępowania. </w:t>
      </w:r>
    </w:p>
    <w:p w:rsidR="00E505DC" w:rsidRPr="000C1934" w:rsidP="00E505DC">
      <w:pPr>
        <w:pStyle w:val="ListParagraph"/>
        <w:snapToGrid w:val="0"/>
        <w:spacing w:line="360" w:lineRule="auto"/>
        <w:jc w:val="both"/>
        <w:rPr>
          <w:kern w:val="1"/>
          <w:sz w:val="24"/>
          <w:szCs w:val="24"/>
        </w:rPr>
      </w:pPr>
    </w:p>
    <w:p w:rsidR="00BC2968" w:rsidRPr="00BC2968" w:rsidP="00BC2968">
      <w:pPr>
        <w:snapToGrid w:val="0"/>
        <w:spacing w:line="360" w:lineRule="auto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W wyniku kontroli stwierdzono, że wszystkie postępowania były prowadzone przez upoważnione osoby w ustawowo określonych terminach. Wszystkie zakończone postepowania kończyły się protokołem odczytania decyzji, zawierającym uzasadnienie oraz prawidłowe pouczenie o prawie do wniesienia przez stronę odwołania.</w:t>
      </w:r>
    </w:p>
    <w:p w:rsidR="00BC2968" w:rsidRPr="00BC2968" w:rsidP="00BC2968">
      <w:pPr>
        <w:snapToGrid w:val="0"/>
        <w:spacing w:line="360" w:lineRule="auto"/>
        <w:jc w:val="center"/>
        <w:rPr>
          <w:kern w:val="1"/>
          <w:sz w:val="24"/>
          <w:szCs w:val="24"/>
        </w:rPr>
      </w:pPr>
    </w:p>
    <w:p w:rsidR="00BC2968" w:rsidRPr="00BC2968" w:rsidP="00BC2968">
      <w:pPr>
        <w:snapToGrid w:val="0"/>
        <w:spacing w:line="360" w:lineRule="auto"/>
        <w:jc w:val="center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III . Rejestr wymiany zagranicznych praw jazdy.</w:t>
      </w:r>
    </w:p>
    <w:p w:rsidR="00BC2968" w:rsidRPr="00BC2968" w:rsidP="00BC2968">
      <w:pPr>
        <w:snapToGrid w:val="0"/>
        <w:spacing w:line="360" w:lineRule="auto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W</w:t>
      </w:r>
      <w:r>
        <w:rPr>
          <w:kern w:val="1"/>
          <w:sz w:val="24"/>
          <w:szCs w:val="24"/>
        </w:rPr>
        <w:t xml:space="preserve"> </w:t>
      </w:r>
      <w:r w:rsidRPr="00BC2968">
        <w:rPr>
          <w:kern w:val="1"/>
          <w:sz w:val="24"/>
          <w:szCs w:val="24"/>
        </w:rPr>
        <w:t xml:space="preserve"> trakcie</w:t>
      </w:r>
      <w:r>
        <w:rPr>
          <w:kern w:val="1"/>
          <w:sz w:val="24"/>
          <w:szCs w:val="24"/>
        </w:rPr>
        <w:t xml:space="preserve"> </w:t>
      </w:r>
      <w:r w:rsidRPr="00BC2968">
        <w:rPr>
          <w:kern w:val="1"/>
          <w:sz w:val="24"/>
          <w:szCs w:val="24"/>
        </w:rPr>
        <w:t xml:space="preserve"> kontroli</w:t>
      </w:r>
      <w:r>
        <w:rPr>
          <w:kern w:val="1"/>
          <w:sz w:val="24"/>
          <w:szCs w:val="24"/>
        </w:rPr>
        <w:t xml:space="preserve"> </w:t>
      </w:r>
      <w:r w:rsidRPr="00BC2968">
        <w:rPr>
          <w:kern w:val="1"/>
          <w:sz w:val="24"/>
          <w:szCs w:val="24"/>
        </w:rPr>
        <w:t xml:space="preserve"> stwierdzono</w:t>
      </w:r>
      <w:r>
        <w:rPr>
          <w:kern w:val="1"/>
          <w:sz w:val="24"/>
          <w:szCs w:val="24"/>
        </w:rPr>
        <w:t xml:space="preserve">, </w:t>
      </w:r>
      <w:r w:rsidRPr="00BC2968">
        <w:rPr>
          <w:kern w:val="1"/>
          <w:sz w:val="24"/>
          <w:szCs w:val="24"/>
        </w:rPr>
        <w:t xml:space="preserve"> że </w:t>
      </w:r>
      <w:r>
        <w:rPr>
          <w:kern w:val="1"/>
          <w:sz w:val="24"/>
          <w:szCs w:val="24"/>
        </w:rPr>
        <w:t xml:space="preserve"> </w:t>
      </w:r>
      <w:r w:rsidRPr="00BC2968">
        <w:rPr>
          <w:kern w:val="1"/>
          <w:sz w:val="24"/>
          <w:szCs w:val="24"/>
        </w:rPr>
        <w:t xml:space="preserve">w </w:t>
      </w:r>
      <w:r>
        <w:rPr>
          <w:kern w:val="1"/>
          <w:sz w:val="24"/>
          <w:szCs w:val="24"/>
        </w:rPr>
        <w:t xml:space="preserve"> </w:t>
      </w:r>
      <w:r w:rsidRPr="00BC2968">
        <w:rPr>
          <w:kern w:val="1"/>
          <w:sz w:val="24"/>
          <w:szCs w:val="24"/>
        </w:rPr>
        <w:t>jednostce</w:t>
      </w:r>
      <w:r>
        <w:rPr>
          <w:kern w:val="1"/>
          <w:sz w:val="24"/>
          <w:szCs w:val="24"/>
        </w:rPr>
        <w:t xml:space="preserve"> </w:t>
      </w:r>
      <w:r w:rsidRPr="00BC2968">
        <w:rPr>
          <w:kern w:val="1"/>
          <w:sz w:val="24"/>
          <w:szCs w:val="24"/>
        </w:rPr>
        <w:t xml:space="preserve"> kontrolowanej prowadzona jest ewidencja wymiany zagranicznych praw jazdy na odpowiedniki krajowe. Kontrolującym przedstawiono wydruk przedmiotowego rejestru, który zawiera następujące elementy :</w:t>
      </w:r>
    </w:p>
    <w:p w:rsidR="00BC2968" w:rsidRPr="003451F8" w:rsidP="003451F8">
      <w:pPr>
        <w:pStyle w:val="ListParagraph"/>
        <w:numPr>
          <w:ilvl w:val="0"/>
          <w:numId w:val="5"/>
        </w:numPr>
        <w:snapToGrid w:val="0"/>
        <w:spacing w:line="360" w:lineRule="auto"/>
        <w:rPr>
          <w:kern w:val="1"/>
          <w:sz w:val="24"/>
          <w:szCs w:val="24"/>
        </w:rPr>
      </w:pPr>
      <w:r w:rsidRPr="003451F8">
        <w:rPr>
          <w:kern w:val="1"/>
          <w:sz w:val="24"/>
          <w:szCs w:val="24"/>
        </w:rPr>
        <w:t>data przyjęcia wniosku</w:t>
      </w:r>
      <w:r w:rsidR="00E505DC">
        <w:rPr>
          <w:kern w:val="1"/>
          <w:sz w:val="24"/>
          <w:szCs w:val="24"/>
        </w:rPr>
        <w:t>,</w:t>
      </w:r>
      <w:r w:rsidRPr="003451F8">
        <w:rPr>
          <w:kern w:val="1"/>
          <w:sz w:val="24"/>
          <w:szCs w:val="24"/>
        </w:rPr>
        <w:t xml:space="preserve"> </w:t>
      </w:r>
    </w:p>
    <w:p w:rsidR="00BC2968" w:rsidRPr="003451F8" w:rsidP="003451F8">
      <w:pPr>
        <w:pStyle w:val="ListParagraph"/>
        <w:numPr>
          <w:ilvl w:val="0"/>
          <w:numId w:val="5"/>
        </w:numPr>
        <w:snapToGrid w:val="0"/>
        <w:spacing w:line="360" w:lineRule="auto"/>
        <w:rPr>
          <w:kern w:val="1"/>
          <w:sz w:val="24"/>
          <w:szCs w:val="24"/>
        </w:rPr>
      </w:pPr>
      <w:r w:rsidRPr="003451F8">
        <w:rPr>
          <w:kern w:val="1"/>
          <w:sz w:val="24"/>
          <w:szCs w:val="24"/>
        </w:rPr>
        <w:t>od kogo wpłynął</w:t>
      </w:r>
      <w:r w:rsidR="00E505DC">
        <w:rPr>
          <w:kern w:val="1"/>
          <w:sz w:val="24"/>
          <w:szCs w:val="24"/>
        </w:rPr>
        <w:t>,</w:t>
      </w:r>
    </w:p>
    <w:p w:rsidR="00BC2968" w:rsidRPr="003451F8" w:rsidP="003451F8">
      <w:pPr>
        <w:pStyle w:val="ListParagraph"/>
        <w:numPr>
          <w:ilvl w:val="0"/>
          <w:numId w:val="5"/>
        </w:numPr>
        <w:snapToGrid w:val="0"/>
        <w:spacing w:line="360" w:lineRule="auto"/>
        <w:rPr>
          <w:kern w:val="1"/>
          <w:sz w:val="24"/>
          <w:szCs w:val="24"/>
        </w:rPr>
      </w:pPr>
      <w:r w:rsidRPr="003451F8">
        <w:rPr>
          <w:kern w:val="1"/>
          <w:sz w:val="24"/>
          <w:szCs w:val="24"/>
        </w:rPr>
        <w:t>rodzaj sprawy</w:t>
      </w:r>
      <w:r w:rsidR="00E505DC">
        <w:rPr>
          <w:kern w:val="1"/>
          <w:sz w:val="24"/>
          <w:szCs w:val="24"/>
        </w:rPr>
        <w:t>,</w:t>
      </w:r>
    </w:p>
    <w:p w:rsidR="00BC2968" w:rsidRPr="003451F8" w:rsidP="003451F8">
      <w:pPr>
        <w:pStyle w:val="ListParagraph"/>
        <w:numPr>
          <w:ilvl w:val="0"/>
          <w:numId w:val="5"/>
        </w:numPr>
        <w:snapToGrid w:val="0"/>
        <w:spacing w:line="360" w:lineRule="auto"/>
        <w:rPr>
          <w:kern w:val="1"/>
          <w:sz w:val="24"/>
          <w:szCs w:val="24"/>
        </w:rPr>
      </w:pPr>
      <w:r w:rsidRPr="003451F8">
        <w:rPr>
          <w:kern w:val="1"/>
          <w:sz w:val="24"/>
          <w:szCs w:val="24"/>
        </w:rPr>
        <w:t>osoba realizująca wniosek</w:t>
      </w:r>
      <w:r w:rsidR="00E505DC">
        <w:rPr>
          <w:kern w:val="1"/>
          <w:sz w:val="24"/>
          <w:szCs w:val="24"/>
        </w:rPr>
        <w:t>,</w:t>
      </w:r>
    </w:p>
    <w:p w:rsidR="00BC2968" w:rsidP="003451F8">
      <w:pPr>
        <w:pStyle w:val="ListParagraph"/>
        <w:numPr>
          <w:ilvl w:val="0"/>
          <w:numId w:val="5"/>
        </w:numPr>
        <w:snapToGrid w:val="0"/>
        <w:spacing w:line="360" w:lineRule="auto"/>
        <w:rPr>
          <w:kern w:val="1"/>
          <w:sz w:val="24"/>
          <w:szCs w:val="24"/>
        </w:rPr>
      </w:pPr>
      <w:r w:rsidRPr="003451F8">
        <w:rPr>
          <w:kern w:val="1"/>
          <w:sz w:val="24"/>
          <w:szCs w:val="24"/>
        </w:rPr>
        <w:t>data i sposób zakończenia sprawy</w:t>
      </w:r>
      <w:r w:rsidR="00E505DC">
        <w:rPr>
          <w:kern w:val="1"/>
          <w:sz w:val="24"/>
          <w:szCs w:val="24"/>
        </w:rPr>
        <w:t>.</w:t>
      </w:r>
    </w:p>
    <w:p w:rsidR="00E505DC" w:rsidRPr="003451F8" w:rsidP="00E505DC">
      <w:pPr>
        <w:pStyle w:val="ListParagraph"/>
        <w:snapToGrid w:val="0"/>
        <w:spacing w:line="360" w:lineRule="auto"/>
        <w:rPr>
          <w:kern w:val="1"/>
          <w:sz w:val="24"/>
          <w:szCs w:val="24"/>
        </w:rPr>
      </w:pPr>
    </w:p>
    <w:p w:rsidR="00BC2968" w:rsidRPr="00BC2968" w:rsidP="00BC2968">
      <w:pPr>
        <w:snapToGrid w:val="0"/>
        <w:spacing w:line="360" w:lineRule="auto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>Prowadzenie ewidencji wymiany zagranicznych praw jazdy na polskie prawa jazdy ocenia się pozytywnie.</w:t>
      </w:r>
    </w:p>
    <w:p w:rsidR="00BC2968" w:rsidP="00BC2968">
      <w:pPr>
        <w:snapToGrid w:val="0"/>
        <w:spacing w:line="360" w:lineRule="auto"/>
        <w:rPr>
          <w:kern w:val="1"/>
          <w:sz w:val="24"/>
          <w:szCs w:val="24"/>
        </w:rPr>
      </w:pPr>
    </w:p>
    <w:p w:rsidR="00E505DC" w:rsidP="00BC2968">
      <w:pPr>
        <w:snapToGrid w:val="0"/>
        <w:spacing w:line="360" w:lineRule="auto"/>
        <w:rPr>
          <w:kern w:val="1"/>
          <w:sz w:val="24"/>
          <w:szCs w:val="24"/>
        </w:rPr>
      </w:pPr>
    </w:p>
    <w:p w:rsidR="00E505DC" w:rsidRPr="00BC2968" w:rsidP="00BC2968">
      <w:pPr>
        <w:snapToGrid w:val="0"/>
        <w:spacing w:line="360" w:lineRule="auto"/>
        <w:rPr>
          <w:kern w:val="1"/>
          <w:sz w:val="24"/>
          <w:szCs w:val="24"/>
        </w:rPr>
      </w:pPr>
    </w:p>
    <w:p w:rsidR="00BC2968" w:rsidRPr="00BC2968" w:rsidP="00BC2968">
      <w:pPr>
        <w:snapToGrid w:val="0"/>
        <w:spacing w:line="360" w:lineRule="auto"/>
        <w:ind w:firstLine="709"/>
        <w:jc w:val="both"/>
        <w:rPr>
          <w:kern w:val="1"/>
          <w:sz w:val="24"/>
          <w:szCs w:val="24"/>
        </w:rPr>
      </w:pPr>
      <w:r w:rsidRPr="00BC2968">
        <w:rPr>
          <w:kern w:val="1"/>
          <w:sz w:val="24"/>
          <w:szCs w:val="24"/>
        </w:rPr>
        <w:t xml:space="preserve">Reasumując, opisane powyżej ustalenia w przedmiocie i okresie objętym kontrolą uzasadniają wydanie jednostce kontrolowanej oceny </w:t>
      </w:r>
      <w:r w:rsidRPr="00BC2968">
        <w:rPr>
          <w:b/>
          <w:kern w:val="1"/>
          <w:sz w:val="24"/>
          <w:szCs w:val="24"/>
        </w:rPr>
        <w:t>pozytywnej</w:t>
      </w:r>
      <w:r w:rsidRPr="00BC2968">
        <w:rPr>
          <w:kern w:val="1"/>
          <w:sz w:val="24"/>
          <w:szCs w:val="24"/>
        </w:rPr>
        <w:t>.</w:t>
      </w:r>
    </w:p>
    <w:p w:rsidR="00E505DC" w:rsidP="00E505DC">
      <w:pPr>
        <w:pStyle w:val="NormalnyWeb1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Stosownie do § 47 Regulaminu Kontroli Łódzkiego Urzędu Wojewódzkiego  w Łodzi, stanowiącego załącznik do Zarządzenia  Nr 3/2018 Wojewody Łódzkiego z dnia 12 stycznia 2018 r. w sprawie wprowadzenia Regulaminu Kontroli Łódzkiego</w:t>
      </w:r>
      <w:r w:rsidR="006A2165">
        <w:rPr>
          <w:sz w:val="24"/>
          <w:szCs w:val="24"/>
        </w:rPr>
        <w:t xml:space="preserve"> Urzędu Wojewódzkiego  w  Łodzi, </w:t>
      </w:r>
      <w:bookmarkStart w:id="4" w:name="_GoBack"/>
      <w:bookmarkEnd w:id="4"/>
      <w:r>
        <w:rPr>
          <w:sz w:val="24"/>
          <w:szCs w:val="24"/>
        </w:rPr>
        <w:t>przekazuję Pan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niniejsze wystąpienie pokontrolne, które zostało sporządzone na  podstawie projektu wystąpienia pokontrolnego.</w:t>
      </w:r>
    </w:p>
    <w:p w:rsidR="00E505DC" w:rsidP="00E505DC">
      <w:pPr>
        <w:pStyle w:val="NormalnyWeb1"/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§ 48 ww. Regulaminu Kontroli od wystąpienia pokontrolnego nie przysługują środki odwoławcze. </w:t>
      </w:r>
    </w:p>
    <w:p w:rsidR="00E505DC" w:rsidRPr="00371A54" w:rsidP="00E505DC">
      <w:pPr>
        <w:spacing w:line="360" w:lineRule="auto"/>
        <w:ind w:firstLine="708"/>
        <w:jc w:val="both"/>
      </w:pPr>
    </w:p>
    <w:p w:rsidR="001D4AAA" w:rsidP="00E505DC">
      <w:pPr>
        <w:spacing w:line="480" w:lineRule="auto"/>
        <w:rPr>
          <w:b/>
          <w:bCs/>
          <w:color w:val="000000"/>
          <w:sz w:val="24"/>
          <w:szCs w:val="24"/>
          <w:lang w:eastAsia="pl-PL"/>
        </w:rPr>
      </w:pPr>
    </w:p>
    <w:p w:rsidR="0042673C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1D4AAA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i/>
          <w:iCs/>
          <w:color w:val="000000"/>
          <w:sz w:val="24"/>
          <w:szCs w:val="24"/>
          <w:lang w:eastAsia="pl-PL"/>
        </w:rPr>
        <w:t>Bogumiła Kapusta</w:t>
      </w:r>
      <w:r>
        <w:rPr>
          <w:b/>
          <w:bCs/>
          <w:i/>
          <w:iCs/>
          <w:color w:val="000000"/>
          <w:sz w:val="24"/>
          <w:szCs w:val="24"/>
          <w:lang w:eastAsia="pl-PL"/>
        </w:rPr>
        <w:br/>
      </w:r>
      <w:r>
        <w:rPr>
          <w:b/>
          <w:bCs/>
          <w:iCs/>
          <w:color w:val="000000"/>
          <w:sz w:val="24"/>
          <w:szCs w:val="24"/>
          <w:lang w:eastAsia="pl-PL"/>
        </w:rPr>
        <w:t>Dyrektor Wydziału Rolnictwa i Transportu</w:t>
      </w:r>
    </w:p>
    <w:sectPr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AAA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AAA">
    <w:pPr>
      <w:pStyle w:val="Stopka1"/>
      <w:jc w:val="center"/>
      <w:rPr>
        <w:sz w:val="14"/>
      </w:rPr>
    </w:pPr>
    <w:r>
      <w:rPr>
        <w:b/>
        <w:sz w:val="14"/>
      </w:rPr>
      <w:t>ŁÓDZKI URZĄD WOJEWÓDZKI W ŁODZI</w:t>
    </w:r>
  </w:p>
  <w:p w:rsidR="001D4AAA">
    <w:pPr>
      <w:pStyle w:val="Stopka1"/>
      <w:jc w:val="center"/>
    </w:pPr>
    <w:r>
      <w:rPr>
        <w:sz w:val="14"/>
      </w:rPr>
      <w:t>90-926 Łódź, ul. Piotrkowska 104, tel.: (+48) 42 664 11 85, fax: (+48) 42 664 10 40 Elektroniczna Skrzynka Podawcza ePUAP: /lodzuw/SkrytkaESP</w:t>
    </w:r>
  </w:p>
  <w:p w:rsidR="001D4AAA">
    <w:pPr>
      <w:pStyle w:val="Stopka1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 w:rsidR="00FB7D2F">
      <w:rPr>
        <w:rStyle w:val="czeinternetowe"/>
        <w:sz w:val="16"/>
        <w:szCs w:val="16"/>
      </w:rPr>
      <w:t>https://www.gov.pl/web/uw-lodzki</w:t>
    </w:r>
    <w:r>
      <w:fldChar w:fldCharType="end"/>
    </w:r>
  </w:p>
  <w:p w:rsidR="001D4AAA">
    <w:pPr>
      <w:pStyle w:val="Stopka1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AAA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AAA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2310" cy="85788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9398" t="4762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FD670D5"/>
    <w:multiLevelType w:val="hybridMultilevel"/>
    <w:tmpl w:val="D8585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17556"/>
    <w:multiLevelType w:val="hybridMultilevel"/>
    <w:tmpl w:val="CEFE86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A3A42"/>
    <w:multiLevelType w:val="hybridMultilevel"/>
    <w:tmpl w:val="FDFEBF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78959"/>
    <w:multiLevelType w:val="hybridMultilevel"/>
    <w:tmpl w:val="00000000"/>
    <w:lvl w:ilvl="0">
      <w:start w:val="1"/>
      <w:numFmt w:val="none"/>
      <w:pStyle w:val="Nagwek1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1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1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1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1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1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1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1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1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4">
    <w:nsid w:val="6409705A"/>
    <w:multiLevelType w:val="hybridMultilevel"/>
    <w:tmpl w:val="3264A6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gwek11">
    <w:name w:val="Nagłówek 1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customStyle="1" w:styleId="Nagwek31">
    <w:name w:val="Nagłówek 31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customStyle="1" w:styleId="Nagwek91">
    <w:name w:val="Nagłówek 91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1">
    <w:name w:val="Domyślna czcionka akapitu1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0">
    <w:name w:val="Domyślna czcionka akapitu1_0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Nagwek4">
    <w:name w:val="Nagłówek4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BodyText2">
    <w:name w:val="Body Text 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ListParagraph">
    <w:name w:val="List Paragraph"/>
    <w:basedOn w:val="Normal"/>
    <w:uiPriority w:val="34"/>
    <w:qFormat/>
    <w:rsid w:val="000C1934"/>
    <w:pPr>
      <w:ind w:left="720"/>
      <w:contextualSpacing/>
    </w:pPr>
  </w:style>
  <w:style w:type="paragraph" w:customStyle="1" w:styleId="NormalnyWeb1">
    <w:name w:val="Normalny (Web)1"/>
    <w:basedOn w:val="Normal"/>
    <w:rsid w:val="00E505DC"/>
    <w:pPr>
      <w:spacing w:before="28" w:after="119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1091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bpok</cp:lastModifiedBy>
  <cp:revision>18</cp:revision>
  <dcterms:created xsi:type="dcterms:W3CDTF">2014-02-17T15:55:00Z</dcterms:created>
  <dcterms:modified xsi:type="dcterms:W3CDTF">2021-10-08T09:51:00Z</dcterms:modified>
</cp:coreProperties>
</file>