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384ADB74" w:rsidR="009743FA" w:rsidRPr="00FC73B9" w:rsidRDefault="009743FA" w:rsidP="00B463E2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62A9ECC5" w:rsidR="009743FA" w:rsidRPr="00F13819" w:rsidRDefault="00C637C9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723F6">
              <w:rPr>
                <w:rFonts w:cstheme="minorHAnsi"/>
                <w:sz w:val="24"/>
                <w:szCs w:val="24"/>
              </w:rPr>
              <w:t>Modernizacja Centrum Edukacji Przyrodniczej Tatrzańskiego Parku Narodowego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0A0CD62C" w:rsidR="009743FA" w:rsidRPr="00F13819" w:rsidRDefault="00C637C9" w:rsidP="004E68A9">
            <w:pPr>
              <w:tabs>
                <w:tab w:val="left" w:pos="1050"/>
              </w:tabs>
              <w:spacing w:line="276" w:lineRule="auto"/>
              <w:rPr>
                <w:rFonts w:cstheme="minorHAnsi"/>
                <w:sz w:val="24"/>
                <w:szCs w:val="24"/>
              </w:rPr>
            </w:pPr>
            <w:r w:rsidRPr="00A723F6">
              <w:rPr>
                <w:rFonts w:cstheme="minorHAnsi"/>
                <w:sz w:val="24"/>
                <w:szCs w:val="24"/>
              </w:rPr>
              <w:t>Tatrzański Park Narodowy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044163A6" w:rsidR="009743FA" w:rsidRPr="00F13819" w:rsidRDefault="00292F65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92F65">
              <w:rPr>
                <w:rFonts w:cstheme="minorHAnsi"/>
                <w:sz w:val="24"/>
                <w:szCs w:val="24"/>
              </w:rPr>
              <w:t>12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92F65">
              <w:rPr>
                <w:rFonts w:cstheme="minorHAnsi"/>
                <w:sz w:val="24"/>
                <w:szCs w:val="24"/>
              </w:rPr>
              <w:t>090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92F65">
              <w:rPr>
                <w:rFonts w:cstheme="minorHAnsi"/>
                <w:sz w:val="24"/>
                <w:szCs w:val="24"/>
              </w:rPr>
              <w:t>322,47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27E4EB9E" w:rsidR="009743FA" w:rsidRPr="00F13819" w:rsidRDefault="003A5A80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A5A80">
              <w:rPr>
                <w:rFonts w:cstheme="minorHAnsi"/>
                <w:sz w:val="24"/>
                <w:szCs w:val="24"/>
              </w:rPr>
              <w:t>7 916 811,92</w:t>
            </w:r>
            <w:r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5A10BA54" w:rsidR="009743FA" w:rsidRPr="00F13819" w:rsidRDefault="00C637C9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 marca </w:t>
            </w:r>
            <w:r w:rsidRPr="004D7700">
              <w:rPr>
                <w:rFonts w:cstheme="minorHAnsi"/>
                <w:sz w:val="24"/>
                <w:szCs w:val="24"/>
              </w:rPr>
              <w:t>201</w:t>
            </w:r>
            <w:r>
              <w:rPr>
                <w:rFonts w:cstheme="minorHAnsi"/>
                <w:sz w:val="24"/>
                <w:szCs w:val="24"/>
              </w:rPr>
              <w:t xml:space="preserve">6 – </w:t>
            </w:r>
            <w:r w:rsidR="00EF0F24">
              <w:rPr>
                <w:rFonts w:cstheme="minorHAnsi"/>
                <w:sz w:val="24"/>
                <w:szCs w:val="24"/>
              </w:rPr>
              <w:t>31 marca 2018</w:t>
            </w:r>
          </w:p>
        </w:tc>
      </w:tr>
      <w:tr w:rsidR="009743FA" w:rsidRPr="004E68A9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07484DCD" w:rsidR="009743FA" w:rsidRPr="004E68A9" w:rsidRDefault="009743FA" w:rsidP="004E68A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E68A9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4E68A9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B533A0F" w14:textId="451E8498" w:rsidR="00B5127F" w:rsidRDefault="00B5127F" w:rsidP="004E68A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B5127F">
              <w:rPr>
                <w:color w:val="000000" w:themeColor="text1"/>
                <w:sz w:val="24"/>
                <w:szCs w:val="24"/>
              </w:rPr>
              <w:t xml:space="preserve">Projekt obejmuje </w:t>
            </w:r>
            <w:r>
              <w:rPr>
                <w:color w:val="000000" w:themeColor="text1"/>
                <w:sz w:val="24"/>
                <w:szCs w:val="24"/>
              </w:rPr>
              <w:t>s</w:t>
            </w:r>
            <w:r w:rsidRPr="00B5127F">
              <w:rPr>
                <w:color w:val="000000" w:themeColor="text1"/>
                <w:sz w:val="24"/>
                <w:szCs w:val="24"/>
              </w:rPr>
              <w:t>tworzenie przyjaznego turyście, atrakcyjnego w zakresie oferowanego przekazu Centrum Edukacji, w powiązaniu z mechanizmami zachęty i promocji do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5127F">
              <w:rPr>
                <w:color w:val="000000" w:themeColor="text1"/>
                <w:sz w:val="24"/>
                <w:szCs w:val="24"/>
              </w:rPr>
              <w:t>jego odwiedzin</w:t>
            </w:r>
            <w:r>
              <w:rPr>
                <w:color w:val="000000" w:themeColor="text1"/>
                <w:sz w:val="24"/>
                <w:szCs w:val="24"/>
              </w:rPr>
              <w:t xml:space="preserve">. Opierać się </w:t>
            </w:r>
            <w:r w:rsidR="00202AB8">
              <w:rPr>
                <w:color w:val="000000" w:themeColor="text1"/>
                <w:sz w:val="24"/>
                <w:szCs w:val="24"/>
              </w:rPr>
              <w:t xml:space="preserve">on </w:t>
            </w:r>
            <w:r>
              <w:rPr>
                <w:color w:val="000000" w:themeColor="text1"/>
                <w:sz w:val="24"/>
                <w:szCs w:val="24"/>
              </w:rPr>
              <w:t>będzie na rozbudow</w:t>
            </w:r>
            <w:r w:rsidR="00C36D66">
              <w:rPr>
                <w:color w:val="000000" w:themeColor="text1"/>
                <w:sz w:val="24"/>
                <w:szCs w:val="24"/>
              </w:rPr>
              <w:t>ie</w:t>
            </w:r>
            <w:r>
              <w:rPr>
                <w:color w:val="000000" w:themeColor="text1"/>
                <w:sz w:val="24"/>
                <w:szCs w:val="24"/>
              </w:rPr>
              <w:t xml:space="preserve"> i </w:t>
            </w:r>
            <w:r w:rsidRPr="00B5127F">
              <w:rPr>
                <w:color w:val="000000" w:themeColor="text1"/>
                <w:sz w:val="24"/>
                <w:szCs w:val="24"/>
              </w:rPr>
              <w:t>kompleksow</w:t>
            </w:r>
            <w:r w:rsidR="00C36D66">
              <w:rPr>
                <w:color w:val="000000" w:themeColor="text1"/>
                <w:sz w:val="24"/>
                <w:szCs w:val="24"/>
              </w:rPr>
              <w:t>ej</w:t>
            </w:r>
            <w:r w:rsidRPr="00B5127F">
              <w:rPr>
                <w:color w:val="000000" w:themeColor="text1"/>
                <w:sz w:val="24"/>
                <w:szCs w:val="24"/>
              </w:rPr>
              <w:t xml:space="preserve"> przebudowa obiektu Centrum Edukacji Przyrodniczej</w:t>
            </w:r>
            <w:r w:rsidR="00C36D66">
              <w:rPr>
                <w:color w:val="000000" w:themeColor="text1"/>
                <w:sz w:val="24"/>
                <w:szCs w:val="24"/>
              </w:rPr>
              <w:t xml:space="preserve"> T</w:t>
            </w:r>
            <w:r w:rsidR="00B74D72">
              <w:rPr>
                <w:color w:val="000000" w:themeColor="text1"/>
                <w:sz w:val="24"/>
                <w:szCs w:val="24"/>
              </w:rPr>
              <w:t>atrzańskiego Parku Narodowego (T</w:t>
            </w:r>
            <w:r w:rsidR="00C36D66">
              <w:rPr>
                <w:color w:val="000000" w:themeColor="text1"/>
                <w:sz w:val="24"/>
                <w:szCs w:val="24"/>
              </w:rPr>
              <w:t>PN</w:t>
            </w:r>
            <w:r w:rsidR="00B74D72">
              <w:rPr>
                <w:color w:val="000000" w:themeColor="text1"/>
                <w:sz w:val="24"/>
                <w:szCs w:val="24"/>
              </w:rPr>
              <w:t>)</w:t>
            </w:r>
            <w:r w:rsidRPr="00B5127F">
              <w:rPr>
                <w:color w:val="000000" w:themeColor="text1"/>
                <w:sz w:val="24"/>
                <w:szCs w:val="24"/>
              </w:rPr>
              <w:t xml:space="preserve">, znajdującego się przy ul. Chałubińskiego 42, w gminie Miasto Zakopane, </w:t>
            </w:r>
            <w:r w:rsidR="00C36D66">
              <w:rPr>
                <w:color w:val="000000" w:themeColor="text1"/>
                <w:sz w:val="24"/>
                <w:szCs w:val="24"/>
              </w:rPr>
              <w:t xml:space="preserve">a także </w:t>
            </w:r>
            <w:r w:rsidRPr="00B5127F">
              <w:rPr>
                <w:color w:val="000000" w:themeColor="text1"/>
                <w:sz w:val="24"/>
                <w:szCs w:val="24"/>
              </w:rPr>
              <w:t>dostosowani</w:t>
            </w:r>
            <w:r w:rsidR="00C36D66">
              <w:rPr>
                <w:color w:val="000000" w:themeColor="text1"/>
                <w:sz w:val="24"/>
                <w:szCs w:val="24"/>
              </w:rPr>
              <w:t>u</w:t>
            </w:r>
            <w:r w:rsidRPr="00B5127F">
              <w:rPr>
                <w:color w:val="000000" w:themeColor="text1"/>
                <w:sz w:val="24"/>
                <w:szCs w:val="24"/>
              </w:rPr>
              <w:t xml:space="preserve"> go do potrzeb nowoczesnej ekspozycji i wymagań odwiedzających. </w:t>
            </w:r>
            <w:r w:rsidR="00C36D66">
              <w:rPr>
                <w:color w:val="000000" w:themeColor="text1"/>
                <w:sz w:val="24"/>
                <w:szCs w:val="24"/>
              </w:rPr>
              <w:t>Zainstalowana zostanie, atrakcyjna, wykorzystującą nowoczesne technologie</w:t>
            </w:r>
            <w:r w:rsidRPr="00B5127F">
              <w:rPr>
                <w:color w:val="000000" w:themeColor="text1"/>
                <w:sz w:val="24"/>
                <w:szCs w:val="24"/>
              </w:rPr>
              <w:t>, multimedialna ekspozycja przyrody tatrzańskiej, wykonana w formie dioram i</w:t>
            </w:r>
            <w:r w:rsidR="003A5A80">
              <w:rPr>
                <w:color w:val="000000" w:themeColor="text1"/>
                <w:sz w:val="24"/>
                <w:szCs w:val="24"/>
              </w:rPr>
              <w:t> </w:t>
            </w:r>
            <w:r w:rsidRPr="00B5127F">
              <w:rPr>
                <w:color w:val="000000" w:themeColor="text1"/>
                <w:sz w:val="24"/>
                <w:szCs w:val="24"/>
              </w:rPr>
              <w:t>filmów przyrodniczych, prezentująca wybrane aspekty środowiska przyrodniczego Tatr i</w:t>
            </w:r>
            <w:r w:rsidR="003A5A80">
              <w:rPr>
                <w:color w:val="000000" w:themeColor="text1"/>
                <w:sz w:val="24"/>
                <w:szCs w:val="24"/>
              </w:rPr>
              <w:t> </w:t>
            </w:r>
            <w:r w:rsidRPr="00B5127F">
              <w:rPr>
                <w:color w:val="000000" w:themeColor="text1"/>
                <w:sz w:val="24"/>
                <w:szCs w:val="24"/>
              </w:rPr>
              <w:t>wpływu człowieka na ich kształtowanie</w:t>
            </w:r>
            <w:r w:rsidR="00C36D66">
              <w:rPr>
                <w:color w:val="000000" w:themeColor="text1"/>
                <w:sz w:val="24"/>
                <w:szCs w:val="24"/>
              </w:rPr>
              <w:t>.</w:t>
            </w:r>
          </w:p>
          <w:p w14:paraId="1E5C846E" w14:textId="4DBB4805" w:rsidR="00DA41A7" w:rsidRPr="00B5127F" w:rsidRDefault="00DA41A7" w:rsidP="004E68A9">
            <w:pPr>
              <w:suppressAutoHyphens/>
              <w:spacing w:before="120" w:after="120" w:line="276" w:lineRule="auto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B5127F">
              <w:rPr>
                <w:color w:val="000000" w:themeColor="text1"/>
                <w:sz w:val="24"/>
                <w:szCs w:val="24"/>
              </w:rPr>
              <w:t xml:space="preserve">Celem strategicznym projektu jest kształtowanie zrozumienia oraz szacunku dla tatrzańskiej przyrody przez zaangażowanie zwiedzających TPN w ochronę jej dziedzictwa. </w:t>
            </w:r>
          </w:p>
          <w:p w14:paraId="1EAB9677" w14:textId="77777777" w:rsidR="003A5A80" w:rsidRDefault="00A855FB" w:rsidP="004E68A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A855FB">
              <w:rPr>
                <w:rFonts w:cstheme="minorHAnsi"/>
                <w:sz w:val="24"/>
                <w:szCs w:val="24"/>
              </w:rPr>
              <w:t>W</w:t>
            </w:r>
            <w:r w:rsidR="003A4BD1" w:rsidRPr="00A855FB">
              <w:rPr>
                <w:rFonts w:cstheme="minorHAnsi"/>
                <w:sz w:val="24"/>
                <w:szCs w:val="24"/>
              </w:rPr>
              <w:t>skaźnik</w:t>
            </w:r>
            <w:r w:rsidRPr="00A855FB">
              <w:rPr>
                <w:rFonts w:cstheme="minorHAnsi"/>
                <w:sz w:val="24"/>
                <w:szCs w:val="24"/>
              </w:rPr>
              <w:t>i</w:t>
            </w:r>
            <w:r w:rsidR="003A4BD1" w:rsidRPr="00A855FB">
              <w:rPr>
                <w:rFonts w:cstheme="minorHAnsi"/>
                <w:sz w:val="24"/>
                <w:szCs w:val="24"/>
              </w:rPr>
              <w:t xml:space="preserve"> </w:t>
            </w:r>
            <w:r w:rsidRPr="00A855FB">
              <w:rPr>
                <w:rFonts w:cstheme="minorHAnsi"/>
                <w:sz w:val="24"/>
                <w:szCs w:val="24"/>
              </w:rPr>
              <w:t xml:space="preserve">projektu: </w:t>
            </w:r>
          </w:p>
          <w:p w14:paraId="2DD71209" w14:textId="77777777" w:rsidR="003A5A80" w:rsidRPr="003A5A80" w:rsidRDefault="00771FA7" w:rsidP="004E68A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3A5A80">
              <w:rPr>
                <w:rFonts w:cstheme="minorHAnsi"/>
                <w:sz w:val="24"/>
                <w:szCs w:val="24"/>
              </w:rPr>
              <w:t>L</w:t>
            </w:r>
            <w:r w:rsidR="003A4BD1" w:rsidRPr="003A5A80">
              <w:rPr>
                <w:rFonts w:cstheme="minorHAnsi"/>
                <w:sz w:val="24"/>
                <w:szCs w:val="24"/>
              </w:rPr>
              <w:t xml:space="preserve">iczba parków narodowych, w których wsparto ośrodki edukacji ekologicznej </w:t>
            </w:r>
            <w:r w:rsidRPr="003A5A80">
              <w:rPr>
                <w:rFonts w:cstheme="minorHAnsi"/>
                <w:sz w:val="24"/>
                <w:szCs w:val="24"/>
              </w:rPr>
              <w:t>–</w:t>
            </w:r>
            <w:r w:rsidR="003A4BD1" w:rsidRPr="003A5A80">
              <w:rPr>
                <w:rFonts w:cstheme="minorHAnsi"/>
                <w:sz w:val="24"/>
                <w:szCs w:val="24"/>
              </w:rPr>
              <w:t xml:space="preserve"> 1</w:t>
            </w:r>
            <w:r w:rsidRPr="003A5A80">
              <w:rPr>
                <w:rFonts w:cstheme="minorHAnsi"/>
                <w:sz w:val="24"/>
                <w:szCs w:val="24"/>
              </w:rPr>
              <w:t xml:space="preserve"> szt.; </w:t>
            </w:r>
          </w:p>
          <w:p w14:paraId="064D5ADA" w14:textId="37B82102" w:rsidR="003A4BD1" w:rsidRPr="003A5A80" w:rsidRDefault="00771FA7" w:rsidP="004E68A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3A5A80">
              <w:rPr>
                <w:rFonts w:cstheme="minorHAnsi"/>
                <w:sz w:val="24"/>
                <w:szCs w:val="24"/>
              </w:rPr>
              <w:t>Ś</w:t>
            </w:r>
            <w:r w:rsidR="003A4BD1" w:rsidRPr="003A5A80">
              <w:rPr>
                <w:rFonts w:cstheme="minorHAnsi"/>
                <w:sz w:val="24"/>
                <w:szCs w:val="24"/>
              </w:rPr>
              <w:t>rednia liczba odbiorców działań edukacyjnych prowadzonych w obiektach będących przedmiotem wsparcia</w:t>
            </w:r>
            <w:r w:rsidR="00EF0F24" w:rsidRPr="003A5A80">
              <w:rPr>
                <w:rFonts w:cstheme="minorHAnsi"/>
                <w:sz w:val="24"/>
                <w:szCs w:val="24"/>
              </w:rPr>
              <w:t xml:space="preserve"> </w:t>
            </w:r>
            <w:r w:rsidR="003A4BD1" w:rsidRPr="003A5A80">
              <w:rPr>
                <w:rFonts w:cstheme="minorHAnsi"/>
                <w:sz w:val="24"/>
                <w:szCs w:val="24"/>
              </w:rPr>
              <w:t xml:space="preserve">w skali roku - 27.705 </w:t>
            </w:r>
            <w:r w:rsidRPr="003A5A80">
              <w:rPr>
                <w:rFonts w:cstheme="minorHAnsi"/>
                <w:sz w:val="24"/>
                <w:szCs w:val="24"/>
              </w:rPr>
              <w:t xml:space="preserve">osoby </w:t>
            </w:r>
            <w:r w:rsidR="003A4BD1" w:rsidRPr="003A5A80">
              <w:rPr>
                <w:rFonts w:cstheme="minorHAnsi"/>
                <w:sz w:val="24"/>
                <w:szCs w:val="24"/>
              </w:rPr>
              <w:t>średniorocznie (zakłada się liczbę 75.000 odwiedzających rocznie w stosunku do</w:t>
            </w:r>
            <w:r w:rsidR="00EF0F24" w:rsidRPr="003A5A80">
              <w:rPr>
                <w:rFonts w:cstheme="minorHAnsi"/>
                <w:sz w:val="24"/>
                <w:szCs w:val="24"/>
              </w:rPr>
              <w:t xml:space="preserve"> </w:t>
            </w:r>
            <w:r w:rsidR="003A4BD1" w:rsidRPr="003A5A80">
              <w:rPr>
                <w:rFonts w:cstheme="minorHAnsi"/>
                <w:sz w:val="24"/>
                <w:szCs w:val="24"/>
              </w:rPr>
              <w:t>47.295 - średnia odwiedzin w okresie ostatnich 5. lat)</w:t>
            </w:r>
          </w:p>
          <w:p w14:paraId="3AD3BC4F" w14:textId="77777777" w:rsidR="003A5A80" w:rsidRPr="003A5A80" w:rsidRDefault="00A855FB" w:rsidP="004E68A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3A5A80">
              <w:rPr>
                <w:rFonts w:cstheme="minorHAnsi"/>
                <w:sz w:val="24"/>
                <w:szCs w:val="24"/>
              </w:rPr>
              <w:t>W</w:t>
            </w:r>
            <w:r w:rsidR="003A4BD1" w:rsidRPr="003A5A80">
              <w:rPr>
                <w:rFonts w:cstheme="minorHAnsi"/>
                <w:sz w:val="24"/>
                <w:szCs w:val="24"/>
              </w:rPr>
              <w:t>skaźnik rezultatu:</w:t>
            </w:r>
            <w:r w:rsidR="00771FA7" w:rsidRPr="003A5A80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5E56121" w14:textId="77777777" w:rsidR="003A5A80" w:rsidRPr="003A5A80" w:rsidRDefault="00771FA7" w:rsidP="004E68A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A5A80">
              <w:rPr>
                <w:rFonts w:cstheme="minorHAnsi"/>
                <w:sz w:val="24"/>
                <w:szCs w:val="24"/>
              </w:rPr>
              <w:t>W</w:t>
            </w:r>
            <w:r w:rsidR="003A4BD1" w:rsidRPr="003A5A80">
              <w:rPr>
                <w:rFonts w:cstheme="minorHAnsi"/>
                <w:sz w:val="24"/>
                <w:szCs w:val="24"/>
              </w:rPr>
              <w:t>zrost zatrudnienia we wspieranych podmiotach (innych niż przedsiębiorstwa)</w:t>
            </w:r>
            <w:r w:rsidR="00EF0F24" w:rsidRPr="003A5A80">
              <w:rPr>
                <w:rFonts w:cstheme="minorHAnsi"/>
                <w:sz w:val="24"/>
                <w:szCs w:val="24"/>
              </w:rPr>
              <w:t xml:space="preserve"> </w:t>
            </w:r>
            <w:r w:rsidR="003A4BD1" w:rsidRPr="003A5A80">
              <w:rPr>
                <w:rFonts w:cstheme="minorHAnsi"/>
                <w:sz w:val="24"/>
                <w:szCs w:val="24"/>
              </w:rPr>
              <w:t>- 2 etaty</w:t>
            </w:r>
            <w:r w:rsidRPr="003A5A80">
              <w:rPr>
                <w:rFonts w:cstheme="minorHAnsi"/>
                <w:sz w:val="24"/>
                <w:szCs w:val="24"/>
              </w:rPr>
              <w:t xml:space="preserve"> EPC; </w:t>
            </w:r>
          </w:p>
          <w:p w14:paraId="398E785A" w14:textId="7BCC17CF" w:rsidR="00866787" w:rsidRPr="003A5A80" w:rsidRDefault="003A5A80" w:rsidP="004E68A9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="00EF0F24" w:rsidRPr="003A5A80">
              <w:rPr>
                <w:rFonts w:cstheme="minorHAnsi"/>
                <w:sz w:val="24"/>
                <w:szCs w:val="24"/>
              </w:rPr>
              <w:t>iczba nowoutworzonych miejsc pracy - 2 etaty</w:t>
            </w:r>
            <w:r w:rsidR="00A855FB" w:rsidRPr="003A5A8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4E68A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2CCF703D" w:rsidR="00E75DD1" w:rsidRPr="00A659F6" w:rsidRDefault="00EA7A15" w:rsidP="004E68A9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798F3DF1" w:rsidR="00866787" w:rsidRPr="008F3409" w:rsidRDefault="00866787" w:rsidP="004E68A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299609C1" w14:textId="1B05E08B" w:rsidR="0061164D" w:rsidRPr="00A855FB" w:rsidRDefault="00BC2425" w:rsidP="004E68A9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 realizowany jest na o</w:t>
            </w:r>
            <w:r w:rsidR="00B74D72">
              <w:rPr>
                <w:rFonts w:cstheme="minorHAnsi"/>
                <w:sz w:val="24"/>
                <w:szCs w:val="24"/>
              </w:rPr>
              <w:t>bszar</w:t>
            </w:r>
            <w:r>
              <w:rPr>
                <w:rFonts w:cstheme="minorHAnsi"/>
                <w:sz w:val="24"/>
                <w:szCs w:val="24"/>
              </w:rPr>
              <w:t>ze</w:t>
            </w:r>
            <w:r w:rsidR="00B74D72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T</w:t>
            </w:r>
            <w:r w:rsidRPr="00A855FB">
              <w:rPr>
                <w:rFonts w:cstheme="minorHAnsi"/>
                <w:sz w:val="24"/>
                <w:szCs w:val="24"/>
              </w:rPr>
              <w:t>atrzański</w:t>
            </w:r>
            <w:r>
              <w:rPr>
                <w:rFonts w:cstheme="minorHAnsi"/>
                <w:sz w:val="24"/>
                <w:szCs w:val="24"/>
              </w:rPr>
              <w:t>ego</w:t>
            </w:r>
            <w:r w:rsidRPr="00A855FB">
              <w:rPr>
                <w:rFonts w:cstheme="minorHAnsi"/>
                <w:sz w:val="24"/>
                <w:szCs w:val="24"/>
              </w:rPr>
              <w:t xml:space="preserve"> </w:t>
            </w:r>
            <w:r w:rsidR="00DA41A7" w:rsidRPr="00A855FB">
              <w:rPr>
                <w:rFonts w:cstheme="minorHAnsi"/>
                <w:sz w:val="24"/>
                <w:szCs w:val="24"/>
              </w:rPr>
              <w:t>Park</w:t>
            </w:r>
            <w:r w:rsidR="00B74D72">
              <w:rPr>
                <w:rFonts w:cstheme="minorHAnsi"/>
                <w:sz w:val="24"/>
                <w:szCs w:val="24"/>
              </w:rPr>
              <w:t>u</w:t>
            </w:r>
            <w:r w:rsidR="00DA41A7" w:rsidRPr="00A855FB">
              <w:rPr>
                <w:rFonts w:cstheme="minorHAnsi"/>
                <w:sz w:val="24"/>
                <w:szCs w:val="24"/>
              </w:rPr>
              <w:t xml:space="preserve"> </w:t>
            </w:r>
            <w:r w:rsidRPr="00A855FB">
              <w:rPr>
                <w:rFonts w:cstheme="minorHAnsi"/>
                <w:sz w:val="24"/>
                <w:szCs w:val="24"/>
              </w:rPr>
              <w:t>Narodow</w:t>
            </w:r>
            <w:r>
              <w:rPr>
                <w:rFonts w:cstheme="minorHAnsi"/>
                <w:sz w:val="24"/>
                <w:szCs w:val="24"/>
              </w:rPr>
              <w:t>ego o</w:t>
            </w:r>
            <w:r w:rsidR="00B74D72">
              <w:rPr>
                <w:rFonts w:cstheme="minorHAnsi"/>
                <w:sz w:val="24"/>
                <w:szCs w:val="24"/>
              </w:rPr>
              <w:t xml:space="preserve"> powierzchni </w:t>
            </w:r>
            <w:r w:rsidR="00B74D72" w:rsidRPr="00B74D72">
              <w:rPr>
                <w:rFonts w:cstheme="minorHAnsi"/>
                <w:sz w:val="24"/>
                <w:szCs w:val="24"/>
              </w:rPr>
              <w:t>211,64 km²</w:t>
            </w:r>
            <w:r w:rsidR="00B74D72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T</w:t>
            </w:r>
            <w:r w:rsidRPr="00BC2425">
              <w:rPr>
                <w:rFonts w:cstheme="minorHAnsi"/>
                <w:sz w:val="24"/>
                <w:szCs w:val="24"/>
              </w:rPr>
              <w:t xml:space="preserve">PN obejmuje całe polskie Tatry oraz niewielkie części Pogórza Bukowińskiego </w:t>
            </w:r>
            <w:r w:rsidRPr="00BC2425">
              <w:rPr>
                <w:rFonts w:cstheme="minorHAnsi"/>
                <w:sz w:val="24"/>
                <w:szCs w:val="24"/>
              </w:rPr>
              <w:lastRenderedPageBreak/>
              <w:t xml:space="preserve">i Rowu Podtatrzańskiego, zarówno te przylegające do obszaru parku, jak i enklawy (np. Polana </w:t>
            </w:r>
            <w:proofErr w:type="spellStart"/>
            <w:r w:rsidRPr="00BC2425">
              <w:rPr>
                <w:rFonts w:cstheme="minorHAnsi"/>
                <w:sz w:val="24"/>
                <w:szCs w:val="24"/>
              </w:rPr>
              <w:t>Rogoźniczańska</w:t>
            </w:r>
            <w:proofErr w:type="spellEnd"/>
            <w:r w:rsidRPr="00BC2425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BC2425">
              <w:rPr>
                <w:rFonts w:cstheme="minorHAnsi"/>
                <w:sz w:val="24"/>
                <w:szCs w:val="24"/>
              </w:rPr>
              <w:t>Wyskówki</w:t>
            </w:r>
            <w:proofErr w:type="spellEnd"/>
            <w:r w:rsidRPr="00BC2425">
              <w:rPr>
                <w:rFonts w:cstheme="minorHAnsi"/>
                <w:sz w:val="24"/>
                <w:szCs w:val="24"/>
              </w:rPr>
              <w:t xml:space="preserve">, Harenda, </w:t>
            </w:r>
            <w:proofErr w:type="spellStart"/>
            <w:r w:rsidRPr="00BC2425">
              <w:rPr>
                <w:rFonts w:cstheme="minorHAnsi"/>
                <w:sz w:val="24"/>
                <w:szCs w:val="24"/>
              </w:rPr>
              <w:t>Bafiów</w:t>
            </w:r>
            <w:proofErr w:type="spellEnd"/>
            <w:r w:rsidRPr="00BC2425">
              <w:rPr>
                <w:rFonts w:cstheme="minorHAnsi"/>
                <w:sz w:val="24"/>
                <w:szCs w:val="24"/>
              </w:rPr>
              <w:t xml:space="preserve"> Bór).</w:t>
            </w:r>
          </w:p>
          <w:p w14:paraId="18BE20FA" w14:textId="3C0A0A8B" w:rsidR="00866787" w:rsidRPr="00A614B4" w:rsidRDefault="00866787" w:rsidP="004E68A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784FD3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646FBC5F" w14:textId="2697419C" w:rsidR="00B84132" w:rsidRPr="000D1378" w:rsidRDefault="00B84132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D1378">
              <w:rPr>
                <w:color w:val="000000" w:themeColor="text1"/>
                <w:sz w:val="24"/>
                <w:szCs w:val="24"/>
              </w:rPr>
              <w:t>Tatrzański Park Narodowy odwiedza rocznie prawie 3 mln osób. Duża koncentracja ruchu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D1378">
              <w:rPr>
                <w:color w:val="000000" w:themeColor="text1"/>
                <w:sz w:val="24"/>
                <w:szCs w:val="24"/>
              </w:rPr>
              <w:t xml:space="preserve">turystycznego, szczególnie w miesiącach letnich, na stosunkowo małym obszarze przyrodniczo wrażliwych i cennych terenów, ma negatywny wpływ na przyrodę Tatr. </w:t>
            </w:r>
          </w:p>
          <w:p w14:paraId="1E9B0F77" w14:textId="036A2E35" w:rsidR="000D1378" w:rsidRPr="009305AF" w:rsidRDefault="00B84132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D1378">
              <w:rPr>
                <w:color w:val="000000" w:themeColor="text1"/>
                <w:sz w:val="24"/>
                <w:szCs w:val="24"/>
              </w:rPr>
              <w:t xml:space="preserve">Przeprowadzone w 2015 roku ramowe badanie użytkowników Parku 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wskazało </w:t>
            </w:r>
            <w:r w:rsidRPr="000D1378">
              <w:rPr>
                <w:color w:val="000000" w:themeColor="text1"/>
                <w:sz w:val="24"/>
                <w:szCs w:val="24"/>
              </w:rPr>
              <w:t>nisk</w:t>
            </w:r>
            <w:r w:rsidR="000D1378">
              <w:rPr>
                <w:color w:val="000000" w:themeColor="text1"/>
                <w:sz w:val="24"/>
                <w:szCs w:val="24"/>
              </w:rPr>
              <w:t>i</w:t>
            </w:r>
            <w:r w:rsidRPr="000D1378">
              <w:rPr>
                <w:color w:val="000000" w:themeColor="text1"/>
                <w:sz w:val="24"/>
                <w:szCs w:val="24"/>
              </w:rPr>
              <w:t xml:space="preserve"> poziom świadomości przyrodniczej odwiedzających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 TPN.</w:t>
            </w:r>
            <w:r w:rsidR="000D1378" w:rsidRPr="009305AF">
              <w:rPr>
                <w:color w:val="000000" w:themeColor="text1"/>
                <w:sz w:val="24"/>
                <w:szCs w:val="24"/>
              </w:rPr>
              <w:t xml:space="preserve"> Nikła wiedza na temat wpływu antropopresji na ekosystemy tatrzańskie skutkuje negatywnymi </w:t>
            </w:r>
            <w:proofErr w:type="spellStart"/>
            <w:r w:rsidR="000D1378" w:rsidRPr="009305AF">
              <w:rPr>
                <w:color w:val="000000" w:themeColor="text1"/>
                <w:sz w:val="24"/>
                <w:szCs w:val="24"/>
              </w:rPr>
              <w:t>zachowaniami</w:t>
            </w:r>
            <w:proofErr w:type="spellEnd"/>
            <w:r w:rsidR="000D1378" w:rsidRPr="009305AF">
              <w:rPr>
                <w:color w:val="000000" w:themeColor="text1"/>
                <w:sz w:val="24"/>
                <w:szCs w:val="24"/>
              </w:rPr>
              <w:t xml:space="preserve"> turystów odwiedzających Tatry</w:t>
            </w:r>
            <w:r w:rsidR="00EC2C45">
              <w:rPr>
                <w:color w:val="000000" w:themeColor="text1"/>
                <w:sz w:val="24"/>
                <w:szCs w:val="24"/>
              </w:rPr>
              <w:t>,</w:t>
            </w:r>
            <w:r w:rsidR="000D1378" w:rsidRPr="009305AF">
              <w:rPr>
                <w:color w:val="000000" w:themeColor="text1"/>
                <w:sz w:val="24"/>
                <w:szCs w:val="24"/>
              </w:rPr>
              <w:t xml:space="preserve"> przyczyniającymi się do postępującej degradacji przyrodniczej obszarów udostępnionych, w szczególności bezpośredniego otoczenia popularnych szlaków turystycznych. Z analiz wynika potrzeba stworzenia przyjaznego turyście, atrakcyjnego w zakresie oferowanego przekazu Centrum Edukacji Przyrodniczej, a także mechanizmów zachęty i promocji do jego odwiedzin przed wyruszeniem na górskie wycieczki. Przyczyni się to do kształtowania u odwiedzających TPN postawy współodpowiedzialności za przyrodę parku narodowego, uwrażliwianie ich na piękno i potrzeby tatrzańskiej przyrody, propagowania postaw związanych z realizacją idei zrównoważonej koegzystencji człowieka i przyrody, podniesienia u nich świadomości w zakresie konieczności ochrony zasobów tatrzańskiej przyrody oraz rozwoju wiedzy i umiejętności odwiedzających.</w:t>
            </w:r>
          </w:p>
          <w:p w14:paraId="4B49BDDA" w14:textId="77777777" w:rsidR="00B84132" w:rsidRPr="000D1378" w:rsidRDefault="00B84132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D1378">
              <w:rPr>
                <w:color w:val="000000" w:themeColor="text1"/>
                <w:sz w:val="24"/>
                <w:szCs w:val="24"/>
              </w:rPr>
              <w:t>Budynek Centrum Edukacji Przyrodniczej w obecnej formie nie spełnia standardów wymaganych dla takich obiektów. Bariery architektoniczne, usytuowanie toalet na zewnątrz budynku, brak miejsca dla oczekujących, kolizje komunikacyjne (szczególnie gdy w budynku przebywa klika grup) w powiązaniu z nieco archaiczną formą ekspozycji mają negatywny wpływ na percepcję.</w:t>
            </w:r>
          </w:p>
          <w:p w14:paraId="3C3CA854" w14:textId="19EEB2F1" w:rsidR="000D1378" w:rsidRPr="001D2E21" w:rsidRDefault="00BC2425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D2E21">
              <w:rPr>
                <w:color w:val="000000" w:themeColor="text1"/>
                <w:sz w:val="24"/>
                <w:szCs w:val="24"/>
              </w:rPr>
              <w:t>Potrzeb</w:t>
            </w:r>
            <w:r>
              <w:rPr>
                <w:color w:val="000000" w:themeColor="text1"/>
                <w:sz w:val="24"/>
                <w:szCs w:val="24"/>
              </w:rPr>
              <w:t>na</w:t>
            </w:r>
            <w:r w:rsidRPr="001D2E21">
              <w:rPr>
                <w:color w:val="000000" w:themeColor="text1"/>
                <w:sz w:val="24"/>
                <w:szCs w:val="24"/>
              </w:rPr>
              <w:t xml:space="preserve"> 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jest 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zatem 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budowa nowoczesnej infrastruktury 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(wraz z wyposażeniem) 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>na terenie parku narodowego</w:t>
            </w:r>
            <w:r w:rsidR="000D1378">
              <w:rPr>
                <w:color w:val="000000" w:themeColor="text1"/>
                <w:sz w:val="24"/>
                <w:szCs w:val="24"/>
              </w:rPr>
              <w:t xml:space="preserve"> 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umożliwiającą prowadzenie </w:t>
            </w:r>
            <w:r w:rsidR="000D1378">
              <w:rPr>
                <w:color w:val="000000" w:themeColor="text1"/>
                <w:sz w:val="24"/>
                <w:szCs w:val="24"/>
              </w:rPr>
              <w:t>atrakcyjnej w formie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 edukacji ekologicznej</w:t>
            </w:r>
            <w:r w:rsidR="009305AF">
              <w:rPr>
                <w:color w:val="000000" w:themeColor="text1"/>
                <w:sz w:val="24"/>
                <w:szCs w:val="24"/>
              </w:rPr>
              <w:t xml:space="preserve">. 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>W obecnych czasach wymagania wśród społeczeństwa są coraz większe</w:t>
            </w:r>
            <w:r w:rsidR="00EC2C45">
              <w:rPr>
                <w:color w:val="000000" w:themeColor="text1"/>
                <w:sz w:val="24"/>
                <w:szCs w:val="24"/>
              </w:rPr>
              <w:t>,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 jeżeli chodzi o ofertę i infrastrukturę edukacyjną. Wzrasta też wiedza</w:t>
            </w:r>
            <w:r>
              <w:rPr>
                <w:color w:val="000000" w:themeColor="text1"/>
                <w:sz w:val="24"/>
                <w:szCs w:val="24"/>
              </w:rPr>
              <w:t xml:space="preserve"> pracowników TPN</w:t>
            </w:r>
            <w:r w:rsidR="000D1378" w:rsidRPr="001D2E21">
              <w:rPr>
                <w:color w:val="000000" w:themeColor="text1"/>
                <w:sz w:val="24"/>
                <w:szCs w:val="24"/>
              </w:rPr>
              <w:t xml:space="preserve"> na temat jak skutecznie edukować, oraz potrzeba posiadania skutecznych i nowoczesnych narzędzia edukacji.</w:t>
            </w:r>
          </w:p>
          <w:p w14:paraId="5830C94B" w14:textId="75537F4B" w:rsidR="00B84132" w:rsidRPr="003C6588" w:rsidRDefault="009305AF" w:rsidP="004E68A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color w:val="000000" w:themeColor="text1"/>
                <w:sz w:val="24"/>
                <w:szCs w:val="24"/>
              </w:rPr>
              <w:t>P</w:t>
            </w:r>
            <w:r w:rsidR="00B84132" w:rsidRPr="00A10039">
              <w:rPr>
                <w:color w:val="000000" w:themeColor="text1"/>
                <w:sz w:val="24"/>
                <w:szCs w:val="24"/>
              </w:rPr>
              <w:t>otrzeba realizacji projektu wynika</w:t>
            </w:r>
            <w:r w:rsidR="00B84132">
              <w:rPr>
                <w:color w:val="000000" w:themeColor="text1"/>
                <w:sz w:val="24"/>
                <w:szCs w:val="24"/>
              </w:rPr>
              <w:t xml:space="preserve"> również</w:t>
            </w:r>
            <w:r w:rsidR="00B84132" w:rsidRPr="00A10039">
              <w:rPr>
                <w:color w:val="000000" w:themeColor="text1"/>
                <w:sz w:val="24"/>
                <w:szCs w:val="24"/>
              </w:rPr>
              <w:t xml:space="preserve"> z </w:t>
            </w:r>
            <w:r w:rsidR="00BC2425">
              <w:rPr>
                <w:color w:val="000000" w:themeColor="text1"/>
                <w:sz w:val="24"/>
                <w:szCs w:val="24"/>
              </w:rPr>
              <w:t>p</w:t>
            </w:r>
            <w:r w:rsidR="00BC2425" w:rsidRPr="00BC2425">
              <w:rPr>
                <w:color w:val="000000" w:themeColor="text1"/>
                <w:sz w:val="24"/>
                <w:szCs w:val="24"/>
              </w:rPr>
              <w:t>riorytetow</w:t>
            </w:r>
            <w:r w:rsidR="00BC2425">
              <w:rPr>
                <w:color w:val="000000" w:themeColor="text1"/>
                <w:sz w:val="24"/>
                <w:szCs w:val="24"/>
              </w:rPr>
              <w:t>ych</w:t>
            </w:r>
            <w:r w:rsidR="00BC2425" w:rsidRPr="00BC2425">
              <w:rPr>
                <w:color w:val="000000" w:themeColor="text1"/>
                <w:sz w:val="24"/>
                <w:szCs w:val="24"/>
              </w:rPr>
              <w:t xml:space="preserve"> ram działań dla sieci Natura 2000 (PAF)</w:t>
            </w:r>
            <w:r w:rsidR="00BC24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B84132" w:rsidRPr="00A10039">
              <w:rPr>
                <w:color w:val="000000" w:themeColor="text1"/>
                <w:sz w:val="24"/>
                <w:szCs w:val="24"/>
              </w:rPr>
              <w:t>oraz działań priorytetowych na rzecz promocji zrównoważonej turystyki i zielonych miejsc pracy na terenach obszarów Natura 2000</w:t>
            </w:r>
            <w:r w:rsidR="00B84132">
              <w:rPr>
                <w:color w:val="000000" w:themeColor="text1"/>
                <w:sz w:val="24"/>
                <w:szCs w:val="24"/>
              </w:rPr>
              <w:t>. Zgodnie z PAF z</w:t>
            </w:r>
            <w:r w:rsidR="00B84132" w:rsidRPr="00A10039">
              <w:rPr>
                <w:color w:val="000000" w:themeColor="text1"/>
                <w:sz w:val="24"/>
                <w:szCs w:val="24"/>
              </w:rPr>
              <w:t xml:space="preserve">aplanowano budowę i modernizację 80 centrów edukacyjnych, doradczych i obsługi ruchu turystycznego na terenie obszarów sieci Natura 2000, które będą generowały zielone miejsca pracy. </w:t>
            </w:r>
            <w:r w:rsidR="00B84132">
              <w:rPr>
                <w:color w:val="000000" w:themeColor="text1"/>
                <w:sz w:val="24"/>
                <w:szCs w:val="24"/>
              </w:rPr>
              <w:t xml:space="preserve">Jest to jeden ze strategicznych priorytetów dla inwestycji </w:t>
            </w:r>
            <w:r w:rsidR="00B84132" w:rsidRPr="000965E4">
              <w:rPr>
                <w:color w:val="000000" w:themeColor="text1"/>
                <w:sz w:val="24"/>
                <w:szCs w:val="24"/>
              </w:rPr>
              <w:t xml:space="preserve">na obszarach Natura 2000 związanych z ekoturystyką i zielonymi miejscami pracy, dotyczących wspierania łagodzenia skutków zmian klimatycznych i adaptacji do nich lub innych korzyści dla ekosystemu, w zakresie badań, edukacji, szkoleń, świadomości oraz promowania współpracy (w tym </w:t>
            </w:r>
            <w:r w:rsidR="00B84132" w:rsidRPr="000965E4">
              <w:rPr>
                <w:color w:val="000000" w:themeColor="text1"/>
                <w:sz w:val="24"/>
                <w:szCs w:val="24"/>
              </w:rPr>
              <w:lastRenderedPageBreak/>
              <w:t xml:space="preserve">transgranicznej), które mają związek z zarządzaniem siecią Natura 2000. </w:t>
            </w:r>
          </w:p>
          <w:p w14:paraId="51F4A3D0" w14:textId="18BF540D" w:rsidR="00F77A2E" w:rsidRPr="00E66527" w:rsidRDefault="00F77A2E" w:rsidP="004E68A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594BB7BF" w14:textId="17026FB6" w:rsidR="00E02E6D" w:rsidRPr="00F70C0C" w:rsidRDefault="00E02E6D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70C0C">
              <w:rPr>
                <w:color w:val="000000" w:themeColor="text1"/>
                <w:sz w:val="24"/>
                <w:szCs w:val="24"/>
              </w:rPr>
              <w:t xml:space="preserve">Beneficjent, którym jest Tatrzański Park Narodowy, jest głównym podmiotem mającym wpływ na zaspokojenie potrzeby w zakresie stworzenia nowoczesnego </w:t>
            </w:r>
            <w:r w:rsidR="00DA71B9" w:rsidRPr="00F70C0C">
              <w:rPr>
                <w:color w:val="000000" w:themeColor="text1"/>
                <w:sz w:val="24"/>
                <w:szCs w:val="24"/>
              </w:rPr>
              <w:t>C</w:t>
            </w:r>
            <w:r w:rsidRPr="00F70C0C">
              <w:rPr>
                <w:color w:val="000000" w:themeColor="text1"/>
                <w:sz w:val="24"/>
                <w:szCs w:val="24"/>
              </w:rPr>
              <w:t xml:space="preserve">entrum </w:t>
            </w:r>
            <w:r w:rsidR="00DA71B9" w:rsidRPr="00F70C0C">
              <w:rPr>
                <w:color w:val="000000" w:themeColor="text1"/>
                <w:sz w:val="24"/>
                <w:szCs w:val="24"/>
              </w:rPr>
              <w:t>E</w:t>
            </w:r>
            <w:r w:rsidRPr="00F70C0C">
              <w:rPr>
                <w:color w:val="000000" w:themeColor="text1"/>
                <w:sz w:val="24"/>
                <w:szCs w:val="24"/>
              </w:rPr>
              <w:t>dukacji</w:t>
            </w:r>
            <w:r w:rsidR="00DA71B9">
              <w:rPr>
                <w:color w:val="000000" w:themeColor="text1"/>
                <w:sz w:val="24"/>
                <w:szCs w:val="24"/>
              </w:rPr>
              <w:t xml:space="preserve"> Przyrodniczej. TPN jest właścicielem obecnego obiektu przewidzianego do modernizacji oraz właścicielem terenu</w:t>
            </w:r>
            <w:r w:rsidR="00FE11F1">
              <w:rPr>
                <w:color w:val="000000" w:themeColor="text1"/>
                <w:sz w:val="24"/>
                <w:szCs w:val="24"/>
              </w:rPr>
              <w:t>,</w:t>
            </w:r>
            <w:r w:rsidR="00DA71B9">
              <w:rPr>
                <w:color w:val="000000" w:themeColor="text1"/>
                <w:sz w:val="24"/>
                <w:szCs w:val="24"/>
              </w:rPr>
              <w:t xml:space="preserve"> na którym jest on usytuowany.</w:t>
            </w:r>
            <w:r w:rsidR="00FE11F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8CAA1B4" w14:textId="79B99B76" w:rsidR="00B84D46" w:rsidRPr="00F70C0C" w:rsidRDefault="00FE11F1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F70C0C">
              <w:rPr>
                <w:color w:val="000000" w:themeColor="text1"/>
                <w:sz w:val="24"/>
                <w:szCs w:val="24"/>
              </w:rPr>
              <w:t xml:space="preserve">Jeżeli chodzi o podniesienie świadomości </w:t>
            </w:r>
            <w:r w:rsidR="00F70C0C" w:rsidRPr="00F70C0C">
              <w:rPr>
                <w:color w:val="000000" w:themeColor="text1"/>
                <w:sz w:val="24"/>
                <w:szCs w:val="24"/>
              </w:rPr>
              <w:t>przyrodniczej</w:t>
            </w:r>
            <w:r w:rsidRPr="00F70C0C">
              <w:rPr>
                <w:color w:val="000000" w:themeColor="text1"/>
                <w:sz w:val="24"/>
                <w:szCs w:val="24"/>
              </w:rPr>
              <w:t xml:space="preserve"> </w:t>
            </w:r>
            <w:r w:rsidR="00F70C0C" w:rsidRPr="00F70C0C">
              <w:rPr>
                <w:color w:val="000000" w:themeColor="text1"/>
                <w:sz w:val="24"/>
                <w:szCs w:val="24"/>
              </w:rPr>
              <w:t>turystów</w:t>
            </w:r>
            <w:r w:rsidRPr="00F70C0C">
              <w:rPr>
                <w:color w:val="000000" w:themeColor="text1"/>
                <w:sz w:val="24"/>
                <w:szCs w:val="24"/>
              </w:rPr>
              <w:t xml:space="preserve"> odwiedzających TPN, a tym samym </w:t>
            </w:r>
            <w:r w:rsidR="00F70C0C" w:rsidRPr="00F70C0C">
              <w:rPr>
                <w:color w:val="000000" w:themeColor="text1"/>
                <w:sz w:val="24"/>
                <w:szCs w:val="24"/>
              </w:rPr>
              <w:t>kształtowanie postaw ekologicznych wobec ekosystemów Tatr, to nie jest to jedyny projekt realizowany przez TPN w tym zakresie i prawdopodobnie nie ostatni. Łącznie w ciągu ostatnich pięciu latach TPN zrealizował 17 projektów, których ogólnym celem była szeroko rozumiana ochrona przyrody i działalność edukacyjna.</w:t>
            </w:r>
          </w:p>
          <w:p w14:paraId="653571F5" w14:textId="6C552E11" w:rsidR="00866787" w:rsidRPr="004E68A9" w:rsidRDefault="00866787" w:rsidP="004E68A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3DEC1BC7" w14:textId="111AE437" w:rsidR="00FE11F1" w:rsidRPr="00712C93" w:rsidRDefault="0046366C" w:rsidP="004E68A9">
            <w:pPr>
              <w:suppressAutoHyphens/>
              <w:spacing w:before="120" w:after="120" w:line="276" w:lineRule="auto"/>
              <w:jc w:val="both"/>
            </w:pPr>
            <w:r w:rsidRPr="00022F3D">
              <w:rPr>
                <w:sz w:val="24"/>
                <w:szCs w:val="24"/>
              </w:rPr>
              <w:t>Projekt zaspokaja w pełni potrzebę stworzenia n</w:t>
            </w:r>
            <w:r w:rsidRPr="00F34657">
              <w:rPr>
                <w:color w:val="000000" w:themeColor="text1"/>
                <w:sz w:val="24"/>
                <w:szCs w:val="24"/>
              </w:rPr>
              <w:t>owoczesnego</w:t>
            </w:r>
            <w:r>
              <w:rPr>
                <w:color w:val="000000" w:themeColor="text1"/>
                <w:sz w:val="24"/>
                <w:szCs w:val="24"/>
              </w:rPr>
              <w:t xml:space="preserve"> Centrum Edukacji Przyrodniczej na terenie parku naro</w:t>
            </w:r>
            <w:r w:rsidRPr="001D2E21">
              <w:rPr>
                <w:color w:val="000000" w:themeColor="text1"/>
                <w:sz w:val="24"/>
                <w:szCs w:val="24"/>
              </w:rPr>
              <w:t>dowego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BC2425" w:rsidRPr="001D2E21">
              <w:rPr>
                <w:color w:val="000000" w:themeColor="text1"/>
                <w:sz w:val="24"/>
                <w:szCs w:val="24"/>
              </w:rPr>
              <w:t>umożliwiając</w:t>
            </w:r>
            <w:r w:rsidR="00BC2425">
              <w:rPr>
                <w:color w:val="000000" w:themeColor="text1"/>
                <w:sz w:val="24"/>
                <w:szCs w:val="24"/>
              </w:rPr>
              <w:t>ego</w:t>
            </w:r>
            <w:r w:rsidR="00BC2425" w:rsidRPr="001D2E2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2E21">
              <w:rPr>
                <w:color w:val="000000" w:themeColor="text1"/>
                <w:sz w:val="24"/>
                <w:szCs w:val="24"/>
              </w:rPr>
              <w:t xml:space="preserve">prowadzenie </w:t>
            </w:r>
            <w:r>
              <w:rPr>
                <w:color w:val="000000" w:themeColor="text1"/>
                <w:sz w:val="24"/>
                <w:szCs w:val="24"/>
              </w:rPr>
              <w:t>atrakcyjnej w formie</w:t>
            </w:r>
            <w:r w:rsidRPr="001D2E21">
              <w:rPr>
                <w:color w:val="000000" w:themeColor="text1"/>
                <w:sz w:val="24"/>
                <w:szCs w:val="24"/>
              </w:rPr>
              <w:t xml:space="preserve"> edukacji </w:t>
            </w:r>
            <w:r w:rsidRPr="00712C93">
              <w:rPr>
                <w:color w:val="000000" w:themeColor="text1"/>
                <w:sz w:val="24"/>
                <w:szCs w:val="24"/>
              </w:rPr>
              <w:t>ekologicznej.</w:t>
            </w:r>
          </w:p>
          <w:p w14:paraId="1D7702F8" w14:textId="4D2FCBAB" w:rsidR="00712C93" w:rsidRPr="00AE111F" w:rsidRDefault="00712C93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W zakresie </w:t>
            </w:r>
            <w:r w:rsidRPr="00712C93">
              <w:rPr>
                <w:color w:val="000000" w:themeColor="text1"/>
                <w:sz w:val="24"/>
                <w:szCs w:val="24"/>
              </w:rPr>
              <w:t>podniesieni</w:t>
            </w:r>
            <w:r>
              <w:rPr>
                <w:color w:val="000000" w:themeColor="text1"/>
                <w:sz w:val="24"/>
                <w:szCs w:val="24"/>
              </w:rPr>
              <w:t>a</w:t>
            </w:r>
            <w:r w:rsidRPr="00712C93">
              <w:rPr>
                <w:color w:val="000000" w:themeColor="text1"/>
                <w:sz w:val="24"/>
                <w:szCs w:val="24"/>
              </w:rPr>
              <w:t xml:space="preserve"> świadomości przyrodniczej turystów odwiedzających TPN</w:t>
            </w:r>
            <w:r>
              <w:rPr>
                <w:color w:val="000000" w:themeColor="text1"/>
                <w:sz w:val="24"/>
                <w:szCs w:val="24"/>
              </w:rPr>
              <w:t>, trudno oszacować</w:t>
            </w:r>
            <w:r w:rsidR="00934F8B">
              <w:rPr>
                <w:color w:val="000000" w:themeColor="text1"/>
                <w:sz w:val="24"/>
                <w:szCs w:val="24"/>
              </w:rPr>
              <w:t xml:space="preserve"> potencjalny</w:t>
            </w:r>
            <w:r>
              <w:rPr>
                <w:color w:val="000000" w:themeColor="text1"/>
                <w:sz w:val="24"/>
                <w:szCs w:val="24"/>
              </w:rPr>
              <w:t xml:space="preserve"> wkład projektu w realizację potrzeb. </w:t>
            </w:r>
            <w:r w:rsidR="007B53A8">
              <w:rPr>
                <w:color w:val="000000" w:themeColor="text1"/>
                <w:sz w:val="24"/>
                <w:szCs w:val="24"/>
              </w:rPr>
              <w:t xml:space="preserve">Wg informacji podanych na stronie TPN w roku 2019 Tatrzański Park Narodowy odwiedziło ok 3 947 350 osób. </w:t>
            </w:r>
            <w:r w:rsidR="00AE111F">
              <w:rPr>
                <w:color w:val="000000" w:themeColor="text1"/>
                <w:sz w:val="24"/>
                <w:szCs w:val="24"/>
              </w:rPr>
              <w:t xml:space="preserve">Trudno ocenić jak wiele z tych osób tylko raz w ciągu roku odwiedziło TPN. </w:t>
            </w:r>
            <w:r>
              <w:rPr>
                <w:color w:val="000000" w:themeColor="text1"/>
                <w:sz w:val="24"/>
                <w:szCs w:val="24"/>
              </w:rPr>
              <w:t xml:space="preserve">Zakładana </w:t>
            </w:r>
            <w:r w:rsidR="007B53A8">
              <w:rPr>
                <w:color w:val="000000" w:themeColor="text1"/>
                <w:sz w:val="24"/>
                <w:szCs w:val="24"/>
              </w:rPr>
              <w:t>przez Beneficjenta ś</w:t>
            </w:r>
            <w:r w:rsidRPr="00934F8B">
              <w:rPr>
                <w:color w:val="000000" w:themeColor="text1"/>
                <w:sz w:val="24"/>
                <w:szCs w:val="24"/>
              </w:rPr>
              <w:t xml:space="preserve">rednia liczba odbiorców działań edukacyjnych prowadzonych w obiektach będących przedmiotem wsparcia w skali roku </w:t>
            </w:r>
            <w:r w:rsidR="007B53A8" w:rsidRPr="00934F8B">
              <w:rPr>
                <w:color w:val="000000" w:themeColor="text1"/>
                <w:sz w:val="24"/>
                <w:szCs w:val="24"/>
              </w:rPr>
              <w:t>wynosi</w:t>
            </w:r>
            <w:r w:rsidRPr="00934F8B">
              <w:rPr>
                <w:color w:val="000000" w:themeColor="text1"/>
                <w:sz w:val="24"/>
                <w:szCs w:val="24"/>
              </w:rPr>
              <w:t xml:space="preserve"> 27</w:t>
            </w:r>
            <w:r w:rsidR="009B5AA7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34F8B">
              <w:rPr>
                <w:color w:val="000000" w:themeColor="text1"/>
                <w:sz w:val="24"/>
                <w:szCs w:val="24"/>
              </w:rPr>
              <w:t>705 osoby średniorocznie</w:t>
            </w:r>
            <w:r w:rsidR="007B53A8" w:rsidRPr="003A5A80">
              <w:rPr>
                <w:sz w:val="24"/>
                <w:szCs w:val="24"/>
              </w:rPr>
              <w:t xml:space="preserve">. </w:t>
            </w:r>
            <w:r w:rsidR="003A5A80">
              <w:rPr>
                <w:sz w:val="24"/>
                <w:szCs w:val="24"/>
              </w:rPr>
              <w:t>Z</w:t>
            </w:r>
            <w:r w:rsidRPr="003A5A80">
              <w:rPr>
                <w:sz w:val="24"/>
                <w:szCs w:val="24"/>
              </w:rPr>
              <w:t>akłada</w:t>
            </w:r>
            <w:r w:rsidR="00934F8B" w:rsidRPr="003A5A80">
              <w:rPr>
                <w:sz w:val="24"/>
                <w:szCs w:val="24"/>
              </w:rPr>
              <w:t xml:space="preserve"> on</w:t>
            </w:r>
            <w:r w:rsidRPr="003A5A80">
              <w:rPr>
                <w:sz w:val="24"/>
                <w:szCs w:val="24"/>
              </w:rPr>
              <w:t xml:space="preserve"> liczbę 75</w:t>
            </w:r>
            <w:r w:rsidR="009B5AA7" w:rsidRPr="003A5A80">
              <w:rPr>
                <w:sz w:val="24"/>
                <w:szCs w:val="24"/>
              </w:rPr>
              <w:t xml:space="preserve"> </w:t>
            </w:r>
            <w:r w:rsidRPr="003A5A80">
              <w:rPr>
                <w:sz w:val="24"/>
                <w:szCs w:val="24"/>
              </w:rPr>
              <w:t xml:space="preserve">000 odwiedzających rocznie </w:t>
            </w:r>
            <w:r w:rsidR="00934F8B" w:rsidRPr="003A5A80">
              <w:rPr>
                <w:sz w:val="24"/>
                <w:szCs w:val="24"/>
              </w:rPr>
              <w:t xml:space="preserve">Centrum Edukacji </w:t>
            </w:r>
            <w:r w:rsidRPr="003A5A80">
              <w:rPr>
                <w:sz w:val="24"/>
                <w:szCs w:val="24"/>
              </w:rPr>
              <w:t>w stosunku do 47</w:t>
            </w:r>
            <w:r w:rsidR="009B5AA7" w:rsidRPr="003A5A80">
              <w:rPr>
                <w:sz w:val="24"/>
                <w:szCs w:val="24"/>
              </w:rPr>
              <w:t xml:space="preserve"> </w:t>
            </w:r>
            <w:r w:rsidRPr="003A5A80">
              <w:rPr>
                <w:sz w:val="24"/>
                <w:szCs w:val="24"/>
              </w:rPr>
              <w:t xml:space="preserve">295 </w:t>
            </w:r>
            <w:r w:rsidR="00934F8B" w:rsidRPr="003A5A80">
              <w:rPr>
                <w:sz w:val="24"/>
                <w:szCs w:val="24"/>
              </w:rPr>
              <w:t xml:space="preserve">osób - </w:t>
            </w:r>
            <w:r w:rsidRPr="003A5A80">
              <w:rPr>
                <w:sz w:val="24"/>
                <w:szCs w:val="24"/>
              </w:rPr>
              <w:t>średnia odwiedzin w okresie ostatnich 5</w:t>
            </w:r>
            <w:r w:rsidR="00934F8B" w:rsidRPr="003A5A80">
              <w:rPr>
                <w:sz w:val="24"/>
                <w:szCs w:val="24"/>
              </w:rPr>
              <w:t xml:space="preserve"> l</w:t>
            </w:r>
            <w:r w:rsidRPr="003A5A80">
              <w:rPr>
                <w:sz w:val="24"/>
                <w:szCs w:val="24"/>
              </w:rPr>
              <w:t>at</w:t>
            </w:r>
            <w:r w:rsidR="00934F8B" w:rsidRPr="003A5A80">
              <w:rPr>
                <w:sz w:val="24"/>
                <w:szCs w:val="24"/>
              </w:rPr>
              <w:t>.</w:t>
            </w:r>
            <w:r w:rsidR="00AE111F" w:rsidRPr="003A5A80">
              <w:rPr>
                <w:sz w:val="24"/>
                <w:szCs w:val="24"/>
              </w:rPr>
              <w:t xml:space="preserve"> </w:t>
            </w:r>
            <w:r w:rsidR="00AE111F" w:rsidRPr="00AE111F">
              <w:rPr>
                <w:sz w:val="24"/>
                <w:szCs w:val="24"/>
              </w:rPr>
              <w:t>W zakresie tej potrzeby efekt nasycenia będzie częściowy</w:t>
            </w:r>
            <w:r w:rsidR="00AE111F">
              <w:rPr>
                <w:sz w:val="24"/>
                <w:szCs w:val="24"/>
              </w:rPr>
              <w:t>.</w:t>
            </w:r>
          </w:p>
          <w:p w14:paraId="04FCA43D" w14:textId="514B1E04" w:rsidR="00866787" w:rsidRPr="004E68A9" w:rsidRDefault="00866787" w:rsidP="004E68A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WKŁAD INNYCH PROJEKTÓW W REALIZAC</w:t>
            </w:r>
            <w:r w:rsidR="004E68A9" w:rsidRPr="004E68A9">
              <w:rPr>
                <w:b/>
                <w:bCs/>
                <w:color w:val="4472C4" w:themeColor="accent1"/>
              </w:rPr>
              <w:t>J</w:t>
            </w:r>
            <w:r w:rsidRPr="004E68A9">
              <w:rPr>
                <w:b/>
                <w:bCs/>
                <w:color w:val="4472C4" w:themeColor="accent1"/>
              </w:rPr>
              <w:t>Ę POTRZEB</w:t>
            </w:r>
          </w:p>
          <w:p w14:paraId="1D1E160E" w14:textId="61D25C1A" w:rsidR="00B84D46" w:rsidRPr="00176FE6" w:rsidRDefault="002F2FD0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176FE6">
              <w:rPr>
                <w:color w:val="000000" w:themeColor="text1"/>
                <w:sz w:val="24"/>
                <w:szCs w:val="24"/>
              </w:rPr>
              <w:t>Projekt nie stanowi części większego przedsięwzięcia inwestycyjnego, ale był bezpośrednim impulsem do realizacji budowy Centrum Edukacji Przyrodniczej Dolina Kościeliska – Kiry.</w:t>
            </w:r>
            <w:r w:rsidR="00176FE6" w:rsidRPr="00176FE6">
              <w:rPr>
                <w:color w:val="000000" w:themeColor="text1"/>
                <w:sz w:val="24"/>
                <w:szCs w:val="24"/>
              </w:rPr>
              <w:t xml:space="preserve"> Budowa nowoczesnego ośrodka informacyjno-edukacyjnego przy wejściu do Doliny Kościeliskiej przyczyni się do zaspokojenia potrzeby w zakresie podniesienia świadomości przyrodniczej turystów odwiedzających TPN. Podmiotem realizującym projekt jest Tatrzański Park Narodowy. Koszt budowy Centrum Edukacji Przyrodniczej </w:t>
            </w:r>
            <w:r w:rsidR="00BC2425">
              <w:rPr>
                <w:color w:val="000000" w:themeColor="text1"/>
                <w:sz w:val="24"/>
                <w:szCs w:val="24"/>
              </w:rPr>
              <w:t>Dolina</w:t>
            </w:r>
            <w:r w:rsidR="00E07BD3">
              <w:rPr>
                <w:color w:val="000000" w:themeColor="text1"/>
                <w:sz w:val="24"/>
                <w:szCs w:val="24"/>
              </w:rPr>
              <w:t xml:space="preserve"> </w:t>
            </w:r>
            <w:r w:rsidR="00BC2425" w:rsidRPr="00176FE6">
              <w:rPr>
                <w:color w:val="000000" w:themeColor="text1"/>
                <w:sz w:val="24"/>
                <w:szCs w:val="24"/>
              </w:rPr>
              <w:t>Kościelisk</w:t>
            </w:r>
            <w:r w:rsidR="00BC2425">
              <w:rPr>
                <w:color w:val="000000" w:themeColor="text1"/>
                <w:sz w:val="24"/>
                <w:szCs w:val="24"/>
              </w:rPr>
              <w:t>a - Kiry</w:t>
            </w:r>
            <w:r w:rsidR="00BC2425" w:rsidRPr="00176FE6">
              <w:rPr>
                <w:color w:val="000000" w:themeColor="text1"/>
                <w:sz w:val="24"/>
                <w:szCs w:val="24"/>
              </w:rPr>
              <w:t xml:space="preserve"> </w:t>
            </w:r>
            <w:r w:rsidR="00176FE6" w:rsidRPr="00176FE6">
              <w:rPr>
                <w:color w:val="000000" w:themeColor="text1"/>
                <w:sz w:val="24"/>
                <w:szCs w:val="24"/>
              </w:rPr>
              <w:t xml:space="preserve">to 10,2 mln zł. Projekt jest współfinansowany przez Unię Europejską w ramach programu Operacyjnego Infrastruktura i Środowisko 2014-2020, (7 000 000 zł), Tatrzański Park Narodowy (1,9 mln zł), oraz Narodowy Fundusz Ochrony Środowiska. Realizacja budynku przewidziana była w latach 2018 – 2019. TPN szacuje, że centrum odwiedzać będzie 120 </w:t>
            </w:r>
            <w:r w:rsidR="009B5AA7">
              <w:rPr>
                <w:color w:val="000000" w:themeColor="text1"/>
                <w:sz w:val="24"/>
                <w:szCs w:val="24"/>
              </w:rPr>
              <w:t>000</w:t>
            </w:r>
            <w:r w:rsidR="00176FE6" w:rsidRPr="00176FE6">
              <w:rPr>
                <w:color w:val="000000" w:themeColor="text1"/>
                <w:sz w:val="24"/>
                <w:szCs w:val="24"/>
              </w:rPr>
              <w:t xml:space="preserve"> osób rocznie. </w:t>
            </w:r>
          </w:p>
          <w:p w14:paraId="6B069DA1" w14:textId="142AFE34" w:rsidR="00866787" w:rsidRPr="004E68A9" w:rsidRDefault="00866787" w:rsidP="004E68A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4E68A9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2F861594" w14:textId="6D7AC31D" w:rsidR="00E6698C" w:rsidRDefault="00E6698C" w:rsidP="004E68A9">
            <w:pPr>
              <w:suppressAutoHyphens/>
              <w:spacing w:before="120" w:after="120" w:line="276" w:lineRule="auto"/>
              <w:jc w:val="both"/>
            </w:pPr>
            <w:r w:rsidRPr="00022F3D">
              <w:rPr>
                <w:sz w:val="24"/>
                <w:szCs w:val="24"/>
              </w:rPr>
              <w:lastRenderedPageBreak/>
              <w:t>Projekt zaspokaja w pełni potrzebę stworzenia n</w:t>
            </w:r>
            <w:r w:rsidRPr="00115E9E">
              <w:rPr>
                <w:color w:val="000000" w:themeColor="text1"/>
                <w:sz w:val="24"/>
                <w:szCs w:val="24"/>
              </w:rPr>
              <w:t>owoczesne</w:t>
            </w:r>
            <w:r w:rsidRPr="00E07BD3">
              <w:rPr>
                <w:color w:val="000000" w:themeColor="text1"/>
                <w:sz w:val="24"/>
                <w:szCs w:val="24"/>
              </w:rPr>
              <w:t>go</w:t>
            </w:r>
            <w:r>
              <w:rPr>
                <w:color w:val="000000" w:themeColor="text1"/>
                <w:sz w:val="24"/>
                <w:szCs w:val="24"/>
              </w:rPr>
              <w:t xml:space="preserve"> Centrum Edukacji Przyrodniczej na terenie parku naro</w:t>
            </w:r>
            <w:r w:rsidRPr="001D2E21">
              <w:rPr>
                <w:color w:val="000000" w:themeColor="text1"/>
                <w:sz w:val="24"/>
                <w:szCs w:val="24"/>
              </w:rPr>
              <w:t>dowego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BC2425" w:rsidRPr="001D2E21">
              <w:rPr>
                <w:color w:val="000000" w:themeColor="text1"/>
                <w:sz w:val="24"/>
                <w:szCs w:val="24"/>
              </w:rPr>
              <w:t>umożliwiając</w:t>
            </w:r>
            <w:r w:rsidR="00BC2425">
              <w:rPr>
                <w:color w:val="000000" w:themeColor="text1"/>
                <w:sz w:val="24"/>
                <w:szCs w:val="24"/>
              </w:rPr>
              <w:t>ego</w:t>
            </w:r>
            <w:r w:rsidR="00BC2425" w:rsidRPr="001D2E2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1D2E21">
              <w:rPr>
                <w:color w:val="000000" w:themeColor="text1"/>
                <w:sz w:val="24"/>
                <w:szCs w:val="24"/>
              </w:rPr>
              <w:t xml:space="preserve">prowadzenie </w:t>
            </w:r>
            <w:r>
              <w:rPr>
                <w:color w:val="000000" w:themeColor="text1"/>
                <w:sz w:val="24"/>
                <w:szCs w:val="24"/>
              </w:rPr>
              <w:t>atrakcyjnej w formie</w:t>
            </w:r>
            <w:r w:rsidRPr="001D2E21">
              <w:rPr>
                <w:color w:val="000000" w:themeColor="text1"/>
                <w:sz w:val="24"/>
                <w:szCs w:val="24"/>
              </w:rPr>
              <w:t xml:space="preserve"> edukacji </w:t>
            </w:r>
            <w:r w:rsidRPr="00712C93">
              <w:rPr>
                <w:color w:val="000000" w:themeColor="text1"/>
                <w:sz w:val="24"/>
                <w:szCs w:val="24"/>
              </w:rPr>
              <w:t>ekologicznej.</w:t>
            </w:r>
            <w:r>
              <w:rPr>
                <w:color w:val="000000" w:themeColor="text1"/>
                <w:sz w:val="24"/>
                <w:szCs w:val="24"/>
              </w:rPr>
              <w:t xml:space="preserve"> Realizacja drugiego </w:t>
            </w:r>
            <w:r w:rsidRPr="00176FE6">
              <w:rPr>
                <w:color w:val="000000" w:themeColor="text1"/>
                <w:sz w:val="24"/>
                <w:szCs w:val="24"/>
              </w:rPr>
              <w:t>Centrum Edukacji Przyrodniczej Dolina Kościeliska – Kiry</w:t>
            </w:r>
            <w:r>
              <w:rPr>
                <w:color w:val="000000" w:themeColor="text1"/>
                <w:sz w:val="24"/>
                <w:szCs w:val="24"/>
              </w:rPr>
              <w:t xml:space="preserve"> znacząco po</w:t>
            </w:r>
            <w:r w:rsidR="00DC6923">
              <w:rPr>
                <w:color w:val="000000" w:themeColor="text1"/>
                <w:sz w:val="24"/>
                <w:szCs w:val="24"/>
              </w:rPr>
              <w:t>d</w:t>
            </w:r>
            <w:r>
              <w:rPr>
                <w:color w:val="000000" w:themeColor="text1"/>
                <w:sz w:val="24"/>
                <w:szCs w:val="24"/>
              </w:rPr>
              <w:t>niesie liczbę osób odwiedzających TPN i korzystających z działań edukacyjnych TPN. Będzie miało to istotny wpływ na stopień zaspokojenia potrzeb w zakresie świadomości przyrodniczej turystów. Przy założeniach obu projektów Centra</w:t>
            </w:r>
            <w:r w:rsidR="009B5AA7">
              <w:rPr>
                <w:color w:val="000000" w:themeColor="text1"/>
                <w:sz w:val="24"/>
                <w:szCs w:val="24"/>
              </w:rPr>
              <w:t xml:space="preserve"> Edukacji Przyrodniczej na terenie TPN</w:t>
            </w:r>
            <w:r>
              <w:rPr>
                <w:color w:val="000000" w:themeColor="text1"/>
                <w:sz w:val="24"/>
                <w:szCs w:val="24"/>
              </w:rPr>
              <w:t xml:space="preserve"> w ciągu roku odwiedzi</w:t>
            </w:r>
            <w:r w:rsidR="00DC6923">
              <w:rPr>
                <w:color w:val="000000" w:themeColor="text1"/>
                <w:sz w:val="24"/>
                <w:szCs w:val="24"/>
              </w:rPr>
              <w:t xml:space="preserve"> łącznie</w:t>
            </w:r>
            <w:r>
              <w:rPr>
                <w:color w:val="000000" w:themeColor="text1"/>
                <w:sz w:val="24"/>
                <w:szCs w:val="24"/>
              </w:rPr>
              <w:t xml:space="preserve"> ok</w:t>
            </w:r>
            <w:r w:rsidR="00755FD4">
              <w:rPr>
                <w:color w:val="000000" w:themeColor="text1"/>
                <w:sz w:val="24"/>
                <w:szCs w:val="24"/>
              </w:rPr>
              <w:t>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9B5AA7">
              <w:rPr>
                <w:color w:val="000000" w:themeColor="text1"/>
                <w:sz w:val="24"/>
                <w:szCs w:val="24"/>
              </w:rPr>
              <w:t xml:space="preserve">195 000 osób. </w:t>
            </w:r>
          </w:p>
          <w:p w14:paraId="4C74CEDE" w14:textId="074D5E1F" w:rsidR="00091BF8" w:rsidRPr="003A5A80" w:rsidRDefault="005C06ED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bookmarkStart w:id="1" w:name="_Hlk30683628"/>
            <w:r>
              <w:rPr>
                <w:color w:val="000000" w:themeColor="text1"/>
                <w:sz w:val="24"/>
                <w:szCs w:val="24"/>
              </w:rPr>
              <w:t xml:space="preserve">Wg deklaracji beneficjenta </w:t>
            </w:r>
            <w:r w:rsidR="00DC6923">
              <w:rPr>
                <w:color w:val="000000" w:themeColor="text1"/>
                <w:sz w:val="24"/>
                <w:szCs w:val="24"/>
              </w:rPr>
              <w:t xml:space="preserve">zaspokojenie potrzeb w zakresie podniesienia świadomości przyrodniczej turystów dotyczyć będzie również słowackiej części Tatr, położonej poza obszarem oddziaływania. </w:t>
            </w:r>
            <w:bookmarkEnd w:id="1"/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7766BDA9" w:rsidR="00866787" w:rsidRPr="00804724" w:rsidRDefault="00EA7A15" w:rsidP="004E68A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38111E1C" w:rsidR="00EA7A15" w:rsidRPr="00EA7A15" w:rsidRDefault="00EA7A15" w:rsidP="004E68A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2985332D" w14:textId="75EA614A" w:rsidR="00570DE3" w:rsidRDefault="00570DE3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00C7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>
              <w:rPr>
                <w:rFonts w:cstheme="minorHAnsi"/>
                <w:sz w:val="24"/>
                <w:szCs w:val="24"/>
              </w:rPr>
              <w:t xml:space="preserve"> czynników programowych, które miały wpływ na przebieg realizacji projektu i stopień zaspokojenia potrzeb czy zakres projektu – brak informacji ze strony Beneficjenta. </w:t>
            </w:r>
          </w:p>
          <w:p w14:paraId="35358367" w14:textId="49CF7D92" w:rsidR="00EA7A15" w:rsidRPr="00EA7A15" w:rsidRDefault="00366F7F" w:rsidP="004E68A9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0867A43B" w14:textId="199C1CDC" w:rsidR="00091BF8" w:rsidRDefault="00570DE3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bookmarkStart w:id="2" w:name="_Hlk30683667"/>
            <w:r w:rsidRPr="00AA00C7">
              <w:rPr>
                <w:rFonts w:cstheme="minorHAnsi"/>
                <w:b/>
                <w:bCs/>
                <w:sz w:val="24"/>
                <w:szCs w:val="24"/>
              </w:rPr>
              <w:t>Nie zidentyfikowano</w:t>
            </w:r>
            <w:r>
              <w:rPr>
                <w:rFonts w:cstheme="minorHAnsi"/>
                <w:sz w:val="24"/>
                <w:szCs w:val="24"/>
              </w:rPr>
              <w:t xml:space="preserve"> czynników pozaprogramowych, które miały wpływ na przebieg realizacji projektu i stopień zaspokojenia potrzeb czy zakres projektu – brak informacji ze strony Beneficjenta. </w:t>
            </w:r>
            <w:bookmarkEnd w:id="2"/>
          </w:p>
          <w:p w14:paraId="2440DB77" w14:textId="18F19ED9" w:rsidR="00770D2B" w:rsidRPr="00570DE3" w:rsidRDefault="00770D2B" w:rsidP="004E68A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150BD800" w:rsidR="00E42784" w:rsidRPr="00E42784" w:rsidRDefault="00E42784" w:rsidP="004E68A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t>1.3. ZGODNOŚ</w:t>
            </w:r>
            <w:r w:rsidR="00BC2425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27F3E5B" w14:textId="1D586C4A" w:rsidR="003815C4" w:rsidRPr="00E10F90" w:rsidRDefault="003815C4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10F90">
              <w:rPr>
                <w:color w:val="000000" w:themeColor="text1"/>
                <w:sz w:val="24"/>
                <w:szCs w:val="24"/>
              </w:rPr>
              <w:t xml:space="preserve">Projekt jest w pełni zgodny ze szczegółowymi założeniami POIiŚ, w szczególności w zakresie zwiększania efektywności prowadzonych działań edukacyjnych poprzez zmianę sposobu prowadzenia tych działań na formę </w:t>
            </w:r>
            <w:r w:rsidR="00E10F90" w:rsidRPr="00E10F90">
              <w:rPr>
                <w:color w:val="000000" w:themeColor="text1"/>
                <w:sz w:val="24"/>
                <w:szCs w:val="24"/>
              </w:rPr>
              <w:t xml:space="preserve">wykorzystującą nowoczesne technologie 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i atrakcyjniejszą w odbiorze. </w:t>
            </w:r>
          </w:p>
          <w:p w14:paraId="290F6E51" w14:textId="2E323E22" w:rsidR="00A203B5" w:rsidRPr="00E10F90" w:rsidRDefault="00E10F90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10F90">
              <w:rPr>
                <w:color w:val="000000" w:themeColor="text1"/>
                <w:sz w:val="24"/>
                <w:szCs w:val="24"/>
              </w:rPr>
              <w:t>Wpisuje się w zakres działania 2.4</w:t>
            </w:r>
            <w:r w:rsidR="00BC24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22F3D">
              <w:rPr>
                <w:color w:val="000000" w:themeColor="text1"/>
                <w:sz w:val="24"/>
                <w:szCs w:val="24"/>
              </w:rPr>
              <w:t>POIi</w:t>
            </w:r>
            <w:r w:rsidR="00022F3D">
              <w:rPr>
                <w:color w:val="000000" w:themeColor="text1"/>
                <w:sz w:val="24"/>
                <w:szCs w:val="24"/>
              </w:rPr>
              <w:t>Ś</w:t>
            </w:r>
            <w:r w:rsidR="00022F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BC2425">
              <w:rPr>
                <w:color w:val="000000" w:themeColor="text1"/>
                <w:sz w:val="24"/>
                <w:szCs w:val="24"/>
              </w:rPr>
              <w:t>2014-2020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który obejmuje wzmocnienie mechanizmów służących ochronie przyrody. E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dukacja przyrodnicza społeczeństwa,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 xml:space="preserve">w szczególności osób </w:t>
            </w:r>
            <w:r>
              <w:rPr>
                <w:color w:val="000000" w:themeColor="text1"/>
                <w:sz w:val="24"/>
                <w:szCs w:val="24"/>
              </w:rPr>
              <w:t>o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dwiedzających obszary chronione stanowi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ważny element mechanizmów ochrony przyrody. Eliminacja niewłaściwych zachowań turystów w powiązaniu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ze wskazywaniem pozytywnych wzorców postępowania przyczyni się do przeciwdziałania degradacji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udostępnionych obszarów Parku, a w konsekwencji do utrzymania różnorodności biologicznej terenów</w:t>
            </w:r>
            <w:r w:rsidRPr="00E10F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A203B5" w:rsidRPr="00E10F90">
              <w:rPr>
                <w:color w:val="000000" w:themeColor="text1"/>
                <w:sz w:val="24"/>
                <w:szCs w:val="24"/>
              </w:rPr>
              <w:t>chronionych.</w:t>
            </w:r>
          </w:p>
          <w:p w14:paraId="2C30EE49" w14:textId="4511697F" w:rsidR="00D51E43" w:rsidRPr="003A3377" w:rsidRDefault="00D51E43" w:rsidP="004E68A9">
            <w:pPr>
              <w:suppressAutoHyphens/>
              <w:spacing w:before="120" w:after="120" w:line="276" w:lineRule="auto"/>
              <w:jc w:val="both"/>
              <w:rPr>
                <w:lang w:eastAsia="pl-PL"/>
              </w:rPr>
            </w:pP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40871BE" w:rsidR="00866787" w:rsidRPr="00804724" w:rsidRDefault="00EA7A15" w:rsidP="004E68A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65E8F628" w:rsidR="00EA7A15" w:rsidRPr="00EA7A15" w:rsidRDefault="00CA01D8" w:rsidP="004E68A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6AB3216A" w14:textId="7F790297" w:rsidR="00516502" w:rsidRPr="003A5A80" w:rsidRDefault="00516502" w:rsidP="004E68A9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16502">
              <w:rPr>
                <w:color w:val="000000" w:themeColor="text1"/>
                <w:sz w:val="24"/>
                <w:szCs w:val="24"/>
              </w:rPr>
              <w:lastRenderedPageBreak/>
              <w:t>Projekt przyczynia się w sposób bezpośredni do zwiększenia świadomości społecznej i zaangażowanie obywateli w aktywną ochronę środowiska oraz kształtowanie postaw proekologicznych poprzez rozwój bazy ośrodków prowadzących edukację ekologiczną,</w:t>
            </w:r>
            <w:r w:rsidRPr="00516502">
              <w:rPr>
                <w:color w:val="C00000"/>
                <w:sz w:val="24"/>
                <w:szCs w:val="24"/>
              </w:rPr>
              <w:t xml:space="preserve"> </w:t>
            </w:r>
            <w:r w:rsidRPr="003A5A80">
              <w:rPr>
                <w:sz w:val="24"/>
                <w:szCs w:val="24"/>
              </w:rPr>
              <w:t xml:space="preserve">a to pośrednio wpływa na wzmocnienie mechanizmów służących ochronie przyrody. </w:t>
            </w:r>
          </w:p>
          <w:p w14:paraId="6A22C991" w14:textId="1EDEA52A" w:rsidR="00516502" w:rsidRPr="00516502" w:rsidRDefault="00516502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516502">
              <w:rPr>
                <w:color w:val="000000" w:themeColor="text1"/>
                <w:sz w:val="24"/>
                <w:szCs w:val="24"/>
              </w:rPr>
              <w:t xml:space="preserve">Projekt pośrednio wpływa </w:t>
            </w:r>
            <w:r w:rsidR="00BC2425">
              <w:rPr>
                <w:color w:val="000000" w:themeColor="text1"/>
                <w:sz w:val="24"/>
                <w:szCs w:val="24"/>
              </w:rPr>
              <w:t xml:space="preserve">na </w:t>
            </w:r>
            <w:r w:rsidRPr="00516502">
              <w:rPr>
                <w:color w:val="000000" w:themeColor="text1"/>
                <w:sz w:val="24"/>
                <w:szCs w:val="24"/>
              </w:rPr>
              <w:t xml:space="preserve">podniesienie walorów przyrodniczych TPN poprzez </w:t>
            </w:r>
            <w:r w:rsidR="00BC2425">
              <w:rPr>
                <w:color w:val="000000" w:themeColor="text1"/>
                <w:sz w:val="24"/>
                <w:szCs w:val="24"/>
              </w:rPr>
              <w:t>zwiększenie</w:t>
            </w:r>
            <w:r w:rsidR="00BC2425" w:rsidRPr="0051650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16502">
              <w:rPr>
                <w:color w:val="000000" w:themeColor="text1"/>
                <w:sz w:val="24"/>
                <w:szCs w:val="24"/>
              </w:rPr>
              <w:t xml:space="preserve">wiedzy na temat zasobów przyrodniczych TPN. </w:t>
            </w:r>
          </w:p>
          <w:p w14:paraId="54279AE3" w14:textId="3BA342ED" w:rsidR="0012386B" w:rsidRDefault="00DB0798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B0798">
              <w:rPr>
                <w:color w:val="000000" w:themeColor="text1"/>
                <w:sz w:val="24"/>
                <w:szCs w:val="24"/>
              </w:rPr>
              <w:t xml:space="preserve">Efekt realizacji projektu, jakim jest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edukacja przyrodnicza</w:t>
            </w:r>
            <w:r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odwiedzających Tatrzański Park Narodowy, w szczególności kształtowanie odpowiedzialnych postaw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ekologicznych, przyczynia</w:t>
            </w:r>
            <w:r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się bezpośrednio do realizacji celów polityki ochrony środowiska w zakresie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zachowania bioróżnorodności. Realizacja projektu wpisuje się w założenia celu 6. Strategicznego Planu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adaptacji dla sektorów i obszarów wrażliwych na zmiany klimatu do roku 2020. Cele edukacyjne projektu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zakładają działania zmierzające do budowania świadomości i podnoszenia poziomu wiedzy odwiedzających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Centrum, między innymi w zakresie wpływu zmian klimatu na tatrzańskie ekosystemy, ich różnorodność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biologiczną oraz wymagań stojących przed Parkiem w zakresie zapobiegania i przeciwdziałania negatywnym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zjawiskom.</w:t>
            </w:r>
            <w:r>
              <w:rPr>
                <w:color w:val="000000" w:themeColor="text1"/>
                <w:sz w:val="24"/>
                <w:szCs w:val="24"/>
              </w:rPr>
              <w:t xml:space="preserve"> Z</w:t>
            </w:r>
            <w:r w:rsidRPr="00DB0798">
              <w:rPr>
                <w:color w:val="000000" w:themeColor="text1"/>
                <w:sz w:val="24"/>
                <w:szCs w:val="24"/>
              </w:rPr>
              <w:t>miany klimatu i ich wpływ na środowisko naturalne Tatrzańskiego Parku Narodowego, będą jednym z elementów działań edukacyjnych podejmowanych w ramach działalności Centrum, co przyczyni się do zwiększania wiedzy w tym zakresie wśród odwiedzających.</w:t>
            </w:r>
          </w:p>
          <w:p w14:paraId="4CB37FCB" w14:textId="55F2523E" w:rsidR="00372A53" w:rsidRPr="00804724" w:rsidRDefault="00DB0798" w:rsidP="004E68A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DB0798">
              <w:rPr>
                <w:color w:val="000000" w:themeColor="text1"/>
                <w:sz w:val="24"/>
                <w:szCs w:val="24"/>
              </w:rPr>
              <w:t>Projekt w fazie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 xml:space="preserve"> inwestycyjn</w:t>
            </w:r>
            <w:r w:rsidRPr="00DB0798">
              <w:rPr>
                <w:color w:val="000000" w:themeColor="text1"/>
                <w:sz w:val="24"/>
                <w:szCs w:val="24"/>
              </w:rPr>
              <w:t>ej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 xml:space="preserve"> (wykonanie przebudowy obiektu Centrum) w zakresie 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t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ermomodernizacji (ściany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 xml:space="preserve">zewnętrzne, pokrycie dachowe) </w:t>
            </w:r>
            <w:r w:rsidRPr="00DB0798">
              <w:rPr>
                <w:color w:val="000000" w:themeColor="text1"/>
                <w:sz w:val="24"/>
                <w:szCs w:val="24"/>
              </w:rPr>
              <w:t>przyczynia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 xml:space="preserve"> się do zmniejszenia zapotrzebowania obiektu na ciepło, a w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konsekwencji do ograniczenia emisji gazów cieplarnianych. Projekt budowlany dla obiektu przewiduje</w:t>
            </w:r>
            <w:r w:rsidRPr="00DB0798">
              <w:rPr>
                <w:color w:val="000000" w:themeColor="text1"/>
                <w:sz w:val="24"/>
                <w:szCs w:val="24"/>
              </w:rPr>
              <w:t xml:space="preserve"> również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 xml:space="preserve"> zastosowanie materiałów i technologii odpowiadających wyzwaniom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związanym z przewidywanymi zmianami klimatycznymi, w szczególności zmiennością temperatur, silnymi</w:t>
            </w:r>
            <w:r w:rsidR="009C3C3B" w:rsidRPr="00DB07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202AB8" w:rsidRPr="00DB0798">
              <w:rPr>
                <w:color w:val="000000" w:themeColor="text1"/>
                <w:sz w:val="24"/>
                <w:szCs w:val="24"/>
              </w:rPr>
              <w:t>wiatrami oraz wysoką intensywnością opadów.</w:t>
            </w:r>
          </w:p>
        </w:tc>
      </w:tr>
      <w:tr w:rsidR="00EF4EE6" w:rsidRPr="004E68A9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22A8ED15" w:rsidR="00EF4EE6" w:rsidRPr="004E68A9" w:rsidRDefault="002C5E37" w:rsidP="004E68A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4E68A9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4E68A9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4E68A9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4E68A9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F710583" w14:textId="5BD56625" w:rsidR="00A203B5" w:rsidRPr="0048292E" w:rsidRDefault="00201A21" w:rsidP="004E68A9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8292E">
              <w:rPr>
                <w:color w:val="000000" w:themeColor="text1"/>
                <w:sz w:val="24"/>
                <w:szCs w:val="24"/>
              </w:rPr>
              <w:t xml:space="preserve">Wpływ projektu na zmiany w obszarze rozwoju gospodarczego </w:t>
            </w:r>
            <w:r w:rsidR="0048292E" w:rsidRPr="0048292E">
              <w:rPr>
                <w:color w:val="000000" w:themeColor="text1"/>
                <w:sz w:val="24"/>
                <w:szCs w:val="24"/>
              </w:rPr>
              <w:t>będzie bezpośredni, ale w niewielkim zakresie. Będzie to generacja dwóch nowych miejsc pracy związanych z obsługą zwiedzających Cen</w:t>
            </w:r>
            <w:r w:rsidR="00A203B5" w:rsidRPr="0048292E">
              <w:rPr>
                <w:color w:val="000000" w:themeColor="text1"/>
                <w:sz w:val="24"/>
                <w:szCs w:val="24"/>
              </w:rPr>
              <w:t>trum Edukacji Przyrodniczej TPN</w:t>
            </w:r>
            <w:r w:rsidR="0048292E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14:paraId="68181EDD" w14:textId="43D3A69E" w:rsidR="0048292E" w:rsidRPr="0048292E" w:rsidRDefault="0048292E" w:rsidP="004E68A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8292E">
              <w:rPr>
                <w:color w:val="000000" w:themeColor="text1"/>
                <w:sz w:val="24"/>
                <w:szCs w:val="24"/>
              </w:rPr>
              <w:t xml:space="preserve">Na etapie inwestycyjnym,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>w szczególności wykonywani</w:t>
            </w:r>
            <w:r w:rsidRPr="0048292E">
              <w:rPr>
                <w:color w:val="000000" w:themeColor="text1"/>
                <w:sz w:val="24"/>
                <w:szCs w:val="24"/>
              </w:rPr>
              <w:t>a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 xml:space="preserve"> robót budowlanych</w:t>
            </w:r>
            <w:r w:rsidRPr="0048292E">
              <w:rPr>
                <w:color w:val="000000" w:themeColor="text1"/>
                <w:sz w:val="24"/>
                <w:szCs w:val="24"/>
              </w:rPr>
              <w:t xml:space="preserve"> projekt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>przyczyni</w:t>
            </w:r>
            <w:r w:rsidRPr="0048292E">
              <w:rPr>
                <w:color w:val="000000" w:themeColor="text1"/>
                <w:sz w:val="24"/>
                <w:szCs w:val="24"/>
              </w:rPr>
              <w:t>a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 xml:space="preserve"> się do</w:t>
            </w:r>
            <w:r w:rsidRPr="004829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>stymulowania lokalnej gospodarki</w:t>
            </w:r>
            <w:r w:rsidRPr="0048292E">
              <w:rPr>
                <w:color w:val="000000" w:themeColor="text1"/>
                <w:sz w:val="24"/>
                <w:szCs w:val="24"/>
              </w:rPr>
              <w:t xml:space="preserve"> poprzez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>zaangażowani</w:t>
            </w:r>
            <w:r w:rsidRPr="0048292E">
              <w:rPr>
                <w:color w:val="000000" w:themeColor="text1"/>
                <w:sz w:val="24"/>
                <w:szCs w:val="24"/>
              </w:rPr>
              <w:t>e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 xml:space="preserve"> pracowników</w:t>
            </w:r>
            <w:r w:rsidRPr="0048292E">
              <w:rPr>
                <w:color w:val="000000" w:themeColor="text1"/>
                <w:sz w:val="24"/>
                <w:szCs w:val="24"/>
              </w:rPr>
              <w:t xml:space="preserve">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>różnorodnych specjalności. Realizacja projektu skutkuje czasowym zatrudnieniem pracowników zewnętrznych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236FEB" w:rsidRPr="0048292E">
              <w:rPr>
                <w:color w:val="000000" w:themeColor="text1"/>
                <w:sz w:val="24"/>
                <w:szCs w:val="24"/>
              </w:rPr>
              <w:t xml:space="preserve">związanych z jego realizacją (inspektor nadzoru, konsultant ds. zarządzania). </w:t>
            </w:r>
          </w:p>
          <w:p w14:paraId="31B8724C" w14:textId="40A770C1" w:rsidR="00372A53" w:rsidRPr="0048292E" w:rsidRDefault="00236FEB" w:rsidP="004E68A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48292E">
              <w:rPr>
                <w:color w:val="000000" w:themeColor="text1"/>
                <w:sz w:val="24"/>
                <w:szCs w:val="24"/>
              </w:rPr>
              <w:t>Realizacja</w:t>
            </w:r>
            <w:r w:rsidR="0048292E" w:rsidRPr="0048292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8292E">
              <w:rPr>
                <w:color w:val="000000" w:themeColor="text1"/>
                <w:sz w:val="24"/>
                <w:szCs w:val="24"/>
              </w:rPr>
              <w:t>projektu przyczyni się do wzrostu atrakcyjności regionu w zakresie oferowanych usług turystycznych.</w:t>
            </w:r>
          </w:p>
        </w:tc>
      </w:tr>
      <w:tr w:rsidR="009743FA" w:rsidRPr="004E68A9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1C3C3AD0" w:rsidR="009743FA" w:rsidRPr="004E68A9" w:rsidRDefault="00044677" w:rsidP="004E68A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4E68A9">
              <w:rPr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4E68A9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4E68A9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4E68A9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368095C1" w:rsidR="00866787" w:rsidRPr="00372A53" w:rsidRDefault="00F8700B" w:rsidP="004E68A9">
            <w:pPr>
              <w:spacing w:before="120" w:after="120" w:line="276" w:lineRule="auto"/>
              <w:jc w:val="both"/>
              <w:rPr>
                <w:color w:val="808080" w:themeColor="background1" w:themeShade="80"/>
              </w:rPr>
            </w:pPr>
            <w:bookmarkStart w:id="3" w:name="_Hlk30683854"/>
            <w:r w:rsidRPr="00F8700B">
              <w:rPr>
                <w:color w:val="000000" w:themeColor="text1"/>
                <w:sz w:val="24"/>
                <w:szCs w:val="24"/>
              </w:rPr>
              <w:t>Nie zidentyfikowano czynników wpływających długofalowo na poprawę jakości życia.</w:t>
            </w:r>
            <w:r>
              <w:rPr>
                <w:lang w:eastAsia="pl-PL"/>
              </w:rPr>
              <w:t xml:space="preserve"> </w:t>
            </w:r>
            <w:r w:rsidR="00313647">
              <w:rPr>
                <w:lang w:eastAsia="pl-PL"/>
              </w:rPr>
              <w:t xml:space="preserve"> </w:t>
            </w:r>
            <w:bookmarkEnd w:id="3"/>
          </w:p>
        </w:tc>
      </w:tr>
      <w:tr w:rsidR="00866787" w:rsidRPr="004E68A9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08D35797" w:rsidR="00866787" w:rsidRPr="004E68A9" w:rsidRDefault="00733656" w:rsidP="004E68A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4" w:name="_Hlk30447922"/>
            <w:r w:rsidRPr="004E68A9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4E68A9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4E68A9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4E68A9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4E68A9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4E68A9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4E68A9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4E68A9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4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4E68A9" w:rsidRDefault="00EF4EE6" w:rsidP="004E68A9">
            <w:pPr>
              <w:spacing w:before="120" w:after="120" w:line="276" w:lineRule="auto"/>
              <w:rPr>
                <w:color w:val="4472C4" w:themeColor="accent1"/>
              </w:rPr>
            </w:pPr>
            <w:bookmarkStart w:id="5" w:name="_Hlk30683892"/>
            <w:r w:rsidRPr="004E68A9">
              <w:rPr>
                <w:b/>
                <w:color w:val="4472C4" w:themeColor="accent1"/>
              </w:rPr>
              <w:t>EFEKT SYNERGII</w:t>
            </w:r>
          </w:p>
          <w:p w14:paraId="046AC3BE" w14:textId="3E9F8060" w:rsidR="00372A53" w:rsidRPr="00022F3D" w:rsidRDefault="005F50AE" w:rsidP="004E68A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6" w:name="_Hlk30754339"/>
            <w:bookmarkStart w:id="7" w:name="_Hlk30754040"/>
            <w:r w:rsidRPr="00022F3D">
              <w:rPr>
                <w:sz w:val="24"/>
                <w:szCs w:val="24"/>
              </w:rPr>
              <w:t xml:space="preserve"> Projekt jest powiązany z </w:t>
            </w:r>
            <w:r w:rsidR="00BC2425" w:rsidRPr="00022F3D">
              <w:rPr>
                <w:sz w:val="24"/>
                <w:szCs w:val="24"/>
              </w:rPr>
              <w:t>projekt</w:t>
            </w:r>
            <w:r w:rsidR="00BC2425">
              <w:rPr>
                <w:sz w:val="24"/>
                <w:szCs w:val="24"/>
              </w:rPr>
              <w:t xml:space="preserve">em </w:t>
            </w:r>
            <w:r w:rsidR="00BC2425" w:rsidRPr="00BC2425">
              <w:rPr>
                <w:sz w:val="24"/>
                <w:szCs w:val="24"/>
              </w:rPr>
              <w:t>CEP Dolina Kościeliska – Kiry</w:t>
            </w:r>
            <w:r w:rsidRPr="00022F3D">
              <w:rPr>
                <w:sz w:val="24"/>
                <w:szCs w:val="24"/>
              </w:rPr>
              <w:t xml:space="preserve">. </w:t>
            </w:r>
            <w:bookmarkEnd w:id="6"/>
          </w:p>
          <w:bookmarkEnd w:id="7"/>
          <w:p w14:paraId="5BF96224" w14:textId="77777777" w:rsidR="00EF4EE6" w:rsidRPr="004E68A9" w:rsidRDefault="00EF4EE6" w:rsidP="004E68A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EFEKT IMPULSU</w:t>
            </w:r>
          </w:p>
          <w:p w14:paraId="2B166F9A" w14:textId="0A08F830" w:rsidR="006D431E" w:rsidRPr="00611F68" w:rsidRDefault="006D431E" w:rsidP="004E68A9">
            <w:pPr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11F68">
              <w:rPr>
                <w:color w:val="000000" w:themeColor="text1"/>
                <w:sz w:val="24"/>
                <w:szCs w:val="24"/>
              </w:rPr>
              <w:t xml:space="preserve">Projekt był impulsem do realizacji podobnego projektu w zakresie budowy centrum edukacji również na terenie TPN tj. do budowy Centrum Edukacji Przyrodniczej Dolina Kościeliska – Kiry. </w:t>
            </w:r>
          </w:p>
          <w:p w14:paraId="0C0CF028" w14:textId="39821673" w:rsidR="00EF4EE6" w:rsidRPr="004E68A9" w:rsidRDefault="00EF4EE6" w:rsidP="004E68A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EFEKT D</w:t>
            </w:r>
            <w:r w:rsidR="004E68A9">
              <w:rPr>
                <w:b/>
                <w:bCs/>
                <w:color w:val="4472C4" w:themeColor="accent1"/>
              </w:rPr>
              <w:t>Ź</w:t>
            </w:r>
            <w:r w:rsidRPr="004E68A9">
              <w:rPr>
                <w:b/>
                <w:bCs/>
                <w:color w:val="4472C4" w:themeColor="accent1"/>
              </w:rPr>
              <w:t>WIGNI</w:t>
            </w:r>
            <w:r w:rsidR="00733656" w:rsidRPr="004E68A9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4E68A9">
              <w:rPr>
                <w:b/>
                <w:bCs/>
                <w:color w:val="4472C4" w:themeColor="accent1"/>
              </w:rPr>
              <w:t>AN</w:t>
            </w:r>
            <w:r w:rsidR="00733656" w:rsidRPr="004E68A9">
              <w:rPr>
                <w:b/>
                <w:bCs/>
                <w:color w:val="4472C4" w:themeColor="accent1"/>
              </w:rPr>
              <w:t>SOWEJ</w:t>
            </w:r>
          </w:p>
          <w:p w14:paraId="02D2E712" w14:textId="0411500E" w:rsidR="006D431E" w:rsidRPr="00611F68" w:rsidRDefault="005F50AE" w:rsidP="004E68A9">
            <w:pPr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Można przypuszczać, że p</w:t>
            </w:r>
            <w:r w:rsidR="006D431E" w:rsidRPr="00611F68">
              <w:rPr>
                <w:color w:val="000000" w:themeColor="text1"/>
                <w:sz w:val="24"/>
                <w:szCs w:val="24"/>
              </w:rPr>
              <w:t xml:space="preserve">rojekt był impulsem do zaangażowania częściowo środków własnych w podobny projekt tj. budowę Centrum Edukacji Przyrodniczej Dolina Kościeliska – Kiry. </w:t>
            </w:r>
            <w:r>
              <w:rPr>
                <w:color w:val="000000" w:themeColor="text1"/>
                <w:sz w:val="24"/>
                <w:szCs w:val="24"/>
              </w:rPr>
              <w:t>Brak jednak potwierdzających informacji od Beneficjenta.</w:t>
            </w:r>
          </w:p>
          <w:p w14:paraId="575DFE4D" w14:textId="45160465" w:rsidR="00EF4EE6" w:rsidRPr="004E68A9" w:rsidRDefault="00EF4EE6" w:rsidP="004E68A9">
            <w:pPr>
              <w:spacing w:before="120" w:after="120" w:line="276" w:lineRule="auto"/>
              <w:rPr>
                <w:i/>
                <w:iCs/>
                <w:color w:val="4472C4" w:themeColor="accent1"/>
              </w:rPr>
            </w:pPr>
            <w:r w:rsidRPr="004E68A9">
              <w:rPr>
                <w:b/>
                <w:color w:val="4472C4" w:themeColor="accent1"/>
              </w:rPr>
              <w:t>EFEKT PRZEMIESZCZENIA</w:t>
            </w:r>
          </w:p>
          <w:p w14:paraId="2403C9BF" w14:textId="59DEE117" w:rsidR="00611F68" w:rsidRPr="00E969E7" w:rsidRDefault="00611F68" w:rsidP="004E68A9">
            <w:pPr>
              <w:spacing w:line="276" w:lineRule="auto"/>
              <w:contextualSpacing/>
              <w:jc w:val="both"/>
              <w:rPr>
                <w:i/>
                <w:iCs/>
                <w:color w:val="808080" w:themeColor="background1" w:themeShade="80"/>
              </w:rPr>
            </w:pPr>
            <w:r w:rsidRPr="00387BD2">
              <w:rPr>
                <w:rFonts w:cstheme="minorHAnsi"/>
                <w:sz w:val="24"/>
                <w:szCs w:val="24"/>
              </w:rPr>
              <w:t>Na obecn</w:t>
            </w:r>
            <w:r>
              <w:rPr>
                <w:rFonts w:cstheme="minorHAnsi"/>
                <w:sz w:val="24"/>
                <w:szCs w:val="24"/>
              </w:rPr>
              <w:t>ą</w:t>
            </w:r>
            <w:r w:rsidRPr="00387BD2">
              <w:rPr>
                <w:rFonts w:cstheme="minorHAnsi"/>
                <w:sz w:val="24"/>
                <w:szCs w:val="24"/>
              </w:rPr>
              <w:t xml:space="preserve"> chwilę nie można stwierdzić, czy zachodzi efekt przemieszczania. Projekt </w:t>
            </w:r>
            <w:r>
              <w:rPr>
                <w:rFonts w:cstheme="minorHAnsi"/>
                <w:sz w:val="24"/>
                <w:szCs w:val="24"/>
              </w:rPr>
              <w:t>nie</w:t>
            </w:r>
            <w:r w:rsidRPr="00387BD2">
              <w:rPr>
                <w:rFonts w:cstheme="minorHAnsi"/>
                <w:sz w:val="24"/>
                <w:szCs w:val="24"/>
              </w:rPr>
              <w:t xml:space="preserve"> został</w:t>
            </w:r>
            <w:r>
              <w:rPr>
                <w:rFonts w:cstheme="minorHAnsi"/>
                <w:sz w:val="24"/>
                <w:szCs w:val="24"/>
              </w:rPr>
              <w:t xml:space="preserve"> jeszcze</w:t>
            </w:r>
            <w:r w:rsidRPr="00387BD2">
              <w:rPr>
                <w:rFonts w:cstheme="minorHAnsi"/>
                <w:sz w:val="24"/>
                <w:szCs w:val="24"/>
              </w:rPr>
              <w:t xml:space="preserve"> zakończony, a efekt docelowy w postaci </w:t>
            </w:r>
            <w:r>
              <w:rPr>
                <w:rFonts w:cstheme="minorHAnsi"/>
                <w:sz w:val="24"/>
                <w:szCs w:val="24"/>
              </w:rPr>
              <w:t>funkcjonującego Centrum Edukacji Przyrodniczej</w:t>
            </w:r>
            <w:r w:rsidRPr="00387BD2">
              <w:rPr>
                <w:rFonts w:cstheme="minorHAnsi"/>
                <w:sz w:val="24"/>
                <w:szCs w:val="24"/>
              </w:rPr>
              <w:t xml:space="preserve"> nie został jeszcze zrealizowany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0606FE9" w14:textId="77777777" w:rsidR="00CB3557" w:rsidRPr="004E68A9" w:rsidRDefault="00CB3557" w:rsidP="004E68A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EFEKT UTRATY</w:t>
            </w:r>
          </w:p>
          <w:p w14:paraId="3D905B76" w14:textId="08C78D47" w:rsidR="006D431E" w:rsidRPr="00611F68" w:rsidRDefault="006D431E" w:rsidP="004E68A9">
            <w:pPr>
              <w:spacing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11F68">
              <w:rPr>
                <w:color w:val="000000" w:themeColor="text1"/>
                <w:sz w:val="24"/>
                <w:szCs w:val="24"/>
              </w:rPr>
              <w:t xml:space="preserve">Projekt 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 xml:space="preserve">przyczynia się </w:t>
            </w:r>
            <w:r w:rsidRPr="00611F68">
              <w:rPr>
                <w:color w:val="000000" w:themeColor="text1"/>
                <w:sz w:val="24"/>
                <w:szCs w:val="24"/>
              </w:rPr>
              <w:t>bezpośrednio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 xml:space="preserve"> do realizacji statutowego obowiązku TPN jakim jest edukacja w zakresie ochrony</w:t>
            </w:r>
            <w:r w:rsidRPr="00611F6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>przyrody</w:t>
            </w:r>
            <w:r w:rsidRPr="00611F68">
              <w:rPr>
                <w:color w:val="000000" w:themeColor="text1"/>
                <w:sz w:val="24"/>
                <w:szCs w:val="24"/>
              </w:rPr>
              <w:t>.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 xml:space="preserve"> Park zobowiązany jest do zabezpieczenia wymaganych środków własnych zarówno dla realizacji, jak</w:t>
            </w:r>
            <w:r w:rsidRPr="00611F6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>też utrzymania efektów działań, które wynikają z realizacji przedmiotowego projektu, w okresie jego</w:t>
            </w:r>
            <w:r w:rsidRPr="00611F6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F5D6D" w:rsidRPr="00611F68">
              <w:rPr>
                <w:color w:val="000000" w:themeColor="text1"/>
                <w:sz w:val="24"/>
                <w:szCs w:val="24"/>
              </w:rPr>
              <w:t>eksploatacji.</w:t>
            </w:r>
            <w:r w:rsidRPr="00611F68">
              <w:rPr>
                <w:color w:val="000000" w:themeColor="text1"/>
                <w:sz w:val="24"/>
                <w:szCs w:val="24"/>
              </w:rPr>
              <w:t xml:space="preserve"> Zatem nie ma ryzyka, że jednostka nie będzie miała środków na utrzymanie obiektu. Ponadto, lokalizacja Centrum Edukacji Przyrodniczej jest bardzo dobra i zapewnia stałą liczbę odbiorców działań edukacyjnych i ta liczba może mieć jedynie tendencję wzrostową.</w:t>
            </w:r>
          </w:p>
          <w:p w14:paraId="6FDF092A" w14:textId="23672406" w:rsidR="00204E1D" w:rsidRPr="004E68A9" w:rsidRDefault="00204E1D" w:rsidP="004E68A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4E68A9">
              <w:rPr>
                <w:b/>
                <w:bCs/>
                <w:color w:val="4472C4" w:themeColor="accent1"/>
              </w:rPr>
              <w:t>EFEKT INNOWACJI</w:t>
            </w:r>
          </w:p>
          <w:bookmarkEnd w:id="5"/>
          <w:p w14:paraId="1081CD38" w14:textId="749A5473" w:rsidR="00611F68" w:rsidRPr="00AE204E" w:rsidRDefault="00892775" w:rsidP="004E68A9">
            <w:pPr>
              <w:spacing w:after="120" w:line="276" w:lineRule="auto"/>
              <w:jc w:val="both"/>
              <w:rPr>
                <w:color w:val="808080" w:themeColor="background1" w:themeShade="80"/>
              </w:rPr>
            </w:pPr>
            <w:r w:rsidRPr="003A5A80">
              <w:rPr>
                <w:sz w:val="24"/>
                <w:szCs w:val="24"/>
              </w:rPr>
              <w:t xml:space="preserve">Beneficjent zaplanował użycie nowych technologii w zakresie </w:t>
            </w:r>
            <w:r w:rsidR="00611F68" w:rsidRPr="003A5A80">
              <w:rPr>
                <w:sz w:val="24"/>
                <w:szCs w:val="24"/>
              </w:rPr>
              <w:t>prezentacji</w:t>
            </w:r>
            <w:r w:rsidRPr="003A5A80">
              <w:rPr>
                <w:sz w:val="24"/>
                <w:szCs w:val="24"/>
              </w:rPr>
              <w:t xml:space="preserve"> ekspozycji</w:t>
            </w:r>
            <w:r w:rsidR="005F50AE" w:rsidRPr="003A5A80">
              <w:rPr>
                <w:sz w:val="24"/>
                <w:szCs w:val="24"/>
              </w:rPr>
              <w:t xml:space="preserve"> tj. </w:t>
            </w:r>
            <w:r w:rsidR="00611F68" w:rsidRPr="003A5A80">
              <w:rPr>
                <w:sz w:val="24"/>
                <w:szCs w:val="24"/>
              </w:rPr>
              <w:t>nowoczesn</w:t>
            </w:r>
            <w:r w:rsidR="005F50AE" w:rsidRPr="003A5A80">
              <w:rPr>
                <w:sz w:val="24"/>
                <w:szCs w:val="24"/>
              </w:rPr>
              <w:t>ej</w:t>
            </w:r>
            <w:r w:rsidR="00611F68" w:rsidRPr="003A5A80">
              <w:rPr>
                <w:sz w:val="24"/>
                <w:szCs w:val="24"/>
              </w:rPr>
              <w:t xml:space="preserve"> w formie, multimedialn</w:t>
            </w:r>
            <w:r w:rsidR="005F50AE" w:rsidRPr="003A5A80">
              <w:rPr>
                <w:sz w:val="24"/>
                <w:szCs w:val="24"/>
              </w:rPr>
              <w:t>ej</w:t>
            </w:r>
            <w:r w:rsidR="00611F68" w:rsidRPr="003A5A80">
              <w:rPr>
                <w:sz w:val="24"/>
                <w:szCs w:val="24"/>
              </w:rPr>
              <w:t xml:space="preserve"> ekspozycj</w:t>
            </w:r>
            <w:r w:rsidR="005F50AE" w:rsidRPr="003A5A80">
              <w:rPr>
                <w:sz w:val="24"/>
                <w:szCs w:val="24"/>
              </w:rPr>
              <w:t>i</w:t>
            </w:r>
            <w:r w:rsidR="00611F68" w:rsidRPr="003A5A80">
              <w:rPr>
                <w:sz w:val="24"/>
                <w:szCs w:val="24"/>
              </w:rPr>
              <w:t xml:space="preserve"> przyrody tatrzańskiej, wykonan</w:t>
            </w:r>
            <w:r w:rsidR="005F50AE" w:rsidRPr="003A5A80">
              <w:rPr>
                <w:sz w:val="24"/>
                <w:szCs w:val="24"/>
              </w:rPr>
              <w:t>ej</w:t>
            </w:r>
            <w:r w:rsidR="00611F68" w:rsidRPr="003A5A80">
              <w:rPr>
                <w:sz w:val="24"/>
                <w:szCs w:val="24"/>
              </w:rPr>
              <w:t xml:space="preserve"> w formie dioram, prezentując</w:t>
            </w:r>
            <w:r w:rsidR="005F50AE" w:rsidRPr="003A5A80">
              <w:rPr>
                <w:sz w:val="24"/>
                <w:szCs w:val="24"/>
              </w:rPr>
              <w:t>ej</w:t>
            </w:r>
            <w:r w:rsidR="00611F68" w:rsidRPr="003A5A80">
              <w:rPr>
                <w:sz w:val="24"/>
                <w:szCs w:val="24"/>
              </w:rPr>
              <w:t xml:space="preserve"> wybrane aspekty środowiska przyrodniczego Tatr i wpływu człowieka na ich kształtowanie. Ekspozycja opatrzona będzie multimedialnym komentarzem wraz z wizualizacją efektów zachodzących w przyrodzie procesów naturalnych oraz wynikających z wpływu człowieka. </w:t>
            </w:r>
            <w:r w:rsidR="005F50AE" w:rsidRPr="003A5A80">
              <w:rPr>
                <w:sz w:val="24"/>
                <w:szCs w:val="24"/>
              </w:rPr>
              <w:t>Z</w:t>
            </w:r>
            <w:r w:rsidR="00611F68" w:rsidRPr="003A5A80">
              <w:rPr>
                <w:sz w:val="24"/>
                <w:szCs w:val="24"/>
              </w:rPr>
              <w:t>aplanowano</w:t>
            </w:r>
            <w:r w:rsidR="005F50AE" w:rsidRPr="003A5A80">
              <w:rPr>
                <w:sz w:val="24"/>
                <w:szCs w:val="24"/>
              </w:rPr>
              <w:t xml:space="preserve"> również</w:t>
            </w:r>
            <w:r w:rsidR="00611F68" w:rsidRPr="003A5A80">
              <w:rPr>
                <w:sz w:val="24"/>
                <w:szCs w:val="24"/>
              </w:rPr>
              <w:t xml:space="preserve"> ekspozycję w formie prezentowanych w specjalnie przygotowanych salach kinowych filmów przyrodniczych oddziałujących na widza wielozmysłowo (wzrok, słuch, równowaga, dotyk). Konwencja filmów zakłada przekaz edukacyjny z punktu widzenia </w:t>
            </w:r>
            <w:r w:rsidR="006E68E6" w:rsidRPr="003A5A80">
              <w:rPr>
                <w:sz w:val="24"/>
                <w:szCs w:val="24"/>
              </w:rPr>
              <w:t xml:space="preserve">zwierząt </w:t>
            </w:r>
            <w:r w:rsidR="00611F68" w:rsidRPr="003A5A80">
              <w:rPr>
                <w:sz w:val="24"/>
                <w:szCs w:val="24"/>
              </w:rPr>
              <w:t>zamieszkujących Park.</w:t>
            </w:r>
            <w:r w:rsidR="005F50AE" w:rsidRPr="003A5A80">
              <w:rPr>
                <w:sz w:val="24"/>
                <w:szCs w:val="24"/>
              </w:rPr>
              <w:t xml:space="preserve"> </w:t>
            </w:r>
            <w:r w:rsidR="00611F68" w:rsidRPr="003A5A80">
              <w:rPr>
                <w:sz w:val="24"/>
                <w:szCs w:val="24"/>
              </w:rPr>
              <w:t xml:space="preserve">Jeden </w:t>
            </w:r>
            <w:r w:rsidR="00611F68" w:rsidRPr="003A5A80">
              <w:rPr>
                <w:sz w:val="24"/>
                <w:szCs w:val="24"/>
              </w:rPr>
              <w:lastRenderedPageBreak/>
              <w:t>z filmów, prezentowany na dwóch przeciwległych ekranach, prezentować będzie wybrane przykłady zachowań zwierząt w konsekwencji spotkania z człowiekiem. Drugi stanowić będzie obserwację środowiska Tatr z lotu ptaka.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703C0FB7" w:rsidR="00CB3557" w:rsidRDefault="00CB3557" w:rsidP="004E68A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1C79B59B" w14:textId="60A5888D" w:rsidR="00CB3557" w:rsidRPr="00DC0622" w:rsidRDefault="00DC0622" w:rsidP="004E68A9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0622">
              <w:rPr>
                <w:color w:val="000000" w:themeColor="text1"/>
                <w:sz w:val="24"/>
                <w:szCs w:val="24"/>
              </w:rPr>
              <w:t>Zachodzi tu efekt całkowitej dodatkowości, projekt w ogóle nie mógłby zostać zrealizowany, gdyby nie wsparcie ze środków publicznych (w tym przypadku środków UE). Z uwagi na priorytety związane z bezpośrednimi działaniami ochronnymi, oraz brakiem możliwości sfinansowania ze środków własnych TPN kompleksowej przebudowy obiektu, udostępnienie nowoczesnej placówki edukacyjnej nie byłoby możliwe do wykonania w najbliższych latach. Budżet Tatrzańskiego Parku Narodowego, poza kosztami administracji, w większości wydatkowany jest na czynną ochronę ekosystemów oraz kwestie związane z udostępnieniem Parku. Bieżące działania edukacyjne stanowią znaczący wydatek budżetu TPN, co w konsekwencji przesądzało o braku możliwości wygospodarowania środków na modernizację istniejącego budynku Centrum Edukacji. Uzyskanie wsparcia ze środków UE stanowiło kluczowy impuls do realizacji działań i pozwoliło na realizację przebudowy obiektu w krótkim okresie pomiędzy sezonami natężonego ruchu turystycznego.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4DF2A1F5" w:rsidR="00411ADB" w:rsidRPr="000F3C2D" w:rsidRDefault="003C1900" w:rsidP="004E68A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2E3AE3B8" w:rsidR="00866787" w:rsidRPr="00DC0622" w:rsidRDefault="00134B8B" w:rsidP="004E68A9">
            <w:pPr>
              <w:spacing w:before="120" w:after="120" w:line="276" w:lineRule="auto"/>
              <w:jc w:val="both"/>
              <w:rPr>
                <w:color w:val="2F5496" w:themeColor="accent1" w:themeShade="BF"/>
              </w:rPr>
            </w:pPr>
            <w:r w:rsidRPr="00DC0622">
              <w:rPr>
                <w:rFonts w:cstheme="minorHAnsi"/>
                <w:sz w:val="24"/>
                <w:szCs w:val="24"/>
              </w:rPr>
              <w:t>Dla projektu nie przeprowadzono analizy wariantów.</w:t>
            </w:r>
            <w:r w:rsidR="003A5A80">
              <w:rPr>
                <w:rFonts w:cstheme="minorHAnsi"/>
                <w:sz w:val="24"/>
                <w:szCs w:val="24"/>
              </w:rPr>
              <w:t xml:space="preserve"> Beneficjent wybrał najbardziej efektywną jego zdaniem opcję realizacji projektu, przy zakładanych kosztach.</w:t>
            </w:r>
          </w:p>
        </w:tc>
      </w:tr>
      <w:bookmarkEnd w:id="0"/>
    </w:tbl>
    <w:p w14:paraId="5361E6FB" w14:textId="77777777" w:rsidR="00E42728" w:rsidRDefault="00E42728" w:rsidP="004E68A9">
      <w:pPr>
        <w:spacing w:line="276" w:lineRule="auto"/>
      </w:pPr>
    </w:p>
    <w:p w14:paraId="732ABEC2" w14:textId="77777777" w:rsidR="000B0D33" w:rsidRDefault="000B0D33" w:rsidP="004E68A9">
      <w:pPr>
        <w:spacing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55B03" w14:textId="77777777" w:rsidR="00732BB0" w:rsidRDefault="00732BB0" w:rsidP="005F1FD5">
      <w:pPr>
        <w:spacing w:after="0" w:line="240" w:lineRule="auto"/>
      </w:pPr>
      <w:r>
        <w:separator/>
      </w:r>
    </w:p>
  </w:endnote>
  <w:endnote w:type="continuationSeparator" w:id="0">
    <w:p w14:paraId="5D069BBE" w14:textId="77777777" w:rsidR="00732BB0" w:rsidRDefault="00732BB0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2A385" w14:textId="77777777" w:rsidR="00732BB0" w:rsidRDefault="00732BB0" w:rsidP="005F1FD5">
      <w:pPr>
        <w:spacing w:after="0" w:line="240" w:lineRule="auto"/>
      </w:pPr>
      <w:r>
        <w:separator/>
      </w:r>
    </w:p>
  </w:footnote>
  <w:footnote w:type="continuationSeparator" w:id="0">
    <w:p w14:paraId="64351B17" w14:textId="77777777" w:rsidR="00732BB0" w:rsidRDefault="00732BB0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B00EF7"/>
    <w:multiLevelType w:val="hybridMultilevel"/>
    <w:tmpl w:val="BDC4B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939437E6"/>
    <w:lvl w:ilvl="0" w:tplc="C69CE0B4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8D01985"/>
    <w:multiLevelType w:val="hybridMultilevel"/>
    <w:tmpl w:val="50924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14"/>
  </w:num>
  <w:num w:numId="9">
    <w:abstractNumId w:val="1"/>
  </w:num>
  <w:num w:numId="10">
    <w:abstractNumId w:val="17"/>
  </w:num>
  <w:num w:numId="11">
    <w:abstractNumId w:val="16"/>
  </w:num>
  <w:num w:numId="12">
    <w:abstractNumId w:val="15"/>
  </w:num>
  <w:num w:numId="13">
    <w:abstractNumId w:val="20"/>
  </w:num>
  <w:num w:numId="14">
    <w:abstractNumId w:val="7"/>
  </w:num>
  <w:num w:numId="15">
    <w:abstractNumId w:val="10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2F3D"/>
    <w:rsid w:val="00027880"/>
    <w:rsid w:val="00044677"/>
    <w:rsid w:val="00060AE2"/>
    <w:rsid w:val="00062FE8"/>
    <w:rsid w:val="000777D8"/>
    <w:rsid w:val="00091BF8"/>
    <w:rsid w:val="00092A90"/>
    <w:rsid w:val="000965E4"/>
    <w:rsid w:val="00097596"/>
    <w:rsid w:val="000B0D33"/>
    <w:rsid w:val="000B3994"/>
    <w:rsid w:val="000D1378"/>
    <w:rsid w:val="000E4CC3"/>
    <w:rsid w:val="000F12B7"/>
    <w:rsid w:val="000F26CC"/>
    <w:rsid w:val="000F3C2D"/>
    <w:rsid w:val="00102F66"/>
    <w:rsid w:val="001045E2"/>
    <w:rsid w:val="001107AA"/>
    <w:rsid w:val="00115E9E"/>
    <w:rsid w:val="0012386B"/>
    <w:rsid w:val="00127DE1"/>
    <w:rsid w:val="00134B8B"/>
    <w:rsid w:val="001614EB"/>
    <w:rsid w:val="0016479B"/>
    <w:rsid w:val="00176FE6"/>
    <w:rsid w:val="00181AA9"/>
    <w:rsid w:val="001A78BA"/>
    <w:rsid w:val="001B0259"/>
    <w:rsid w:val="001C64FF"/>
    <w:rsid w:val="001D064B"/>
    <w:rsid w:val="001D2E21"/>
    <w:rsid w:val="001F01E0"/>
    <w:rsid w:val="001F18B3"/>
    <w:rsid w:val="001F360C"/>
    <w:rsid w:val="001F5BC0"/>
    <w:rsid w:val="001F719F"/>
    <w:rsid w:val="001F7D29"/>
    <w:rsid w:val="00201A21"/>
    <w:rsid w:val="00202AB8"/>
    <w:rsid w:val="00204E1D"/>
    <w:rsid w:val="002057AA"/>
    <w:rsid w:val="00207196"/>
    <w:rsid w:val="00223192"/>
    <w:rsid w:val="00230385"/>
    <w:rsid w:val="00236FEB"/>
    <w:rsid w:val="00254A03"/>
    <w:rsid w:val="00266706"/>
    <w:rsid w:val="00287076"/>
    <w:rsid w:val="00292F65"/>
    <w:rsid w:val="00294EFD"/>
    <w:rsid w:val="00295BA0"/>
    <w:rsid w:val="002B6E9E"/>
    <w:rsid w:val="002C39EE"/>
    <w:rsid w:val="002C5E37"/>
    <w:rsid w:val="002F2FD0"/>
    <w:rsid w:val="00313647"/>
    <w:rsid w:val="00322B4E"/>
    <w:rsid w:val="0033254C"/>
    <w:rsid w:val="0034174B"/>
    <w:rsid w:val="00366702"/>
    <w:rsid w:val="00366F7F"/>
    <w:rsid w:val="003720F1"/>
    <w:rsid w:val="00372A53"/>
    <w:rsid w:val="003757C0"/>
    <w:rsid w:val="0037615A"/>
    <w:rsid w:val="003815C4"/>
    <w:rsid w:val="00386FC2"/>
    <w:rsid w:val="003976C5"/>
    <w:rsid w:val="003A3377"/>
    <w:rsid w:val="003A4BD1"/>
    <w:rsid w:val="003A5A80"/>
    <w:rsid w:val="003A6521"/>
    <w:rsid w:val="003C0F82"/>
    <w:rsid w:val="003C1900"/>
    <w:rsid w:val="003C6588"/>
    <w:rsid w:val="003D43C1"/>
    <w:rsid w:val="003D52F0"/>
    <w:rsid w:val="003D53E6"/>
    <w:rsid w:val="004105D8"/>
    <w:rsid w:val="00411ADB"/>
    <w:rsid w:val="00413AD9"/>
    <w:rsid w:val="00436E70"/>
    <w:rsid w:val="004461DE"/>
    <w:rsid w:val="004564BB"/>
    <w:rsid w:val="00461FD8"/>
    <w:rsid w:val="0046366C"/>
    <w:rsid w:val="00464505"/>
    <w:rsid w:val="00464E13"/>
    <w:rsid w:val="0047198D"/>
    <w:rsid w:val="0048292E"/>
    <w:rsid w:val="00485E51"/>
    <w:rsid w:val="004D741F"/>
    <w:rsid w:val="004E2E4E"/>
    <w:rsid w:val="004E68A9"/>
    <w:rsid w:val="004E7551"/>
    <w:rsid w:val="004F4FA0"/>
    <w:rsid w:val="00505CDC"/>
    <w:rsid w:val="00516502"/>
    <w:rsid w:val="00520D31"/>
    <w:rsid w:val="00526AC3"/>
    <w:rsid w:val="005416A5"/>
    <w:rsid w:val="00542564"/>
    <w:rsid w:val="00544FCE"/>
    <w:rsid w:val="00570DE3"/>
    <w:rsid w:val="0057533C"/>
    <w:rsid w:val="0059497F"/>
    <w:rsid w:val="005A0389"/>
    <w:rsid w:val="005A6CE6"/>
    <w:rsid w:val="005B4F4A"/>
    <w:rsid w:val="005B5127"/>
    <w:rsid w:val="005C06ED"/>
    <w:rsid w:val="005F1FD5"/>
    <w:rsid w:val="005F4CB8"/>
    <w:rsid w:val="005F50AE"/>
    <w:rsid w:val="0060776D"/>
    <w:rsid w:val="0061164D"/>
    <w:rsid w:val="00611F68"/>
    <w:rsid w:val="0061649C"/>
    <w:rsid w:val="00617469"/>
    <w:rsid w:val="0062151B"/>
    <w:rsid w:val="00623761"/>
    <w:rsid w:val="00626B14"/>
    <w:rsid w:val="006410D2"/>
    <w:rsid w:val="0064252F"/>
    <w:rsid w:val="00663414"/>
    <w:rsid w:val="00667E42"/>
    <w:rsid w:val="00685187"/>
    <w:rsid w:val="006909C8"/>
    <w:rsid w:val="006A0447"/>
    <w:rsid w:val="006B2C1E"/>
    <w:rsid w:val="006B6519"/>
    <w:rsid w:val="006D431E"/>
    <w:rsid w:val="006E68E6"/>
    <w:rsid w:val="006F07A6"/>
    <w:rsid w:val="00712C93"/>
    <w:rsid w:val="00714B69"/>
    <w:rsid w:val="007163C4"/>
    <w:rsid w:val="00732BB0"/>
    <w:rsid w:val="00733656"/>
    <w:rsid w:val="00737B60"/>
    <w:rsid w:val="00741638"/>
    <w:rsid w:val="007437BC"/>
    <w:rsid w:val="00755FD4"/>
    <w:rsid w:val="0075717F"/>
    <w:rsid w:val="00770D2B"/>
    <w:rsid w:val="00771FA7"/>
    <w:rsid w:val="007771CD"/>
    <w:rsid w:val="00784FD3"/>
    <w:rsid w:val="00785BD6"/>
    <w:rsid w:val="007A21F7"/>
    <w:rsid w:val="007A3970"/>
    <w:rsid w:val="007A710D"/>
    <w:rsid w:val="007B1BC3"/>
    <w:rsid w:val="007B359D"/>
    <w:rsid w:val="007B53A8"/>
    <w:rsid w:val="007B7FE5"/>
    <w:rsid w:val="007C661F"/>
    <w:rsid w:val="007D66BE"/>
    <w:rsid w:val="007E2077"/>
    <w:rsid w:val="007E75DC"/>
    <w:rsid w:val="007F5DE2"/>
    <w:rsid w:val="00804724"/>
    <w:rsid w:val="008266C9"/>
    <w:rsid w:val="00834929"/>
    <w:rsid w:val="008610C9"/>
    <w:rsid w:val="00862A2A"/>
    <w:rsid w:val="00866787"/>
    <w:rsid w:val="0087116B"/>
    <w:rsid w:val="008839DD"/>
    <w:rsid w:val="00885869"/>
    <w:rsid w:val="00892775"/>
    <w:rsid w:val="008949FE"/>
    <w:rsid w:val="00895CFB"/>
    <w:rsid w:val="008A582D"/>
    <w:rsid w:val="008B73FA"/>
    <w:rsid w:val="008C71D2"/>
    <w:rsid w:val="008E5932"/>
    <w:rsid w:val="008F3409"/>
    <w:rsid w:val="009077B3"/>
    <w:rsid w:val="0091132B"/>
    <w:rsid w:val="009305AF"/>
    <w:rsid w:val="00934F8B"/>
    <w:rsid w:val="00950CC8"/>
    <w:rsid w:val="0095434F"/>
    <w:rsid w:val="009569A2"/>
    <w:rsid w:val="00964969"/>
    <w:rsid w:val="009743FA"/>
    <w:rsid w:val="009811F1"/>
    <w:rsid w:val="00984C51"/>
    <w:rsid w:val="00991BDB"/>
    <w:rsid w:val="00992809"/>
    <w:rsid w:val="0099353B"/>
    <w:rsid w:val="009B5AA7"/>
    <w:rsid w:val="009C1159"/>
    <w:rsid w:val="009C3C3B"/>
    <w:rsid w:val="009C5464"/>
    <w:rsid w:val="009D4AED"/>
    <w:rsid w:val="009E2094"/>
    <w:rsid w:val="00A10039"/>
    <w:rsid w:val="00A203B5"/>
    <w:rsid w:val="00A5283E"/>
    <w:rsid w:val="00A53C9C"/>
    <w:rsid w:val="00A569B1"/>
    <w:rsid w:val="00A6037B"/>
    <w:rsid w:val="00A614B4"/>
    <w:rsid w:val="00A659F6"/>
    <w:rsid w:val="00A664B0"/>
    <w:rsid w:val="00A723F6"/>
    <w:rsid w:val="00A855FB"/>
    <w:rsid w:val="00A95DDB"/>
    <w:rsid w:val="00AB4167"/>
    <w:rsid w:val="00AB7C91"/>
    <w:rsid w:val="00AC5918"/>
    <w:rsid w:val="00AD06CF"/>
    <w:rsid w:val="00AD6065"/>
    <w:rsid w:val="00AE111F"/>
    <w:rsid w:val="00AE204E"/>
    <w:rsid w:val="00AE4AB3"/>
    <w:rsid w:val="00B06C42"/>
    <w:rsid w:val="00B16EDD"/>
    <w:rsid w:val="00B21660"/>
    <w:rsid w:val="00B22FB1"/>
    <w:rsid w:val="00B451AA"/>
    <w:rsid w:val="00B463E2"/>
    <w:rsid w:val="00B5127F"/>
    <w:rsid w:val="00B5286F"/>
    <w:rsid w:val="00B576D8"/>
    <w:rsid w:val="00B630DD"/>
    <w:rsid w:val="00B65F35"/>
    <w:rsid w:val="00B70E74"/>
    <w:rsid w:val="00B74D72"/>
    <w:rsid w:val="00B80F56"/>
    <w:rsid w:val="00B84132"/>
    <w:rsid w:val="00B84D46"/>
    <w:rsid w:val="00B94E69"/>
    <w:rsid w:val="00BA1B9D"/>
    <w:rsid w:val="00BA2819"/>
    <w:rsid w:val="00BC17A3"/>
    <w:rsid w:val="00BC2425"/>
    <w:rsid w:val="00BD1CCF"/>
    <w:rsid w:val="00BF5D6D"/>
    <w:rsid w:val="00C00465"/>
    <w:rsid w:val="00C07381"/>
    <w:rsid w:val="00C329C4"/>
    <w:rsid w:val="00C36D66"/>
    <w:rsid w:val="00C637C9"/>
    <w:rsid w:val="00C65814"/>
    <w:rsid w:val="00C849E3"/>
    <w:rsid w:val="00C9646E"/>
    <w:rsid w:val="00CA01D8"/>
    <w:rsid w:val="00CA354A"/>
    <w:rsid w:val="00CB3557"/>
    <w:rsid w:val="00CB5D03"/>
    <w:rsid w:val="00CB7CCB"/>
    <w:rsid w:val="00CC0A83"/>
    <w:rsid w:val="00CE25BF"/>
    <w:rsid w:val="00CE2C0D"/>
    <w:rsid w:val="00CF1EB0"/>
    <w:rsid w:val="00D1445E"/>
    <w:rsid w:val="00D162A0"/>
    <w:rsid w:val="00D2511E"/>
    <w:rsid w:val="00D301E5"/>
    <w:rsid w:val="00D33877"/>
    <w:rsid w:val="00D347F7"/>
    <w:rsid w:val="00D405F4"/>
    <w:rsid w:val="00D416D1"/>
    <w:rsid w:val="00D51E43"/>
    <w:rsid w:val="00D5518C"/>
    <w:rsid w:val="00D95848"/>
    <w:rsid w:val="00D973A3"/>
    <w:rsid w:val="00DA41A7"/>
    <w:rsid w:val="00DA71B9"/>
    <w:rsid w:val="00DB0798"/>
    <w:rsid w:val="00DB4375"/>
    <w:rsid w:val="00DC0622"/>
    <w:rsid w:val="00DC429B"/>
    <w:rsid w:val="00DC6923"/>
    <w:rsid w:val="00DE032C"/>
    <w:rsid w:val="00DE0834"/>
    <w:rsid w:val="00DE338D"/>
    <w:rsid w:val="00DE6097"/>
    <w:rsid w:val="00E0030E"/>
    <w:rsid w:val="00E02E6D"/>
    <w:rsid w:val="00E07BD3"/>
    <w:rsid w:val="00E10F90"/>
    <w:rsid w:val="00E173CE"/>
    <w:rsid w:val="00E35066"/>
    <w:rsid w:val="00E42728"/>
    <w:rsid w:val="00E42784"/>
    <w:rsid w:val="00E54841"/>
    <w:rsid w:val="00E66527"/>
    <w:rsid w:val="00E6698C"/>
    <w:rsid w:val="00E73E9C"/>
    <w:rsid w:val="00E75DD1"/>
    <w:rsid w:val="00E85847"/>
    <w:rsid w:val="00E927CA"/>
    <w:rsid w:val="00EA7A15"/>
    <w:rsid w:val="00EB779D"/>
    <w:rsid w:val="00EC2C45"/>
    <w:rsid w:val="00EE79D7"/>
    <w:rsid w:val="00EF0F24"/>
    <w:rsid w:val="00EF4EE6"/>
    <w:rsid w:val="00EF684F"/>
    <w:rsid w:val="00EF7AD6"/>
    <w:rsid w:val="00F03786"/>
    <w:rsid w:val="00F1331D"/>
    <w:rsid w:val="00F266BB"/>
    <w:rsid w:val="00F26E70"/>
    <w:rsid w:val="00F34657"/>
    <w:rsid w:val="00F4339C"/>
    <w:rsid w:val="00F47CB1"/>
    <w:rsid w:val="00F70C0C"/>
    <w:rsid w:val="00F77A2E"/>
    <w:rsid w:val="00F8700B"/>
    <w:rsid w:val="00FB2E66"/>
    <w:rsid w:val="00FD6C4E"/>
    <w:rsid w:val="00FE11F1"/>
    <w:rsid w:val="00FF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CF337-AEBE-4730-86B2-1E3355AE2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2379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3</cp:revision>
  <dcterms:created xsi:type="dcterms:W3CDTF">2020-04-27T11:34:00Z</dcterms:created>
  <dcterms:modified xsi:type="dcterms:W3CDTF">2020-04-27T11:36:00Z</dcterms:modified>
</cp:coreProperties>
</file>