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A7F" w:rsidRDefault="00B35A7F" w:rsidP="0084152D">
      <w:pPr>
        <w:spacing w:after="0" w:line="312" w:lineRule="auto"/>
        <w:rPr>
          <w:rFonts w:ascii="Times New Roman" w:hAnsi="Times New Roman"/>
          <w:sz w:val="20"/>
          <w:szCs w:val="20"/>
        </w:rPr>
      </w:pPr>
    </w:p>
    <w:p w:rsidR="00B35A7F" w:rsidRDefault="00B35A7F" w:rsidP="00B35A7F">
      <w:pPr>
        <w:rPr>
          <w:rFonts w:asciiTheme="minorHAnsi" w:hAnsiTheme="minorHAnsi" w:cstheme="minorHAnsi"/>
          <w:bCs/>
          <w:smallCaps/>
        </w:rPr>
      </w:pPr>
      <w:r>
        <w:rPr>
          <w:rFonts w:asciiTheme="minorHAnsi" w:hAnsiTheme="minorHAnsi" w:cstheme="minorHAnsi"/>
        </w:rPr>
        <w:object w:dxaOrig="795" w:dyaOrig="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9.75pt" o:ole="" fillcolor="window">
            <v:imagedata r:id="rId8" o:title=""/>
          </v:shape>
          <o:OLEObject Type="Embed" ProgID="Word.Picture.8" ShapeID="_x0000_i1025" DrawAspect="Content" ObjectID="_1750676234" r:id="rId9"/>
        </w:object>
      </w:r>
    </w:p>
    <w:p w:rsidR="00B35A7F" w:rsidRDefault="00B35A7F" w:rsidP="00B35A7F">
      <w:pPr>
        <w:spacing w:after="0"/>
        <w:rPr>
          <w:rFonts w:asciiTheme="minorHAnsi" w:hAnsiTheme="minorHAnsi" w:cstheme="minorHAnsi"/>
          <w:bCs/>
          <w:sz w:val="24"/>
          <w:szCs w:val="24"/>
        </w:rPr>
      </w:pPr>
      <w:r>
        <w:rPr>
          <w:rFonts w:asciiTheme="minorHAnsi" w:hAnsiTheme="minorHAnsi" w:cstheme="minorHAnsi"/>
          <w:bCs/>
          <w:smallCaps/>
          <w:sz w:val="24"/>
          <w:szCs w:val="24"/>
        </w:rPr>
        <w:t>GENERALNY DYREKTOR OCHRONY ŚRODOWISKA</w:t>
      </w:r>
    </w:p>
    <w:p w:rsidR="00B35A7F" w:rsidRDefault="00B35A7F" w:rsidP="00B35A7F">
      <w:pPr>
        <w:spacing w:after="0"/>
        <w:rPr>
          <w:rFonts w:asciiTheme="minorHAnsi" w:hAnsiTheme="minorHAnsi" w:cstheme="minorHAnsi"/>
          <w:bCs/>
          <w:sz w:val="24"/>
          <w:szCs w:val="24"/>
        </w:rPr>
      </w:pPr>
    </w:p>
    <w:p w:rsidR="00B35A7F" w:rsidRDefault="00457259" w:rsidP="00B35A7F">
      <w:pPr>
        <w:spacing w:after="0"/>
        <w:rPr>
          <w:rFonts w:asciiTheme="minorHAnsi" w:hAnsiTheme="minorHAnsi" w:cstheme="minorHAnsi"/>
          <w:bCs/>
          <w:sz w:val="24"/>
          <w:szCs w:val="24"/>
        </w:rPr>
      </w:pPr>
      <w:r>
        <w:rPr>
          <w:rFonts w:asciiTheme="minorHAnsi" w:hAnsiTheme="minorHAnsi" w:cstheme="minorHAnsi"/>
          <w:bCs/>
          <w:sz w:val="24"/>
          <w:szCs w:val="24"/>
        </w:rPr>
        <w:t xml:space="preserve">Warszawa, </w:t>
      </w:r>
      <w:r w:rsidR="009316FB">
        <w:rPr>
          <w:rFonts w:asciiTheme="minorHAnsi" w:hAnsiTheme="minorHAnsi" w:cstheme="minorHAnsi"/>
          <w:bCs/>
          <w:sz w:val="24"/>
          <w:szCs w:val="24"/>
        </w:rPr>
        <w:t>30</w:t>
      </w:r>
      <w:r>
        <w:rPr>
          <w:rFonts w:asciiTheme="minorHAnsi" w:hAnsiTheme="minorHAnsi" w:cstheme="minorHAnsi"/>
          <w:bCs/>
          <w:sz w:val="24"/>
          <w:szCs w:val="24"/>
        </w:rPr>
        <w:t xml:space="preserve"> grudnia 2021</w:t>
      </w:r>
      <w:r w:rsidR="00B35A7F">
        <w:rPr>
          <w:rFonts w:asciiTheme="minorHAnsi" w:hAnsiTheme="minorHAnsi" w:cstheme="minorHAnsi"/>
          <w:bCs/>
          <w:sz w:val="24"/>
          <w:szCs w:val="24"/>
        </w:rPr>
        <w:t xml:space="preserve"> r.</w:t>
      </w:r>
    </w:p>
    <w:p w:rsidR="009316FB" w:rsidRDefault="009316FB" w:rsidP="00B35A7F">
      <w:pPr>
        <w:tabs>
          <w:tab w:val="left" w:pos="3330"/>
          <w:tab w:val="center" w:pos="4535"/>
        </w:tabs>
        <w:spacing w:after="120" w:line="312" w:lineRule="auto"/>
        <w:rPr>
          <w:rFonts w:asciiTheme="minorHAnsi" w:hAnsiTheme="minorHAnsi" w:cstheme="minorHAnsi"/>
          <w:bCs/>
          <w:sz w:val="24"/>
          <w:szCs w:val="24"/>
          <w:lang w:eastAsia="pl-PL"/>
        </w:rPr>
      </w:pPr>
      <w:r w:rsidRPr="009316FB">
        <w:rPr>
          <w:rFonts w:asciiTheme="minorHAnsi" w:hAnsiTheme="minorHAnsi" w:cstheme="minorHAnsi"/>
          <w:bCs/>
          <w:sz w:val="24"/>
          <w:szCs w:val="24"/>
          <w:lang w:eastAsia="pl-PL"/>
        </w:rPr>
        <w:t>DOOŚ-DŚII.4210.24.2017.mk.AW.38</w:t>
      </w:r>
    </w:p>
    <w:p w:rsidR="009316FB" w:rsidRPr="009316FB"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t>DECYZJA</w:t>
      </w:r>
    </w:p>
    <w:p w:rsidR="009316FB" w:rsidRPr="009316FB"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t>Na podstawie art. 138 § 1 pkt 1 oraz art. 127 ust. 3 ustawy z dnia 14 czerwca 1960 r. Kodeks postępowania administracyjnego (Dz. U. z 2016 r. poz. 23, ze zm.), dalej Kpa, po rozpatrzeniu</w:t>
      </w:r>
    </w:p>
    <w:p w:rsidR="009316FB" w:rsidRPr="009316FB" w:rsidRDefault="009316FB" w:rsidP="009316FB">
      <w:pPr>
        <w:spacing w:after="0" w:line="312" w:lineRule="auto"/>
        <w:jc w:val="both"/>
        <w:rPr>
          <w:rFonts w:asciiTheme="minorHAnsi" w:hAnsiTheme="minorHAnsi" w:cstheme="minorHAnsi"/>
          <w:bCs/>
          <w:color w:val="000000"/>
          <w:sz w:val="24"/>
          <w:szCs w:val="24"/>
        </w:rPr>
      </w:pPr>
      <w:r>
        <w:rPr>
          <w:rFonts w:asciiTheme="minorHAnsi" w:hAnsiTheme="minorHAnsi" w:cstheme="minorHAnsi"/>
          <w:bCs/>
          <w:color w:val="000000"/>
          <w:sz w:val="24"/>
          <w:szCs w:val="24"/>
        </w:rPr>
        <w:t xml:space="preserve">Wniosku (…), (…), (…) i (…) o ponowne </w:t>
      </w:r>
      <w:r w:rsidRPr="009316FB">
        <w:rPr>
          <w:rFonts w:asciiTheme="minorHAnsi" w:hAnsiTheme="minorHAnsi" w:cstheme="minorHAnsi"/>
          <w:bCs/>
          <w:color w:val="000000"/>
          <w:sz w:val="24"/>
          <w:szCs w:val="24"/>
        </w:rPr>
        <w:t>rozpatrzenie sprawy zakończonej decyzją Generalnego Dyrektora Ochrony Środowiska z dnia 22 sierpnia 2017 r., znak: DOOŚ-DŚII.4210.2.2016.PD.9, odmawiającą stwierdzenia nieważności decyzji Regionalnego Dyrektora Ochrony Środowiska w Poznaniu z dnia 3 lipca 2014 r., znak: WOO-II.4202.3.2014.JS.8, o środowiskowych uwarunkowaniach dla przedsięwzięcia polegającego na przebudowie elektroenergetycznej linii napowietrznej 110 kV relacji Pniewy — Wronki,</w:t>
      </w:r>
    </w:p>
    <w:p w:rsidR="009316FB" w:rsidRPr="009316FB"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t>utrzymuję powyższą decyzję w mocy.</w:t>
      </w:r>
    </w:p>
    <w:p w:rsidR="009316FB" w:rsidRDefault="009316FB" w:rsidP="009316FB">
      <w:pPr>
        <w:spacing w:after="0" w:line="312" w:lineRule="auto"/>
        <w:jc w:val="both"/>
        <w:rPr>
          <w:rFonts w:asciiTheme="minorHAnsi" w:hAnsiTheme="minorHAnsi" w:cstheme="minorHAnsi"/>
          <w:bCs/>
          <w:color w:val="000000"/>
          <w:sz w:val="24"/>
          <w:szCs w:val="24"/>
        </w:rPr>
      </w:pPr>
    </w:p>
    <w:p w:rsidR="009316FB" w:rsidRPr="009316FB"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t>UZASADNIENIE</w:t>
      </w:r>
    </w:p>
    <w:p w:rsidR="009316FB"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t xml:space="preserve">Cytowaną w sentencji decyzją Generalny Dyrektor Ochrony Środowiska, dalej GDOS, na podstawie art. 158 § 1 Kpa, odmówił stwierdzenia nieważności decyzji Regionalnego Dyrektora Ochrony Środowiska w Poznaniu, dalej RDOŚ w Poznaniu, z dnia 3 lipca 2014 r., znak: WOO-1I.4202.3.2014.J8.8, o środowiskowych uwarunkowaniach dla przedsięwzięcia polegającego na przebudowie elektroenergetycznej linii napowietrznej </w:t>
      </w:r>
      <w:r>
        <w:rPr>
          <w:rFonts w:asciiTheme="minorHAnsi" w:hAnsiTheme="minorHAnsi" w:cstheme="minorHAnsi"/>
          <w:bCs/>
          <w:color w:val="000000"/>
          <w:sz w:val="24"/>
          <w:szCs w:val="24"/>
        </w:rPr>
        <w:t xml:space="preserve">110 kV relacji Pniewy — Wronki. </w:t>
      </w:r>
      <w:r w:rsidRPr="009316FB">
        <w:rPr>
          <w:rFonts w:asciiTheme="minorHAnsi" w:hAnsiTheme="minorHAnsi" w:cstheme="minorHAnsi"/>
          <w:bCs/>
          <w:color w:val="000000"/>
          <w:sz w:val="24"/>
          <w:szCs w:val="24"/>
        </w:rPr>
        <w:t xml:space="preserve">W dniu 11 września 2017 r. wniosek o ponowne rozpatrzenie sprawy w przedmiocie stwierdzenia nieważności ww. decyzji RDOŚ w Poznaniu wnieśli w ustawowo przewidzianym terminie </w:t>
      </w:r>
      <w:r>
        <w:rPr>
          <w:rFonts w:asciiTheme="minorHAnsi" w:hAnsiTheme="minorHAnsi" w:cstheme="minorHAnsi"/>
          <w:bCs/>
          <w:color w:val="000000"/>
          <w:sz w:val="24"/>
          <w:szCs w:val="24"/>
        </w:rPr>
        <w:t xml:space="preserve">(..), </w:t>
      </w:r>
      <w:r>
        <w:rPr>
          <w:rFonts w:asciiTheme="minorHAnsi" w:hAnsiTheme="minorHAnsi" w:cstheme="minorHAnsi"/>
          <w:bCs/>
          <w:color w:val="000000"/>
          <w:sz w:val="24"/>
          <w:szCs w:val="24"/>
        </w:rPr>
        <w:t xml:space="preserve">(…), (…) i (…) </w:t>
      </w:r>
      <w:r w:rsidRPr="009316FB">
        <w:rPr>
          <w:rFonts w:asciiTheme="minorHAnsi" w:hAnsiTheme="minorHAnsi" w:cstheme="minorHAnsi"/>
          <w:bCs/>
          <w:color w:val="000000"/>
          <w:sz w:val="24"/>
          <w:szCs w:val="24"/>
        </w:rPr>
        <w:t>reprezentowani przez pełnomocnika adwokata</w:t>
      </w:r>
      <w:r>
        <w:rPr>
          <w:rFonts w:asciiTheme="minorHAnsi" w:hAnsiTheme="minorHAnsi" w:cstheme="minorHAnsi"/>
          <w:bCs/>
          <w:color w:val="000000"/>
          <w:sz w:val="24"/>
          <w:szCs w:val="24"/>
        </w:rPr>
        <w:t xml:space="preserve"> (…).</w:t>
      </w:r>
      <w:r w:rsidRPr="009316FB">
        <w:rPr>
          <w:rFonts w:asciiTheme="minorHAnsi" w:hAnsiTheme="minorHAnsi" w:cstheme="minorHAnsi"/>
          <w:bCs/>
          <w:color w:val="000000"/>
          <w:sz w:val="24"/>
          <w:szCs w:val="24"/>
        </w:rPr>
        <w:t xml:space="preserve"> Decyzji RDOŚ w Poznaniu z dnia 3 lipca 2014 r. zarzucili naruszenie: </w:t>
      </w:r>
    </w:p>
    <w:p w:rsidR="009316FB"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t xml:space="preserve">1. art. 3 pkt 6 i 7a ustawy z dnia 7 lipca 1994 r. - Prawo budowlane (Dz. U. z 2017 r. poz. 1332, ze zm.) w związku z art. 72 ust. 1 pkt 1 ustawy z dnia 3 października 2008 r. o udostępnianiu informacji o środowisku i jego ochronie, udziale społeczeństwa w ochronie środowiska oraz o ocenach oddziaływania na środowisko (Dz. U. z 2017 r. poz. 1405, ze zm.), dalej ustawa ooś, poprzez wewnętrzną sprzeczność decyzji z jej sentencją, bowiem z sentencji wynika, że przedsięwzięcie ma polegać na przebudowie elektroenergetycznej linii napowietrznej 110 kV relacji Pniewy — Wronki, natomiast z treści uzasadnienia i charakterystyki przedsięwzięcia wynika, że przedsięwzięcie ma polegać na budowie zupełnie nowej linii napowietrznej; </w:t>
      </w:r>
    </w:p>
    <w:p w:rsidR="00457259" w:rsidRDefault="009316FB" w:rsidP="009316FB">
      <w:pPr>
        <w:spacing w:after="0" w:line="312" w:lineRule="auto"/>
        <w:jc w:val="both"/>
        <w:rPr>
          <w:rFonts w:asciiTheme="minorHAnsi" w:hAnsiTheme="minorHAnsi" w:cstheme="minorHAnsi"/>
          <w:bCs/>
          <w:color w:val="000000"/>
          <w:sz w:val="24"/>
          <w:szCs w:val="24"/>
        </w:rPr>
      </w:pPr>
      <w:r w:rsidRPr="009316FB">
        <w:rPr>
          <w:rFonts w:asciiTheme="minorHAnsi" w:hAnsiTheme="minorHAnsi" w:cstheme="minorHAnsi"/>
          <w:bCs/>
          <w:color w:val="000000"/>
          <w:sz w:val="24"/>
          <w:szCs w:val="24"/>
        </w:rPr>
        <w:lastRenderedPageBreak/>
        <w:t>2. art. 80 ust. 2 ustawy ooś poprzez „sprzeczność przedsięwzięcia” z aktami prawa miejscowego przyjętymi:</w:t>
      </w:r>
    </w:p>
    <w:p w:rsidR="009316FB" w:rsidRDefault="009316FB" w:rsidP="009316F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a) </w:t>
      </w:r>
      <w:r w:rsidRPr="009316FB">
        <w:rPr>
          <w:rFonts w:asciiTheme="minorHAnsi" w:hAnsiTheme="minorHAnsi" w:cstheme="minorHAnsi"/>
          <w:bCs/>
          <w:sz w:val="24"/>
          <w:szCs w:val="24"/>
        </w:rPr>
        <w:t xml:space="preserve">uchwałą Nr XIV/142/99 Rady Miejskiej Pniewy z dnia 2 grudnia 1999 r. w sprawie miejscowego planu zagospodarowania przestrzennego terenu zabudowy mieszkaniowej z działalnością gospodarczą przy ul. Wronieckiej, Pniewy; </w:t>
      </w:r>
    </w:p>
    <w:p w:rsidR="009316FB" w:rsidRDefault="009316FB" w:rsidP="009316F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b) </w:t>
      </w:r>
      <w:r w:rsidRPr="009316FB">
        <w:rPr>
          <w:rFonts w:asciiTheme="minorHAnsi" w:hAnsiTheme="minorHAnsi" w:cstheme="minorHAnsi"/>
          <w:bCs/>
          <w:sz w:val="24"/>
          <w:szCs w:val="24"/>
        </w:rPr>
        <w:t xml:space="preserve">uchwałą Nr XXVI/264/2001 Rady Miejskiej Pniewy z dnia 15 lutego 2001 r. w sprawie miejscowego planu zagospodarowania przestrzennego terenu zabudowy mieszkaniowej w Lubocześnicy, gmina Pniewy; </w:t>
      </w:r>
    </w:p>
    <w:p w:rsidR="009316FB" w:rsidRDefault="009316FB" w:rsidP="009316F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c) </w:t>
      </w:r>
      <w:r w:rsidRPr="009316FB">
        <w:rPr>
          <w:rFonts w:asciiTheme="minorHAnsi" w:hAnsiTheme="minorHAnsi" w:cstheme="minorHAnsi"/>
          <w:bCs/>
          <w:sz w:val="24"/>
          <w:szCs w:val="24"/>
        </w:rPr>
        <w:t xml:space="preserve">uchwałą Nr XVII/130/12 Rady Miejskiej Pniewy z dnia 17 kwietnia 2012 r. w sprawie uchwalenia miejscowego planu zagospodarowania przestrzennego terenu w rejonie ulic: Polnej, Wiśniowej i Wspólnej w Pniewach; </w:t>
      </w:r>
    </w:p>
    <w:p w:rsidR="009316FB" w:rsidRPr="009316FB" w:rsidRDefault="009316FB" w:rsidP="009316F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 xml:space="preserve">3. </w:t>
      </w:r>
      <w:r w:rsidRPr="009316FB">
        <w:rPr>
          <w:rFonts w:asciiTheme="minorHAnsi" w:hAnsiTheme="minorHAnsi" w:cstheme="minorHAnsi"/>
          <w:bCs/>
          <w:sz w:val="24"/>
          <w:szCs w:val="24"/>
        </w:rPr>
        <w:t>art. 3 ust. 1 pkt 13 ustawy ooś poprzez niezasadne podzielenie jednego przedsięwzięcia na mniejsze etapy, co z kolei skutkowało orzeczeniem o braku potrzeby przeprowadzenia oceny oddziaływania przedsięwzięcia na środowisko.</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 xml:space="preserve">Dodatkowo przy piśmie z dnia 20 grudnia 2017 r. przedłożona została opinia nr 669/2017 z dnia 18 grudnia 2017 r. dotycząca kwalifikacji robót budowlanych w zakresie inwestycji celu publicznego — linii elektroenergetycznej 110 kV relacji Pniewy - Wronki, na odcinkach projektowanych słupów nr 20-51 oraz 55-79. Następnie pismem z dnia 26 września 2018 r. przekazano wyrok Wojewódzkiego Sądu Administracyjnego w Poznaniu z dnia 18 lipca 2018 r., sygn. akt IV SA/Po 495/18, dotyczący decyzji zatwierdzającej projekt budowlany i udzielającej pozwolenia na budowę dla fragmentu linii na terenie gminy Wronki. Pismem z dnia 2 października 2019 r. </w:t>
      </w:r>
      <w:r>
        <w:rPr>
          <w:rFonts w:asciiTheme="minorHAnsi" w:hAnsiTheme="minorHAnsi" w:cstheme="minorHAnsi"/>
          <w:bCs/>
          <w:sz w:val="24"/>
          <w:szCs w:val="24"/>
        </w:rPr>
        <w:t xml:space="preserve">(…) </w:t>
      </w:r>
      <w:r w:rsidRPr="009316FB">
        <w:rPr>
          <w:rFonts w:asciiTheme="minorHAnsi" w:hAnsiTheme="minorHAnsi" w:cstheme="minorHAnsi"/>
          <w:bCs/>
          <w:sz w:val="24"/>
          <w:szCs w:val="24"/>
        </w:rPr>
        <w:t>i</w:t>
      </w:r>
      <w:r>
        <w:rPr>
          <w:rFonts w:asciiTheme="minorHAnsi" w:hAnsiTheme="minorHAnsi" w:cstheme="minorHAnsi"/>
          <w:bCs/>
          <w:sz w:val="24"/>
          <w:szCs w:val="24"/>
        </w:rPr>
        <w:t xml:space="preserve"> (…)</w:t>
      </w:r>
      <w:r w:rsidRPr="009316FB">
        <w:rPr>
          <w:rFonts w:asciiTheme="minorHAnsi" w:hAnsiTheme="minorHAnsi" w:cstheme="minorHAnsi"/>
          <w:bCs/>
          <w:sz w:val="24"/>
          <w:szCs w:val="24"/>
        </w:rPr>
        <w:t xml:space="preserve"> złożyli dodatkowe uwagi (wraz z pozwoleniem nr 440/2019/C na prowadzenie badań archeologicznych Wielkopolskiego Wojewódzkiego Konserwatora Zabytków). Pismem z dnia 9 października 2019 r. skarżący wnieśli dodatkowe uwagi oraz przedłożyli wyrok Naczelnego Sądu Administracyjnego z dnia 20 września 2019 r., sygn. akt I OSK 2864/17, dotyczący decyzji w przedmiocie ograniczenia sposobu korzystania z części nieruchomości. Strony w tych uzupełnieniach przedstawiły dodatkową argumentację dotyczącą faktu, iż w ich ocenie planowane przedsięwzięcie polega na budowie nowej linii elektroenergetycznej oraz dotyczące niezgodności przedsięwzięci</w:t>
      </w:r>
      <w:r>
        <w:rPr>
          <w:rFonts w:asciiTheme="minorHAnsi" w:hAnsiTheme="minorHAnsi" w:cstheme="minorHAnsi"/>
          <w:bCs/>
          <w:sz w:val="24"/>
          <w:szCs w:val="24"/>
        </w:rPr>
        <w:t xml:space="preserve">a z zapisami miejscowych planów </w:t>
      </w:r>
      <w:r w:rsidRPr="009316FB">
        <w:rPr>
          <w:rFonts w:asciiTheme="minorHAnsi" w:hAnsiTheme="minorHAnsi" w:cstheme="minorHAnsi"/>
          <w:bCs/>
          <w:sz w:val="24"/>
          <w:szCs w:val="24"/>
        </w:rPr>
        <w:t xml:space="preserve">zagospodarowania przestrzennego. Ponadto ww. pismem z dnia 2 października 2019 r. </w:t>
      </w:r>
      <w:r>
        <w:rPr>
          <w:rFonts w:asciiTheme="minorHAnsi" w:hAnsiTheme="minorHAnsi" w:cstheme="minorHAnsi"/>
          <w:bCs/>
          <w:sz w:val="24"/>
          <w:szCs w:val="24"/>
        </w:rPr>
        <w:t xml:space="preserve">(…) i (…) </w:t>
      </w:r>
      <w:r w:rsidRPr="009316FB">
        <w:rPr>
          <w:rFonts w:asciiTheme="minorHAnsi" w:hAnsiTheme="minorHAnsi" w:cstheme="minorHAnsi"/>
          <w:bCs/>
          <w:sz w:val="24"/>
          <w:szCs w:val="24"/>
        </w:rPr>
        <w:t>wnieśli o przeprowadzenie dowodu z ww. pozwolenia wydanego przez Wielkopolskiego Wojewódzkiego Konserwatora Zabytków oraz o przeprowadzenie rozprawy administracyjnej w przedmiotowej sprawie.</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 xml:space="preserve">Dodatkowo pismem z dnia 15 listopada 2018 r. Enea Operator Sp. z o.o. reprezentowana przez radcę prawnego </w:t>
      </w:r>
      <w:r>
        <w:rPr>
          <w:rFonts w:asciiTheme="minorHAnsi" w:hAnsiTheme="minorHAnsi" w:cstheme="minorHAnsi"/>
          <w:bCs/>
          <w:sz w:val="24"/>
          <w:szCs w:val="24"/>
        </w:rPr>
        <w:t xml:space="preserve">(…) </w:t>
      </w:r>
      <w:r w:rsidRPr="009316FB">
        <w:rPr>
          <w:rFonts w:asciiTheme="minorHAnsi" w:hAnsiTheme="minorHAnsi" w:cstheme="minorHAnsi"/>
          <w:bCs/>
          <w:sz w:val="24"/>
          <w:szCs w:val="24"/>
        </w:rPr>
        <w:t>wniosła swoje uwagi (argumentację dotyczącą odmowy stwierdzenia nieważności zaskarżonej decyzji).</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lastRenderedPageBreak/>
        <w:t>Zawiadomieniem z dnia 3 lipca 2019 r., zn</w:t>
      </w:r>
      <w:r>
        <w:rPr>
          <w:rFonts w:asciiTheme="minorHAnsi" w:hAnsiTheme="minorHAnsi" w:cstheme="minorHAnsi"/>
          <w:bCs/>
          <w:sz w:val="24"/>
          <w:szCs w:val="24"/>
        </w:rPr>
        <w:t>ak: DOOŚ-DŚII.4210.24.2017.mk.1</w:t>
      </w:r>
      <w:r w:rsidRPr="009316FB">
        <w:rPr>
          <w:rFonts w:asciiTheme="minorHAnsi" w:hAnsiTheme="minorHAnsi" w:cstheme="minorHAnsi"/>
          <w:bCs/>
          <w:sz w:val="24"/>
          <w:szCs w:val="24"/>
        </w:rPr>
        <w:t>6 i DOOŚ-DSlI.4210.24.2017.mk.17, GDOS poinformował strony o możliwości zapoznania się z materiałem dowodowym oraz wypowiedzenia się co do jego treści.</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W oparciu o zgromadzony materiał dowodowy, po ponownym jego rozpatrzeniu, GDOŚ zważył i ustalił, co następuje.</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Zgodnie z art. 5 § 2 pkt 4 Kpa GDOS jako centralny organ administracji rządowej rozumiany jest jako minister. Biorąc pod uwagę powyższe w przedmiotowym postępowaniu stronom przysługiwał wniosek o ponowne rozpatrzenie sprawy stosownie do treści art. 127 § 3 Kpa, zgodnie z którym od decyzji wydanej w pierwszej instancji przez ministra lub samorządowe</w:t>
      </w:r>
      <w:r>
        <w:rPr>
          <w:rFonts w:asciiTheme="minorHAnsi" w:hAnsiTheme="minorHAnsi" w:cstheme="minorHAnsi"/>
          <w:bCs/>
          <w:sz w:val="24"/>
          <w:szCs w:val="24"/>
        </w:rPr>
        <w:t xml:space="preserve"> </w:t>
      </w:r>
      <w:r w:rsidRPr="009316FB">
        <w:rPr>
          <w:rFonts w:asciiTheme="minorHAnsi" w:hAnsiTheme="minorHAnsi" w:cstheme="minorHAnsi"/>
          <w:bCs/>
          <w:sz w:val="24"/>
          <w:szCs w:val="24"/>
        </w:rPr>
        <w:t>kolegium odwoławcze nie służy odwołanie, jednakże strona niezadowolona z decyzji może zwrócić się do tego organu z wnioskiem o ponowne rozpatrzenie sprawy.</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W postępowaniu dotyczącym ponownego rozpatrzenia sprawy umożliwiono aktywny udział stronom postępowania. GDOŚ powiadomił strony o złożeniu wniosku o ponowne rozpatrzenie sprawy, o wyznaczeniu nowego terminu jej załatwienia oraz o możliwości zapoznania się z aktami sprawy i wypowiedzenia się co do zebranych dowodów i materiałów oraz zgłoszonych żądań przed wydaniem decyzji kończącej postępowanie w sprawie.</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Mając na uwadze zasadę dwuinstancyjności postępowania administracyjnego, której istotą jest zapewnienie stronom prawa do dwukrotnego rozpatrzenia i rozstrzygnięcia sprawy, organ, ponownie rozpoznając sprawę, dokonał analizy całości zgromadzonego materiału dowodowego i rozpatrzył sprawę w pełnym zakresie, co do okoliczności faktycznych i prawnych. GDOS, stojąc na straży praworządności oraz podejmując wszelkie kroki niezbędne do wyjaśnienia stanu faktycznego, w przedmiotowej sprawie nie ograniczył się do zbadania wniosków strony, lecz dokonał analizy decyzji RDOS w Poznaniu pod kątem wszystkich przesłanek wymienionych w art. 156 Kpa, mogących powodować nieważność decyzji. W konsekwencji GDOŚ nie podzielił stanowiska skarżących, przedstawionego we wniosku o ponowne rozpatrzenie sprawy i utrzymał decyzję własną w mocy.</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 xml:space="preserve">Na wstępie należy podkreślić, że celem postępowania w sprawie stwierdzenia nieważności decyzji nie jest merytoryczne, ponowne rozstrzygnięcie sprawy w jej całokształcie, lecz przeprowadzenie weryfikacji ostatecznej decyzji pod względem identyfikacji wystąpienia przesłanek określonych w art. 156 § 1 pkt 1-7 Kpa. Sprawa nie toczy się bowiem w trybie zwykłym, gdzie dla uchylenia decyzji wystarczy stwierdzenie naruszenia prawa mające wpływ na wynik rozstrzygnięcia, a w trybie nadzoru, kiedy zupełnie wyjątkowo, wbrew wynikającej z art. 16 § 1 Kpa zasadzie trwałości decyzji ostatecznych, z enumeratywnie wyliczonych ustawowo przyczyn można uznać decyzję ostateczną za dotkniętą tak ciężką wadą, że zachodzi konieczność uznania jej za nieważną. Organ jest zatem zobowiązany przeanalizować przesłanki określone w art. 156 § 1 Kpa i w przypadku wystąpienia którejkolwiek z nich wyeliminować z </w:t>
      </w:r>
      <w:r w:rsidRPr="009316FB">
        <w:rPr>
          <w:rFonts w:asciiTheme="minorHAnsi" w:hAnsiTheme="minorHAnsi" w:cstheme="minorHAnsi"/>
          <w:bCs/>
          <w:sz w:val="24"/>
          <w:szCs w:val="24"/>
        </w:rPr>
        <w:lastRenderedPageBreak/>
        <w:t>obrotu prawnego decyzję obciążoną wadą nieważności, pod warunkiem, że nie zaistniały przesłanki negatywne określone w art. 156 § 2 Kpa.</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Decyzją z dnia 22 sierpnia 2017 r., znak: DOOŚ-DŚII.4210.2.2016.PD.9, GDOŚ odmówił stwierdzenia nieważności decyzji RDOS w Poznaniu z dnia 3 lipca 2014 r., znak: WOO-II.4202.3.2014.JS.8, o środowiskowych uwarunkowaniach dla przedsięwzięcia polegającego na przebudowie elektroenergetycznej linii napowietrznej 110 kV relacji Pniewy — Wronki. W uzasadnieniu decyzji, GDOS ustosunkował się do zarzutów zgłoszonych przez</w:t>
      </w:r>
      <w:r>
        <w:rPr>
          <w:rFonts w:asciiTheme="minorHAnsi" w:hAnsiTheme="minorHAnsi" w:cstheme="minorHAnsi"/>
          <w:bCs/>
          <w:sz w:val="24"/>
          <w:szCs w:val="24"/>
        </w:rPr>
        <w:t xml:space="preserve"> (…), (…), (…) oraz (…), a </w:t>
      </w:r>
      <w:r w:rsidRPr="009316FB">
        <w:rPr>
          <w:rFonts w:asciiTheme="minorHAnsi" w:hAnsiTheme="minorHAnsi" w:cstheme="minorHAnsi"/>
          <w:bCs/>
          <w:sz w:val="24"/>
          <w:szCs w:val="24"/>
        </w:rPr>
        <w:t>także zbadał czy w przedmiotowej sprawie zaistniała którakolwiek z przesłanek wymienionych w art. 156 § 1 Kpa, pozwalających na stwierdzenie nieważności ww. decyzji RDOS w Poznaniu.</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Dokonując oceny prawidłowości decyzji własnej z dnia 22 sierpnia 2017 r., GDOS ponownie nie stwierdził naruszenia przepisów o właściwości, o których mowa w art. 156 § 1 pkt 1 Kpa, gdyż organem właściwym do wydania decyzji był RDOS w Poznaniu, bowiem inwestycja będzie realizowana w części na terenie zamkniętym (art. 75 ust. 6 ustawy ooś).</w:t>
      </w:r>
    </w:p>
    <w:p w:rsid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Do przesłanki zawartej w art. 156 § 1 pkt 2 Kpa GDOŚ odniesie się w dalszej części niniejszej decyzji.</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Decyzja RDOŚ w Poznaniu nie dotyczy sprawy już poprzednio rozstrzygniętej inną decyzją ostateczną, zatem w niniejszej sprawie nie zachodzi także przesłanka zawarta w art. 156 § 1 pkt 3 Kpa.</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Ponownie rozpatrując sprawę, GDOŚ nie stwierdził również, aby decyzja RDOŚ w Poznaniu była skierowana do osoby niebędącej stroną w sprawie, nie można zatem mówić o zaistnieniu przesłanki stwierdzenia nieważności decyzji zawartej w art. 156 § 1 pkt 4 Kpa.</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Również nie można uznać, aby decyzja była niewykonalna w dniu jej wydania, a jej niewykonalność miała charakter trwały, co eliminuje przesłankę, o której mowa w art. 156 § 1 pkt 5 Kpa.</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Nie wystąpiła również przesłanka wskazana w art. 156 § 1 pkt 6 Kpa, tj. decyzja w razie jej wykonania wywołałaby czyn zagrożony karą. Zaskarżona decyzja nie zawiera rozstrzygnięcia sprawy co do istoty ani innych treści, które byłyby niewykonalne w dniu jej wydania bądź ich wykonanie wywołałoby czyn zagrożony karą.</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W niniejszej sprawie nie można również uznać, że decyzja RDOŚ w Poznaniu zawiera wadę powodującą jej nieważność z mocy prawa — art. 156 § 1 pkt 7 Kpa, brak jest bowiem szczególnego przepisu prawa, który przewidywałby skutek w postaci stwierdzenia nieważności decyzji wydanej w przedmiotowej sprawie.</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 xml:space="preserve">W związku z powyższym GDOŚ potwierdza ustalenia zawarte w decyzji własnej z dnia 22 sierpnia 2017 r. Jednocześnie należy wskazać, iż w wyniku ponownego rozpatrzenia sprawy </w:t>
      </w:r>
      <w:r w:rsidRPr="009316FB">
        <w:rPr>
          <w:rFonts w:asciiTheme="minorHAnsi" w:hAnsiTheme="minorHAnsi" w:cstheme="minorHAnsi"/>
          <w:bCs/>
          <w:sz w:val="24"/>
          <w:szCs w:val="24"/>
        </w:rPr>
        <w:lastRenderedPageBreak/>
        <w:t>nie pojawiły się żadne nowe dowody ani argumenty stron mogące wskazywać na wystąpienie jednej z ww. przesłanek do stwierdzenia nieważności decyzji.</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Po ponownym rozpatrzeniu sprawy GDOŚ stoi na stanowisku, że w niniejszej sprawie nie zaistniała przesłanka określona w art. 156 § 1 pkt 2 Kpa, tzn. decyzja RDOŚ w Poznaniu nie została wydana z rażącym naruszeniem prawa, co podniosły strony wnioskując o ponowne rozpatrzenie sprawy.</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Unieważnienie decyzji na podstawie tego przepisu możliwe jest tylko wówczas, gdy naruszenie prawa stwierdzone przy jej wydawaniu jest jednocześnie naruszeniem rażącym. Organ administracji ma zatem obowiązek nie tylko zbadania, czy nastąpiło naruszenie prawa, ale również wykazania, że było to naruszenie rażące. Należy podkreślić, że „interpretacja przepisów, dotyczących możliwości podważenia decyzji ostatecznych, musi być ścisła i nie może rozszerzać zakresu unormowania. Usuwanie orzeczeń ostatecznych narusza bowiem ład systemu prawnego, stanowi odstępstwo od zasady stabilności decyzji ostatecznych oraz zasady dwuinstancyjności postępowania. Zatem tylko wyraźnie określone w ustawie przyczyny, obejmujące najdalej idące wadliwości orzeczenia lub poprzedzającego go postępowania, mogą prowadzić do jego wzruszenia” (por. wyrok Wojewódzkiego Sądu Administracyjnego w Warszawie z dnia 29 grudnia 2010 r., sygn. akt IV SA/Wa 1987/10).</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 xml:space="preserve">Określenie „rażące naruszenie prawa” nie zostało zdefiniowane w kodeksie postępowania administracyjnego. Znaczenie terminu wyjaśnia orzecznictwo </w:t>
      </w:r>
      <w:r>
        <w:rPr>
          <w:rFonts w:asciiTheme="minorHAnsi" w:hAnsiTheme="minorHAnsi" w:cstheme="minorHAnsi"/>
          <w:bCs/>
          <w:sz w:val="24"/>
          <w:szCs w:val="24"/>
        </w:rPr>
        <w:t>sądów administracyjnych, w świetl</w:t>
      </w:r>
      <w:r w:rsidRPr="009316FB">
        <w:rPr>
          <w:rFonts w:asciiTheme="minorHAnsi" w:hAnsiTheme="minorHAnsi" w:cstheme="minorHAnsi"/>
          <w:bCs/>
          <w:sz w:val="24"/>
          <w:szCs w:val="24"/>
        </w:rPr>
        <w:t>e którego naruszenie prawa o rażącym charakterze występuje wówczas, gdy treść rozstrzygnięcia pozostaje w wyraźnej i oczywistej sprzeczności z treścią przepisów prawa i gdy charakter tego naruszenia powoduje, że rozstrzygnięcie nie może zostać zaakceptowane jako akt wydany przez organ praworządnego państwa. Nie każde zatem, nawet oczywiste, naruszenie prawa może być uznane za rażące. W orzecznictwie przyjmuje się, że naruszenie prawa tylko wtedy ma charakter rażący, gdy akt administracyjny został wydany wbrew nakazowi lub zakazowi ustanowionemu w przepisie prawnym, wbrew wszystkim przesłankom przepisu nadano prawa albo ich odmówiono</w:t>
      </w:r>
      <w:r>
        <w:rPr>
          <w:rFonts w:asciiTheme="minorHAnsi" w:hAnsiTheme="minorHAnsi" w:cstheme="minorHAnsi"/>
          <w:bCs/>
          <w:sz w:val="24"/>
          <w:szCs w:val="24"/>
        </w:rPr>
        <w:t xml:space="preserve">, </w:t>
      </w:r>
      <w:r w:rsidRPr="009316FB">
        <w:rPr>
          <w:rFonts w:asciiTheme="minorHAnsi" w:hAnsiTheme="minorHAnsi" w:cstheme="minorHAnsi"/>
          <w:bCs/>
          <w:sz w:val="24"/>
          <w:szCs w:val="24"/>
        </w:rPr>
        <w:t xml:space="preserve">albo obarczono stronę obowiązkiem albo uchylono obowiązek. Cechą rażącego naruszenia prawa jest to, że treść aktu pozostaje w jawnej sprzeczności z treścią przepisu przez proste zestawienie ich ze sobą (wyrok Naczelnego Sądu Administracyjnego z dnia 2 marca 2011 r., sygn. akt II OSK 2226/10). W doktrynie wskazuje się, że o rażącym naruszeniu prawa decydują łącznie trzy przesłanki: oczywistość naruszenia prawa, charakter przepisu, który został naruszony, oraz racje ekonomiczne lub gospodarcze skutki, które wywołuje decyzja (por. J. Borkowski, Nieważność decyzji administracyjnej, str. 102; L. Żukowski, Kodeks postępowania administracyjnego, Ustawa o Naczelnym Sądzie Administracyjnym, Wyd. Prawnicze, W-wa 1998 r., str. 168-169; W. </w:t>
      </w:r>
      <w:r w:rsidRPr="009316FB">
        <w:rPr>
          <w:rFonts w:asciiTheme="minorHAnsi" w:hAnsiTheme="minorHAnsi" w:cstheme="minorHAnsi"/>
          <w:bCs/>
          <w:sz w:val="24"/>
          <w:szCs w:val="24"/>
        </w:rPr>
        <w:lastRenderedPageBreak/>
        <w:t>Chróściclewski, J.P. Tarno, Postępowanie administracyjne i Postępowanie przed sądami administracyjnymi, Wyd. Prawnicze „Lexis-Nexis”, Wydanie 2, W-wa 2006 r., str. 219).</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W ocenie GDOŚ nie mógł odnieść skutku żaden z zarzutów skarżących, przedstawionych we wniosku o stwierdzenie nieważności decyzji RDOS w Poznaniu oraz we wniosku o ponowne rozpatrzenie sprawy zakończonej zaskarżoną decyzją z dnia 22 sierpnia 2017 r. Generalny Dyrektor Ochrony Środowiska w toku prowadzonego postępowania nie stwierdził, aby zaskarżona decyzja naruszała jakikolwiek przepis prawa, mający zastosowanie przy jej wydaniu.</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Odnosząc się do treści wniosków o ponowne rozpatrzenie sprawy decyzji RDOS w Poznaniu, w zakresie zarzutów naruszenia prawa wskazanych na wstępie, wyjaśniam co następuje.</w:t>
      </w:r>
    </w:p>
    <w:p w:rsidR="009316FB" w:rsidRPr="009316FB" w:rsidRDefault="0043560C" w:rsidP="009316FB">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Ad.1</w:t>
      </w:r>
      <w:r w:rsidR="009316FB" w:rsidRPr="009316FB">
        <w:rPr>
          <w:rFonts w:asciiTheme="minorHAnsi" w:hAnsiTheme="minorHAnsi" w:cstheme="minorHAnsi"/>
          <w:bCs/>
          <w:sz w:val="24"/>
          <w:szCs w:val="24"/>
        </w:rPr>
        <w:t xml:space="preserve"> Wnioskując o ponowne rozpatrzenie sprawy strony podtrzymały, zawarte we wniosku o stwierdzenie nieważności, zastrzeżenia dotyczące niewłaściwej kwalifikacji zakresu prac planowanych do wykonania w ramach planowanego przedsięwzięcia. Zdaniem stron decyzja jest wewnętrznie sprzeczna, bowiem z sentencji wynika, że przedsięwzięcie ma polegać na przebudowie elektroenergetycznej linii napowietrznej 110 kV relacji Pniewy - Wronki, natomiast z treści uzasadnienia i charakterystyki przedsięwzięcia wynika, zdaniem skarżących, że przedsięwzięcie ma polegać na budowie zupełnie nowej Unii napowietrznej.</w:t>
      </w:r>
    </w:p>
    <w:p w:rsidR="009316FB" w:rsidRPr="009316FB" w:rsidRDefault="009316FB" w:rsidP="009316FB">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Skarżący opierają swoje twierdzenie, iż planowane przedsięwzięcie jest w rzeczywistości budową nowej linii elektroenergetycznej, na treści art. 3 pkt 7a Prawa budowlanego. Zgodnie z ww. przepisem przez przebudowę należy rozumieć wykonywanie robót budowlanych, w wyniku których następuje zmiana parametrów użytkowych lub technicznych istniejącego obiektu budowlanego, z wyjątkiem charakterystycznych parametrów, jak: kubatura, powierzchnia zabudowy, wys</w:t>
      </w:r>
      <w:r w:rsidR="0043560C">
        <w:rPr>
          <w:rFonts w:asciiTheme="minorHAnsi" w:hAnsiTheme="minorHAnsi" w:cstheme="minorHAnsi"/>
          <w:bCs/>
          <w:sz w:val="24"/>
          <w:szCs w:val="24"/>
        </w:rPr>
        <w:t>okość, długość, szerokość bądź li</w:t>
      </w:r>
      <w:r w:rsidRPr="009316FB">
        <w:rPr>
          <w:rFonts w:asciiTheme="minorHAnsi" w:hAnsiTheme="minorHAnsi" w:cstheme="minorHAnsi"/>
          <w:bCs/>
          <w:sz w:val="24"/>
          <w:szCs w:val="24"/>
        </w:rPr>
        <w:t xml:space="preserve">czba kondygnacji; w przypadku dróg są dopuszczalne zmiany charakterystycznych parametrów w zakresie niewymagającym zmiany granic pasa drogowego. Skarżący poprzez komparycję powyższego przepisu z art. 3 pkt 3a Prawa budowlanego (w którym wskazano, iż parametrem charakterystycznym obiektu liniowego takiego jak linia elektroenergetyczna, jest jego długość), wywodzą, iż oprócz długości obiektu liniowego innymi jego parametrami charakterystycznymi mogą być również kubatura i inne parametry określone w art. 3 pkt 7 Prawa budowlanego. Skarżący swoje stanowisko popierają wyrokiem Naczelnego Sądu Administracyjnego z dnia 3 lipca 2007 r., sygn. akt II OSK 163/07, oraz komentarzem CH. Beck do Prawa budowlanego, powołującym się na wyrok sądu z 2006 r. Ponadto skarżący przywołują komentarz do Prawa budowlanego wydanego pod redakcją Zygmunta Niewiadomskiego w 2016 r. Z przytoczonego fragmentu komentarza wynika, iż pomiędzy odbudową, a remontem istnieje zasadnicza różnica. Ponadto ww. komentarz wskazuje, że przebudowa zgodnie z art. 3 pkt 7a Prawa budowlanego polega </w:t>
      </w:r>
      <w:r w:rsidRPr="009316FB">
        <w:rPr>
          <w:rFonts w:asciiTheme="minorHAnsi" w:hAnsiTheme="minorHAnsi" w:cstheme="minorHAnsi"/>
          <w:bCs/>
          <w:sz w:val="24"/>
          <w:szCs w:val="24"/>
        </w:rPr>
        <w:lastRenderedPageBreak/>
        <w:t>na zmianie parametrów budowli z wyłączeniem parametrów charakterystycznych budowli takich jak kubatura, wysokość etc.</w:t>
      </w:r>
    </w:p>
    <w:p w:rsidR="0043560C" w:rsidRPr="0043560C" w:rsidRDefault="009316FB" w:rsidP="0043560C">
      <w:pPr>
        <w:spacing w:after="0" w:line="312" w:lineRule="auto"/>
        <w:jc w:val="both"/>
        <w:rPr>
          <w:rFonts w:asciiTheme="minorHAnsi" w:hAnsiTheme="minorHAnsi" w:cstheme="minorHAnsi"/>
          <w:bCs/>
          <w:sz w:val="24"/>
          <w:szCs w:val="24"/>
        </w:rPr>
      </w:pPr>
      <w:r w:rsidRPr="009316FB">
        <w:rPr>
          <w:rFonts w:asciiTheme="minorHAnsi" w:hAnsiTheme="minorHAnsi" w:cstheme="minorHAnsi"/>
          <w:bCs/>
          <w:sz w:val="24"/>
          <w:szCs w:val="24"/>
        </w:rPr>
        <w:t>Dodatkowo skarżący stwierdzają, iż gabaryty oraz konstrukcja planowanego przedsięwzięcia po jego zrealizowaniu są diametralnie inne od dotychczas istniejącej linii elektroenergetycznej w</w:t>
      </w:r>
      <w:r w:rsidR="0043560C">
        <w:rPr>
          <w:rFonts w:asciiTheme="minorHAnsi" w:hAnsiTheme="minorHAnsi" w:cstheme="minorHAnsi"/>
          <w:bCs/>
          <w:sz w:val="24"/>
          <w:szCs w:val="24"/>
        </w:rPr>
        <w:t xml:space="preserve"> </w:t>
      </w:r>
      <w:r w:rsidR="0043560C" w:rsidRPr="0043560C">
        <w:rPr>
          <w:rFonts w:asciiTheme="minorHAnsi" w:hAnsiTheme="minorHAnsi" w:cstheme="minorHAnsi"/>
          <w:bCs/>
          <w:sz w:val="24"/>
          <w:szCs w:val="24"/>
        </w:rPr>
        <w:t xml:space="preserve">związku z czym stanowić będzie całkowicie nową budowlę. W związku z powyższym skarżący zarzucili GDOS naruszenie art. 3 pkt 3, 6 oraz 7a Prawa budowlanego poprzez uznanie, iż planowane przedsięwzięcie stanowi przebudowę obiektu liniowego, którego jedynym parametrem </w:t>
      </w:r>
      <w:r w:rsidR="0043560C">
        <w:rPr>
          <w:rFonts w:asciiTheme="minorHAnsi" w:hAnsiTheme="minorHAnsi" w:cstheme="minorHAnsi"/>
          <w:bCs/>
          <w:sz w:val="24"/>
          <w:szCs w:val="24"/>
        </w:rPr>
        <w:t xml:space="preserve">charakterystycznym </w:t>
      </w:r>
      <w:r w:rsidR="0043560C" w:rsidRPr="0043560C">
        <w:rPr>
          <w:rFonts w:asciiTheme="minorHAnsi" w:hAnsiTheme="minorHAnsi" w:cstheme="minorHAnsi"/>
          <w:bCs/>
          <w:sz w:val="24"/>
          <w:szCs w:val="24"/>
        </w:rPr>
        <w:t>jest długość. Biorąc pod uwagę powyższe skarżący wywiedli, iż decyzja środowiskowa jest wewnętrznie sprzeczna, gdyż jej sentencja mówi o przebudowie przedsięwzięcia, zaś treść uzasadnienia oraz charakterystyka przedsięwzięcia wskazuje na to, iż jest to nowe zamierzenie budowlane. Skarżący powołując się na wyrok Naczelnego Sądu Administracyjnego z dnia 13 maja 1999 r., sygn. akt IV SA 935/98, wskazują, że taka niespójność sentencji decyzji z jej uzasadnieniem stanowi wadę wymienioną w art. 156 § 1 pkt 2 Kpa.</w:t>
      </w:r>
      <w:r w:rsidR="0043560C">
        <w:rPr>
          <w:rFonts w:asciiTheme="minorHAnsi" w:hAnsiTheme="minorHAnsi" w:cstheme="minorHAnsi"/>
          <w:bCs/>
          <w:sz w:val="24"/>
          <w:szCs w:val="24"/>
        </w:rPr>
        <w:t xml:space="preserve"> </w:t>
      </w:r>
      <w:r w:rsidR="0043560C" w:rsidRPr="0043560C">
        <w:rPr>
          <w:rFonts w:asciiTheme="minorHAnsi" w:hAnsiTheme="minorHAnsi" w:cstheme="minorHAnsi"/>
          <w:bCs/>
          <w:sz w:val="24"/>
          <w:szCs w:val="24"/>
        </w:rPr>
        <w:t>Na poparcie swoich tez skarżący, w toku prowadzonego postępowania, przedłożyli opinię z dnia 18 grudnia 2017 r. wykonaną przez</w:t>
      </w:r>
      <w:r w:rsidR="0043560C">
        <w:rPr>
          <w:rFonts w:asciiTheme="minorHAnsi" w:hAnsiTheme="minorHAnsi" w:cstheme="minorHAnsi"/>
          <w:bCs/>
          <w:sz w:val="24"/>
          <w:szCs w:val="24"/>
        </w:rPr>
        <w:t xml:space="preserve"> (…)</w:t>
      </w:r>
      <w:r w:rsidR="0043560C" w:rsidRPr="0043560C">
        <w:rPr>
          <w:rFonts w:asciiTheme="minorHAnsi" w:hAnsiTheme="minorHAnsi" w:cstheme="minorHAnsi"/>
          <w:bCs/>
          <w:sz w:val="24"/>
          <w:szCs w:val="24"/>
        </w:rPr>
        <w:t xml:space="preserve"> (rzeczoznawcę majątkowego) oraz </w:t>
      </w:r>
      <w:r w:rsidR="0043560C">
        <w:rPr>
          <w:rFonts w:asciiTheme="minorHAnsi" w:hAnsiTheme="minorHAnsi" w:cstheme="minorHAnsi"/>
          <w:bCs/>
          <w:sz w:val="24"/>
          <w:szCs w:val="24"/>
        </w:rPr>
        <w:t xml:space="preserve">(…) </w:t>
      </w:r>
      <w:r w:rsidR="0043560C" w:rsidRPr="0043560C">
        <w:rPr>
          <w:rFonts w:asciiTheme="minorHAnsi" w:hAnsiTheme="minorHAnsi" w:cstheme="minorHAnsi"/>
          <w:bCs/>
          <w:sz w:val="24"/>
          <w:szCs w:val="24"/>
        </w:rPr>
        <w:t>(nr uprawnień budowlanych dotyczącą kwalifikacji robót budowlanych w zakresie inwestycji celu publicznego - linii elektroenergetycznej 110 kV relacji Pniewy - Wronki, na odcinkach projektowanych słupów nr 20-51 oraz 55-79. W przedmiotowej opinii wykonawcy opierając się w dużej mierze na interpretacji art. 3 pkt 7a Prawa budowlanego wywodzą, iż planowane przedsięwzięcie stanowi budowę nowej linii elektroenergetycznej. Następnie pismem z dnia 26 września 2018 r. przekazano wyrok Wojewódzkiego Sądu Administracyjnego w Poznaniu z dnia 18 lipca 2018 r., sygn. akt IV SA/Po 495/18, dotyczący decyzji zatwierdzającej projekt budowlany i udzielającej pozwolenia na budowę dla fragmentu linii na terenie gminy Wronki. W ww. wyroku WSA w Poznaniu uchyla zaskarżoną decyzję Wojewody Wielkopolskiego z dnia 23 marca 2018 r. oraz poprzedzającą ją decyzję Starosty Powiatu Szamotulskiego z dnia 24 stycznia 2018 r. Sąd przy ponownym rozpatrywaniu sprawy nakazał ustalenie czy intencją wnioskodawcy jest uzyskanie pozwolenia na budowę, czy też na przebudowę linii energetycznej, gdyż w jego ocenie dokumenty przedłożone na etapie pozwolenia budowlanego nie pozwalały na jednoznaczną kwalifikację prac.</w:t>
      </w:r>
      <w:r w:rsidR="0043560C">
        <w:rPr>
          <w:rFonts w:asciiTheme="minorHAnsi" w:hAnsiTheme="minorHAnsi" w:cstheme="minorHAnsi"/>
          <w:bCs/>
          <w:sz w:val="24"/>
          <w:szCs w:val="24"/>
        </w:rPr>
        <w:t xml:space="preserve"> </w:t>
      </w:r>
      <w:r w:rsidR="0043560C" w:rsidRPr="0043560C">
        <w:rPr>
          <w:rFonts w:asciiTheme="minorHAnsi" w:hAnsiTheme="minorHAnsi" w:cstheme="minorHAnsi"/>
          <w:bCs/>
          <w:sz w:val="24"/>
          <w:szCs w:val="24"/>
        </w:rPr>
        <w:t xml:space="preserve">Następnie w piśmie z dnia 2 października 2019 r. i wnieśli o przeprowadzenie dowodu z decyzji Wielkopolskiego Wojewódzkiego Konserwatora Zabytków z dnia 12 czerwca 2019 r., znak: Po-WA.5161.6547.15.2018/2019, na okoliczność jaka faktycznie ma być realizowana inwestycja, która jest objęta zaskarżoną decyzją RDOS w Poznaniu. Wnieśli również o przeprowadzenie rozprawy administracyjnej, na której zostanie wyjaśnione, jaka ma być realizowana faktycznie inwestycja oraz zostaną przeprowadzone dowody z dokumentów znajdujących się w aktach sprawy oraz dołączonych do niniejszego pisma. Na mapach stanowiących załącznik do decyzji </w:t>
      </w:r>
      <w:r w:rsidR="0043560C" w:rsidRPr="0043560C">
        <w:rPr>
          <w:rFonts w:asciiTheme="minorHAnsi" w:hAnsiTheme="minorHAnsi" w:cstheme="minorHAnsi"/>
          <w:bCs/>
          <w:sz w:val="24"/>
          <w:szCs w:val="24"/>
        </w:rPr>
        <w:lastRenderedPageBreak/>
        <w:t>Wielkopolskiego Wojewódzkiego Konserwatora Zabytków wyraźnie widać zarówno stare słupy, które mają być zdemontowane jak i nowe, które mają być montowane. Stare słupy są znacznie mniejsze i są posadowione w innych miejscach niż montowane słupy. Ich zdaniem już tylko z tej okoliczności wynika, że realizowana inwestycja nie stanowi przebudowy, ale budowę w rozumieniu Prawa budowlanego.</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Odnosząc się do powyższych zarzutów w pierwszej kolejności należy zauważyć, że strony żądają oceny decyzji o środowiskowych uwarunkowaniach przez pryzmat dokumentów z innych postępowań inwestycyjnych. Postępowanie w sprawie wydania decyzji o środowiskowych uwarunkowaniach jest odrębnym postępowaniem administracyjnym poprzedzającym wszczęcie postępowania w sprawie decyzji inwestycyjnej np. pozwolenia na budowę. Należy powtórzyć, że w postępowaniu nieważnościowym nie prowadzi się postępowania dowodowego i nie analizuje się ponownie sprawy, tak jak ma to miejsce w postępowaniu zwykłym. Ocena materiału dowodowego i wydanej decyzji w oparciu o nadesłane dokumenty z etapu postępowania budowlanego oraz z</w:t>
      </w:r>
      <w:r>
        <w:rPr>
          <w:rFonts w:asciiTheme="minorHAnsi" w:hAnsiTheme="minorHAnsi" w:cstheme="minorHAnsi"/>
          <w:bCs/>
          <w:sz w:val="24"/>
          <w:szCs w:val="24"/>
        </w:rPr>
        <w:t xml:space="preserve"> </w:t>
      </w:r>
      <w:r w:rsidRPr="0043560C">
        <w:rPr>
          <w:rFonts w:asciiTheme="minorHAnsi" w:hAnsiTheme="minorHAnsi" w:cstheme="minorHAnsi"/>
          <w:bCs/>
          <w:sz w:val="24"/>
          <w:szCs w:val="24"/>
        </w:rPr>
        <w:t>postępowania powadzonego przed konserwatorem zabytków prowadziłaby do rozszerzenia materiału dowodowego zgromadzonego w sprawie przed RDOS w Poznaniu, co wykracza poza ramy przedmiotowego postępowania w sprawie stwierdzenia nieważności. Powyższe odnosi się również do opinii przesłanej przez skarżących, wniosku o przeprowadzenie dowodu z rozprawy administracyjnej, a także przesłanej kopii wyroku sądu w sprawie dotyczącej rcahzacji przedmiotowej linii.</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Istotą tego postępowania nie jest merytoryczne rozstrzygnięcie sprawy, ale wyeliminowanie z obrotu prawnego decyzji obarczonych wadami wymienionymi w art. 156 § 1 Kpa. W opinii GDOS powyższy zarzut (wewnętrznej sprzeczności decyzji poprzez uznanie, iż planowane przedsięwzięcie polega na przebudowie linii elektroenergetycznej) wynika z odmiennej, w stosunku do RDOS w Poznaniu, oceny materiału dowodowego, w szczególności karty informacyjnej przedsięwzięcia, i ustalenia stanu faktycznego sprawy. Przywołane zarzuty nie stanowią o rażącym naruszeniu prawa, o którym mowa w art. 156 § 1 pkt 2 Kpa, a tym samym nie mogą stanowić podstawy do stwierdzenia nieważności zaskarżonej decyzji, bowiem zastosowania sankcji nieważności nie można wyprowadzić z odmiennej oceny materiału dowodowego, na którego podstawie organy orzekające w sprawie oparły ustalenie stanu faktycznego. Oparcie stosowania sankcji nieważności decyzji na różnicy w ocenie mocy dowodowej materiału dowodowego byłoby sprzeczne z zasadą ogólną trwałości decyzji administracyjnej (wyrok Naczelnego Sądu Administracyjnego z dnia 12 stycznia 2011 r., sygn. akt I OSK 363/10).</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Jak już wskazano w decyzji GDOS z dnia 22 sierpnia 2017 r. wynik rozważań czy planowane przedsięwzięcie jest przebudową, czy budową, nie wpływa na procedurę jakiej podlega </w:t>
      </w:r>
      <w:r w:rsidRPr="0043560C">
        <w:rPr>
          <w:rFonts w:asciiTheme="minorHAnsi" w:hAnsiTheme="minorHAnsi" w:cstheme="minorHAnsi"/>
          <w:bCs/>
          <w:sz w:val="24"/>
          <w:szCs w:val="24"/>
        </w:rPr>
        <w:lastRenderedPageBreak/>
        <w:t>planowane przedsięwzięcie w kontekście przepisów ustawy ooś, tj. m.in. na stwierdzenie konieczności przeprowadzenia oceny oddziaływania na środowisko.</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Zarówno budowa linii 110 kV, jak i przebudowa linii 110 kV, kwalifikuje się do przedsięwzięć mogących potencjalnie znacząco oddziaływać na środowisko: pierwsze jako przedsięwzięcie wymienione w § 3 ust. 1 pkt 7 (napowietrzne limę elektroenergetyczne o napięciu znamionowym nie mniejszym niż 110 kV inne niż wymienione w § 2 ust. 1 pkt 6), drugie jako § 3 ust. 2 pkt 2 (do przedsięwzięć mogących potencjalnie znacząco oddziaływać na środowisko zalicza się również przedsięwzięcia polegające na rozbudowie, przebudowie lub montażu realizowanego lub zrealizowanego przedsięwzięcia wymienionego w ust. 1) rozporządzenia Rady Ministrów z dnia 9 listopada 2010 r. w sprawie przedsięwzięć mogących znacząco oddziaływać na środowisko (Dz. U. z 2016 poz. 71). Dla obu, w myśl art. 80 ust. 2 ustawy ooś, organ wydaje decyzję o środowiskowych uwarunkowaniach w identycznej procedurze, po stwierdzeniu zgodności lokalizacji przedsięwzięcia z ustaleniami miejscowego planu zagospodarowania przestrzennego, jeżeli plan ten został uchwalony. Tym samym należy zaznaczyć, że procedura wydania przedmiotowej decyzji środowiskowej była prawidłowa, a podstawa prawna wydania decyzji istniała.</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Należy wyjaśnić, że decyzja o środowiskowych uwarunkowaniach nie wiąże na dalszym etapie procesu inwestycyjnego, w części w jakiej określa nazwę przedsięwzięcia jako „przebudowa”, lecz w części, w jakiej określa zakres zamierzenia budowlanego i wymagania ochrony środowiska.</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Ostatecznej kwalifikacji robót budowlanych do przebudowy lub budowy, na podstawie projektu budowlanego dokona właściwy organ administracji architektoniczno-budowlanej. On również, w myśl art. 35 Prawa budowlanego przed wydaniem decyzji o pozwoleniu na budowę lub odrębnej decyzji o zatwierdzeniu projektu budowlanego sprawdzi zgodność projektu budowlanego z ustaleniami miejscowego planu zagospodarowania przestrzennego, a także wymaganiami ochrony środowiska określonymi w decyzji o środowiskowych uwarunkowaniach. Zdaniem GDOŚ, organ</w:t>
      </w:r>
      <w:r>
        <w:rPr>
          <w:rFonts w:asciiTheme="minorHAnsi" w:hAnsiTheme="minorHAnsi" w:cstheme="minorHAnsi"/>
          <w:bCs/>
          <w:sz w:val="24"/>
          <w:szCs w:val="24"/>
        </w:rPr>
        <w:t xml:space="preserve"> </w:t>
      </w:r>
      <w:r w:rsidRPr="0043560C">
        <w:rPr>
          <w:rFonts w:asciiTheme="minorHAnsi" w:hAnsiTheme="minorHAnsi" w:cstheme="minorHAnsi"/>
          <w:bCs/>
          <w:sz w:val="24"/>
          <w:szCs w:val="24"/>
        </w:rPr>
        <w:t>orzekający w sprawie środowiskowych uwarunkowań nie klasyfikuje w sposób wiążący robót budowlanych wchodzących w zakres przedsięwzięcia zgodnie z Prawem budowlanym. Przepisy prawa nie regulują jak szczegółowo powinna być zdefiniowana nazwa przedsięwzięcia, dla którego złożono wniosek o wydanie decyzji o środowiskowych uwarunkowaniach. Generalnie nazwę przedsięwzięcia wskazuje inwestor w złożonym wniosku o wydanie decyzji. Nazwa przedsięwzięcia winna być rozpatrywana ściśle w odniesieniu do charakteru planowanych prac zdefiniowanych w dokumentacji stanowiącej podstawę wydania decyzji, w tym przypadku karcie informacyjnej przedsięwzięcia, a następnie określonych w charakterystyce przedsięwzięcia stanowiącej obligatoryjny załącznik do decyzji o środowiskowych uwarunkowaniach.</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lastRenderedPageBreak/>
        <w:t>Planowane prace polegać będą na wymianie wszystkich elementów linii, a obecna linia jednotorowa po przebudowie będzie linią dwutorową. Przebudowa linii obejmie całą długość linii od GPZ Pniewy do GPZ Wronki, czyli ok. 25,6 km. Realizacja nastąpi po trasie istniejącej linii, za wyjątkiem nieznacznych korekt podyktowanych koniecznością posadowienia projektowanych słupów załomowych obok istniejących. Strony zwracają uwagę na zmianę wysokości słupów, zmianę posadowienia słupów w ramach istniejącego przebiegu oraz inne konstrukcje wsporcze.</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Odnosząc się do powyższego należy wskazać, że w żadnym miejscu karta informacyjna przedsięwzięcia nie określa wysokości słupów istniejącej linii elektroenergetycznej ani wysokości słupów po jej przebudowie. Nie ma również wskazanych dokładnych lokalizacji słupów istniejących i po zrealizowaniu inwestycji. Z karty informacyjnej wynika jedynie, iż planowana przebudowa link elektroenergetycznej prowadzona będzie po istniejącym śladzie oraz że długość przebudowywanej linii nie zmieni się. Również z decyzji środowiskowej wydanej dla przedmiotowego przedsięwzięcia wynika, że planowane przedsięwzięcie polegać będzie na przebudowie istniejącej linii elektroenergetycznej po istniejącym śladzie o tej samej długości co istniejąca linia.</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Zgodnie z art. 3 pkt 3a Prawa budowlanego linia elektroenergetyczna jest obiektem liniowym, tj. obiektem budowlanym, którego charakterystycznym parametrem jest długość. Natomiast zgodnie z art. 3 pkt 7a Prawa budowlanego przez przebudowę należy rozumieć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Jak wskazano wyżej dla obiektów liniowych jedynym parametrem charakterystycznym jest ich długość.</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Należy zauważyć, że ustawodawca w sposób szczególny ujął obiekty liniowe poprzez nadanie im odrębnej definicji w stosunku do innych budowli oraz wskazał dla nich konkretny parametr charakterystyczny. W związku z powyższym należało by przyjąć, iż wolą ustawodawcy było wyróżnienie obiektów liniowych od innych budowli. Ponadto ustawodawca określając długość jako parametr charakterystyczny obiektów liniowych zaznaczył, iż w jego ocenie przez pryzmat właśnie tego parametru należy oceniać obiekty liniowe. Konstrukcja art. 3 pkt 3a Prawa budowlanego nie wskazuje, aby obiekty liniowe miały charakteryzować się również innymi parametrami niż długość.</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W związku z powyższym w świetle zapisów Prawa budowlanego oraz faktu, iż w ramach realizacji planowanego przedsięwzięcia nie zmieni się jego długość, przedmiotowe przedsięwzięcie należało zakwalifikować jako przebudowę. Podkreślić należy, że art. 3 pkt 3a Prawa budowlanego został dodany przez art. 65 pkt 1 lit. b) ustawy z dnia 7 maja 2010 r. o </w:t>
      </w:r>
      <w:r w:rsidRPr="0043560C">
        <w:rPr>
          <w:rFonts w:asciiTheme="minorHAnsi" w:hAnsiTheme="minorHAnsi" w:cstheme="minorHAnsi"/>
          <w:bCs/>
          <w:sz w:val="24"/>
          <w:szCs w:val="24"/>
        </w:rPr>
        <w:lastRenderedPageBreak/>
        <w:t>wspieraniu rozwoju usług i sieci telekomunikacyjnych (Dz. U z 2010 r. Nr 106 poz. 675) z dniem 17 lipca 2010 r. Tym samym należy uznać, że przywołane przez skarżących wyroki sądów dotyczące przebudowy obiektów budowlanych (z 2005 i 2007 r.) oraz komentarza do Prawa budowlanego wydanego pod kierunkiem</w:t>
      </w:r>
      <w:r>
        <w:rPr>
          <w:rFonts w:asciiTheme="minorHAnsi" w:hAnsiTheme="minorHAnsi" w:cstheme="minorHAnsi"/>
          <w:bCs/>
          <w:sz w:val="24"/>
          <w:szCs w:val="24"/>
        </w:rPr>
        <w:t xml:space="preserve"> </w:t>
      </w:r>
      <w:r w:rsidRPr="0043560C">
        <w:rPr>
          <w:rFonts w:asciiTheme="minorHAnsi" w:hAnsiTheme="minorHAnsi" w:cstheme="minorHAnsi"/>
          <w:bCs/>
          <w:sz w:val="24"/>
          <w:szCs w:val="24"/>
        </w:rPr>
        <w:t>Jerzego Siegienia (wydanie IV stan prawny na Upiec 2003 r.) odnoszą się do stanu prawnego sprzed ww. zmiany. Konkluzje wynikające z ww. rozstrzygnięć oraz komentarza nie uwzględniały w swojej treści tak istotnej sprawy jak wprowadzenie do Prawa budowlanego definicji obiektu liniowego oraz wskazania długości jako parametru charakterystycznego dla tego typu obiektów. Dlatego też GDOS nie może przychylić się do tezy, którą wywiedli skarżący opierając się na ww. wyrokach oraz komentarzu do Prawa budowlanego. Natomiast odnosząc się do przywołanego komentarza Prawa budowalnego wydanego pod redakcją Zygmunta Niewiadomskiego w 2016 r. należy wyraźnie podkreślić, iż zacytowany przez skarżących fragment nie odnosi się do kwestii kwalifikacji robót budowlanych jako budowy lub przebudowy. Fragment komentarza Zygmunta Niewiadomskiego odnosi się do różnicy pomiędzy remontem a budową. Komentator w przywołanym fragmencie skupił się na istotnej z punktu widzenia Prawa budowlanego kwestii.</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Przepisy prawa budowlanego wyraźnie wskazują, że budowa, przebudowa lub rozbudowa wymagają uzyskania pozwolenia budowlanego. Natomiast przeprowadzenie remontu może wymagać ewentualnie zgłoszenia prac budowlanych. Taka jest też wykładnia wynikająca z przytoczonego przez skarżących komentarza. Nie można więc na jego podstawie wywieść, że w przedmiotowej sprawie realizowana jest budowa obiektu budowlanego, a nie jego przebudowa. Do podobnych kwestii odnoszą się przywołane na str. 5 wniosku o ponowne rozpatrzenie sprawy wyroki sądów (z 2001 r. oraz z 2005 r.). Abstrahując od ww. kwestii, iż zapadły one w stanie prawnym w którym nie istniała legalna definicja obiektu liniowego to nie odnoszą się one również do kluczowej w przedmiotowej sprawie kwestii rozróżnienia przebudowy obiektu liniowego od jego budowy.</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Stanowisko GDOS, iż planowane przedsięwzięcie stanowić będzie przebudowę obiektu liniowego znajduje swoje potwierdzenie w wyrokach sądów. I tak wyrok Wojewódzkiego Sądu Administracyjnego w Opolu z dnia 30 października 2018 r., sygn. akt II SA/Op 348/18, wprost wskazuje, że „W odniesieniu do obiektów linowych przyjmuje się, że roboty budowlane polegające na zmianie parametrów technicznych takich jak m.in. zmiana wysokości, miejsca lub sposobu posadowienia poszczególnych słupów, zwiększenie mocy lub zwiększenie pola elektromagnetycznego należy traktować jako przebudowę obiektu budowlanego w rozumieniu art. 3 pkt 7a Prawa budowlanego”. Przywołany wyrok bezpośrednio wskazuje jak należy zakwalifikować prace na obiekcie liniowym, które swoim zakresem będą obejmowały czynności niepowodujące zmiany parametru charakterystycznego jakim jest długość. Treść </w:t>
      </w:r>
      <w:r w:rsidRPr="0043560C">
        <w:rPr>
          <w:rFonts w:asciiTheme="minorHAnsi" w:hAnsiTheme="minorHAnsi" w:cstheme="minorHAnsi"/>
          <w:bCs/>
          <w:sz w:val="24"/>
          <w:szCs w:val="24"/>
        </w:rPr>
        <w:lastRenderedPageBreak/>
        <w:t>ww. wyroku w sposób oczywisty koresponduje z przekonaniem GDOS, iż jedynym parametrem charakterystycznym obiektu liniowego jest długość.</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Ponadto z treści wyroku Wojewódzkiego Sądu Administracyjnego w Rzeszowie z dnia 3 kwietnia 2019 r., sygn. akt II SA/Rz 84/19, można wywnioskować, iż rozbiórka obiektu liniowego i zastąpienie go nową substancją budowlaną o tej samej długości również stanowić będzie przebudowę. W uzasadnieniu do ww. wyroku wskazano, iż „W ocenie Sądu zastąpienie w dotychczasowej linii elektroenergetycznej dotychczasowych, funkcjonujących od przeszło 50 lat słupów drewnianych betonowymi słupami wyższymi o niespełna 5 cm, przy niezmienionej trasie linii, miejscu ich dotychczasowego położenia oraz napięcia (...) nie może prowadzić do wniosku, że mamy do czynienia ze zmianą parametrów obiektu liniowego”. Ponadto uzasadnienie ww. wyroku zawiera następujący akapit: „Sąd w składzie orzekającym podziela wypracowane przez orzecznictwo stanowisko, zgodnie z którym: roboty budowlane prowadzone w stosunku do całego obiektu, realizowane etapami w stosunku do poszczególnych jego</w:t>
      </w:r>
      <w:r>
        <w:rPr>
          <w:rFonts w:asciiTheme="minorHAnsi" w:hAnsiTheme="minorHAnsi" w:cstheme="minorHAnsi"/>
          <w:bCs/>
          <w:sz w:val="24"/>
          <w:szCs w:val="24"/>
        </w:rPr>
        <w:t xml:space="preserve"> </w:t>
      </w:r>
      <w:r w:rsidRPr="0043560C">
        <w:rPr>
          <w:rFonts w:asciiTheme="minorHAnsi" w:hAnsiTheme="minorHAnsi" w:cstheme="minorHAnsi"/>
          <w:bCs/>
          <w:sz w:val="24"/>
          <w:szCs w:val="24"/>
        </w:rPr>
        <w:t>fragmentów a których efektem jest demontaż całej linii przesyłowej (lub znacznej jej części) i zastąpienie jej nową substancją, wskazuje na przebudowę lub odbudowę obiektu budowlanego”.</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Potwierdzeniem stanowiska GDOS jest również wyrok Naczelnego Sądu Administracyjnego z dnia 6 grudnia 2016 r., sygn. akt I OSK 1509/16, którego uzasadnienie brzmi następująco „Inaczej będą traktowane roboty budowlane polegające na całkowitym zdemontowaniu, rozebraniu obiektu budowlanego (w tym przypadku całej Unii przesyłowej) i zastąpienie go całkowicie nową substancją. Wówczas należy je traktować jako przebudowę lub odbudowę obiektu budowlanego (tak samo jak określa to orzecznictwo sądowe w przypadku innych obiektów budowlanych np. budynków)”. Uwadze tutejszego organu nie uszło, iż zarówno w wyroku Wojewódzkiego Sądu Administracyjnego w Rzeszowie jak i Naczelnego Sądu Administracyjnego wskazano, iż oceniane przez nich przedsięwzięcia mogą zostać zakwalifikowane jako przebudowa lub odbudowa, a więc nie wskazano precyzyjnie (co ma istotne znaczenie dla przedmiotowej sprawie) jak dokładnie należy traktować prace polegające na rozbiórce całego obiektu liniowego i zastąpienie go nową substancją.</w:t>
      </w:r>
    </w:p>
    <w:p w:rsid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Oznacza to, że w związku z brakiem ustawowej definicji odbudowy, kwalifikacja planowanych prac do odbudowy lub przebudowy, odbywać się będzie w zależności od stanu faktycznego. Dlatego też w celu umożliwienia przeniesienia ustaleń zawartych w ww. wyrokach na grunt przedmiotowej sprawy GDOS przyjął definicję odbudowy którą uznał w swoim wyroku z dnia 20 lutego 2020 r., sygn. akt II OSK 952/18, Naczelny Sąd Administracyjny. Zgodnie z tezą zawartą w ww. wyroku definicja odbudowy brzmi następująco „Natomiast obiekt budowlany wymagający odbudowy najczęściej w całości lub w części nie spełnia już swoich funkcji użytkowych z uwagi na nadmierne zużycie lub zniszczenie swej substancji”. Wobec </w:t>
      </w:r>
      <w:r w:rsidRPr="0043560C">
        <w:rPr>
          <w:rFonts w:asciiTheme="minorHAnsi" w:hAnsiTheme="minorHAnsi" w:cstheme="minorHAnsi"/>
          <w:bCs/>
          <w:sz w:val="24"/>
          <w:szCs w:val="24"/>
        </w:rPr>
        <w:lastRenderedPageBreak/>
        <w:t>powyższego GDOS przyjął, iż tylko obiekty które nie spełniają już swojej funkcji ze względu na nadmierne zużycie lub zniszczenie podlegają procesowi odbudowy. Taka sytuacja w przedmiotowej sprawie nie ma miejsca, gdyż celem planowanej inwestycji jest poprawa jakości zasilania oraz funkcjonow</w:t>
      </w:r>
      <w:r>
        <w:rPr>
          <w:rFonts w:asciiTheme="minorHAnsi" w:hAnsiTheme="minorHAnsi" w:cstheme="minorHAnsi"/>
          <w:bCs/>
          <w:sz w:val="24"/>
          <w:szCs w:val="24"/>
        </w:rPr>
        <w:t xml:space="preserve">ania obecnie istniejącej linii. </w:t>
      </w:r>
      <w:r w:rsidRPr="0043560C">
        <w:rPr>
          <w:rFonts w:asciiTheme="minorHAnsi" w:hAnsiTheme="minorHAnsi" w:cstheme="minorHAnsi"/>
          <w:bCs/>
          <w:sz w:val="24"/>
          <w:szCs w:val="24"/>
        </w:rPr>
        <w:t>Z przedłożonej w sprawie dokumentacji nie można wysnuć wniosku, iż istniejąca linia nie spełnia już w ogóle swojej funkcji. Z uwagi na fakt, że prace prowadzone na przedmiotowej linie elektroenergetycznej są analogiczne do prac określonych w ww. wyrokach, oraz z uwagi na fakt, iż w ocenie tutejszego organu ze względu na stan faktyczny nie stanowią one odbudowy, GDOS ponownie potwierdza, iż planowana inwestycja stanow</w:t>
      </w:r>
      <w:r>
        <w:rPr>
          <w:rFonts w:asciiTheme="minorHAnsi" w:hAnsiTheme="minorHAnsi" w:cstheme="minorHAnsi"/>
          <w:bCs/>
          <w:sz w:val="24"/>
          <w:szCs w:val="24"/>
        </w:rPr>
        <w:t xml:space="preserve">i przebudowę obiektu liniowego. </w:t>
      </w:r>
      <w:r w:rsidRPr="0043560C">
        <w:rPr>
          <w:rFonts w:asciiTheme="minorHAnsi" w:hAnsiTheme="minorHAnsi" w:cstheme="minorHAnsi"/>
          <w:bCs/>
          <w:sz w:val="24"/>
          <w:szCs w:val="24"/>
        </w:rPr>
        <w:t>Biorąc pod uwagę powyższe GDOS stwierdza, iż RDOS w Poznaniu prawidłowo zakwalifikował przedmiotową inwestycję jako przebudowę. W związku z powyższym zarzut skarżących dotyczący błędnego zastosowania art. 3 pkt 6 i 7a Prawa budowlanego, a konsekwencji wewnętrznej sprzecz</w:t>
      </w:r>
      <w:r>
        <w:rPr>
          <w:rFonts w:asciiTheme="minorHAnsi" w:hAnsiTheme="minorHAnsi" w:cstheme="minorHAnsi"/>
          <w:bCs/>
          <w:sz w:val="24"/>
          <w:szCs w:val="24"/>
        </w:rPr>
        <w:t xml:space="preserve">ności decyzji, należy odrzucić. </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Ad. 2 Uchwała nr XIV/142/99 z dnia 2 grudnia 1999 r. oraz uchwała nr XXVI/264/2001 z dnia 15 lutego 2001 r. zawierają analogiczne zapisy. W § 6 obu ww. miejscowych planów zagospodarowania przestrzennego określono przeznaczenie podstawowe terenów na obszarach nimi objętych. W miejscu, gdzie zlokalizowana jest istniejąca napowietrzna linia elektroenergetyczna 110 kV, plan przewiduje przeznaczenie podstawowe terenu jako „strefa ograniczonego użytkowania, związana z linią energetyczną wysokiego napięcia - teren oznaczony na rysunku planu symbolem PO”, w stosunku do której określono w § 7 lokalne warunki, zasady i standardy kształtowania zabudowy oraz urządzania terenu.</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W stosunku do obu ww. planów, strony podtrzymują stanowisko, że na terenie oznaczonym symbolem PO nie przewiduje się powstania nowych inwestycji polegających na budowie linii elektroenergetycznych, jak również zgodnie z § 7 ust. 5 pkt 3 lit. b zakazuje lokalizacji na całym terenie objętym planem, w tym na terenie oznaczonym symbolem PO, nowych linii</w:t>
      </w:r>
      <w:r>
        <w:rPr>
          <w:rFonts w:asciiTheme="minorHAnsi" w:hAnsiTheme="minorHAnsi" w:cstheme="minorHAnsi"/>
          <w:bCs/>
          <w:sz w:val="24"/>
          <w:szCs w:val="24"/>
        </w:rPr>
        <w:t xml:space="preserve"> </w:t>
      </w:r>
      <w:r w:rsidRPr="0043560C">
        <w:rPr>
          <w:rFonts w:asciiTheme="minorHAnsi" w:hAnsiTheme="minorHAnsi" w:cstheme="minorHAnsi"/>
          <w:bCs/>
          <w:sz w:val="24"/>
          <w:szCs w:val="24"/>
        </w:rPr>
        <w:t>napowietrznych wysokiego napięcia. Ich zdaniem wynika to ze wskazanego w uchwale zakazu: „lokalizacji inwestycji i obiektów szkodliwych dla środowiska oraz inwestycji zaliczanych do mogących pogorszyć stan środowiska, wymienianych w przepisach szczególnych i odrębnych”.</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W trzecim wskazanym przez strony miejscowym planie zagospodarowania przestrzennego, przyjętym uchwałą XVII/130/12 z dnia 17 kwietnia 2012 r. teren, gdzie jest zlokalizowana linia elektroenergetyczna 110 kV oznaczono tylko na rysunku planu. Dalej, z planu wynika, że teren ten przeznaczony jest pod zabudowę mieszkaniową jednorodzinną. Ustalenia dotyczące zasad i standardów kształtowania zabudowy zostały określone w § 23 ww. uchwały.</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Strony wskazują, że plan nie przewiduje możliwości realizacji nowych linii elektroenergetycznych.</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lastRenderedPageBreak/>
        <w:t>Wskazują również, że decyzja środowiskowa tak naprawdę dotyczy inwestycji polegającej nie na przebudowie istniejącej linii 110 kV, ale na rozbiórce istniejącej linii i wybudowaniu całkiem nowej, dwutorowej.</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Na poparcie swojej tezy skarżący przedłożyli wyrok Naczelnego Sądu Administracyjnego z dnia 20 września 2019 r., sygn. akt I OSK 2864/17. Wyrok ten odnosił się do decyzji Wojewody Wielkopolskiego z 20 stycznia 2017 r. utrzymującej w mocy decyzję Starosty Szamotulskiego z dnia 17 maja 2016 r. dotyczącej ograniczenia sposobu korzystania z części nieruchomości poprzez zezwolenia na założenie i przeprowadzenie przewodów i urządzeń służących do przesyłania energii elektrycznej dla inwestycji polegającej na przebudowie istniejącej napowietrznej elektroenergetycznej jednotorowej linii 110 kV Pniewy - Wronki na dwutorową. W ww. wyroku sąd stwierdził, iż miejscowy plan zagospodarowania przestrzennego uchwalony uchwałą Nr XXVI/264/2001 z 15 lutego 2001 r. nie dopuszcza możliwości realizacji nowych linii elektroenergetycznych. Sąd w ww. wyroku stwierdził, że przedmiotowy miejscowy plan zagospodarowania przestrzennego przewiduje wyłącznie przebudowę przedsięwzięć mogących znacząco oddziaływać na środowisko (w tym przebudowę napowietrznych linii elektroenergetycznych).</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Kolejny raz należy powtórzyć, że w postępowaniu nieważnościowym nie prowadzi się postępowania dowodowego i nie analizuje się ponownie sprawy, tak jak ma to miejsce w postępowaniu zwykłym. Ocena materiału dowodowego i wydanej decyzji w oparciu o nadesłane dokumenty z kolejnych etapów procesu inwestycyjnego prowadziłaby do rozszerzenia materiału dowodowego zgromadzonego w sprawie przed RDOŚ w Poznaniu, co wykracza poza ramy przedmiotowego postępowania w sprawie stwierdzenia nieważności.</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Generalny Dyrektor Ochrony Środowiska na wstępie podkreśla, że nie sposób jest pominąć, że istniejąca napowietrzna linia elektroenergetyczna 110 kV relacji Pniewy — Wronki, jest uwzględniona w treści tych uchwał i jak słusznie stwierdził RDOŚ w Poznaniu w swej decyzji, zapisy w planach odnosząc się do linii elektroenergetycznej traktują linię przesyłową jako element zarówno środowiska, jak i zagospodarowania terenu. Natomiast planowane przedsięwzięcie, dla którego została wydana decyzja o środowiskowych uwarunkowaniach, polega na wymianie wszystkich elementów linii i zmianie linii jednotorowej na dwutorową.</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Analizując zapisy przedmiotowych miejscowych planów zagospodarowania przestrzennego, nie można jednoznacznie stwierdzić, że lokalizacja przedmiotowej linii jest z nimi niezgodna, a tylko taka oczywista sprzeczność mogłaby być podstawą do stwierdzenia, że decyzja o środowiskowych uwarunkowaniach została wydana z rażącym naruszeniem prawa. Dodatkowo należy zauważyć, że brak jest podstaw do przyjęcia, że określona w decyzji o środowiskowych uwarunkowaniach inwestycja zmieni charakter funkcji przedmiotowego terenu, nie tworzy bowiem</w:t>
      </w:r>
      <w:r>
        <w:rPr>
          <w:rFonts w:asciiTheme="minorHAnsi" w:hAnsiTheme="minorHAnsi" w:cstheme="minorHAnsi"/>
          <w:bCs/>
          <w:sz w:val="24"/>
          <w:szCs w:val="24"/>
        </w:rPr>
        <w:t xml:space="preserve"> </w:t>
      </w:r>
      <w:r w:rsidRPr="0043560C">
        <w:rPr>
          <w:rFonts w:asciiTheme="minorHAnsi" w:hAnsiTheme="minorHAnsi" w:cstheme="minorHAnsi"/>
          <w:bCs/>
          <w:sz w:val="24"/>
          <w:szCs w:val="24"/>
        </w:rPr>
        <w:t xml:space="preserve">nowych sposobów jej zagospodarowania. Decyzja nie zmierza do </w:t>
      </w:r>
      <w:r w:rsidRPr="0043560C">
        <w:rPr>
          <w:rFonts w:asciiTheme="minorHAnsi" w:hAnsiTheme="minorHAnsi" w:cstheme="minorHAnsi"/>
          <w:bCs/>
          <w:sz w:val="24"/>
          <w:szCs w:val="24"/>
        </w:rPr>
        <w:lastRenderedPageBreak/>
        <w:t>zmiany istniejącego zagospodarowania terenu, a zatem nie ingeruje w zapisy planu. Stanowi kontynuację dotychczasowego sposobu korzystania z przestrzeni.</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Zdaniem GDOŚ interpretacja zapisów ww. planów przez strony jest zbyt szeroka i nie może być uwzględniona, bowiem nie wynika wprost z zapisów planu, a podstawą do stwierdzenia nieważności nie może być interpretacja przepisów, tylko wyraźna niezgodność z ich treścią.</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Samo umieszczenie w uchwale nr XIV/142/99 z dnia 2 grudnia 1999 r. oraz uchwale nr XXVI/264/2001 z dnia 15 lutego 2001 r. ustaleń dla strefy ograniczonego użytkowania, związanej z linią energetyczną wysokiego napięcia - teren oznaczony na rysunku planu symbolem PO, może budzić uzasadnione przekonanie, iż miejscowy plan dopuszcza lokalizacje tego typu przedsięwzięć na swoim obszarze. Podobnie w przypadku uchwały XXVI/264/2001 z 15 lutego 2001 r., w której na rysunku planu wskazano istniejącą linię elektroenergetyczną oraz w treści planu dopuszczano roboty budowlane w obrębie infrastruktury technicznej (§ 23 pkt 2 przedmiotowego planu). Takie zapisy również mogą świadczyć o tym, iż plan miejscowy dopuszcza lokalizowanie na swoim terenie linii elektroenergetycznych.</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Abstrahując od powyższego, nawet w przypadku przyjęcia tezy skarżących, iż wszystkie wymienione przez nich miejscowe plany zagospodarowania przestrzennego dopuszczają jedynie wykonywanie prac na już istniejącej linii, to taka sytuacja w przedmiotowej sprawie ma miejsce.</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Jak wykazano wyżej (str. 5-11 niniejszej decyzji) planowane przedsięwzięcie stanowić będzie przebudowę istniejącej linii elektroenergetycznej. Już z samej definicji przebudowy (art. 3 pkt 7a Prawa budowlanego) wynika, iż polega ona na zmianie parametrów użytkowych lub technicznych istniejącego obiektu budowlanego. Biorąc pod uwagę powyższe należy stwierdzić, że RDOŚ w Poznaniu nie dopuścił się rażącego naruszenia prawa poprzez wydanie decyzji środowiskowej dla przedsięwzięcia, które jest niezgodne z ustaleniami miejscowych planów zagospodarowania przestrzennego.</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Ad. 3 We wniosku z dnia 11 września 2017 r. skarżący ponownie podnoszą zarzut rażącego naruszenia prawa poprzez niezasadne podzielenie jednego przedsięwzięcia na mniejsze etapy, z tym, że w uzasadnieniu tego zarzutu nie wskazują żadnych nowych okoliczności w sprawie.</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Odnosząc się do tego zarzutu GDOŚ podtrzymuje stanowisko zawarte w skarżonej decyzji oraz dodatkowo wyjaśnia.</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W przypadku obu odcinków linii elektroenergetycznej 110 kV, na które wskazują skarżący tj.</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Pniewy - Wronki oraz Wronki — Czarnków inwestor uzyskał odrębne decyzje o środowiskowych uwarunkowaniach. Objecie tych inwestycji osobnymi wnioskami nie miało wpływu na sposób klasyfikacji inwestycji do przedsięwzięć mogących potencjalnie znacząco oddziaływać na środowisko, gdyż linie te zostały zakwalifikowane do § 3 ust. 1 pkt 7 rozporządzenia w sprawie przedsięwzięć mogących znacząco oddziaływać na środowisko. </w:t>
      </w:r>
      <w:r w:rsidRPr="0043560C">
        <w:rPr>
          <w:rFonts w:asciiTheme="minorHAnsi" w:hAnsiTheme="minorHAnsi" w:cstheme="minorHAnsi"/>
          <w:bCs/>
          <w:sz w:val="24"/>
          <w:szCs w:val="24"/>
        </w:rPr>
        <w:lastRenderedPageBreak/>
        <w:t>Wyżej wymienione rozporządzenie do przedsięwzięć mogących potencjalnie oddziaływać na środowisko zalicza bowiem napowietrzne linie elektroenergetyczne o napięciu znamionowym nie mniejszym niż 110 kV inne niż wymienione w § 2 ust. 1 pkt 6 ww. rozporządzenia. Oznacza to, iż bez względu na długość linii o ww. napięciu, każda jej budowa, przebudowa lub rozbudowa objęta będzie koniecznością uzyskania decyzji o środowiskowych uwarunkowaniach.</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Ponadto należy zauważyć, że przedmiotowa linia łączy dwie stacje elektroenergetyczne położone właśnie w miejscowości Pniewy oraz Wronki. Widać więc wyraźnie, że inwestycja nie jest sztucznie wydzieloną częścią większej całości. Zaprezentowane przez skarżących podejście mogłoby prowadzić do absurdalnych wniosków, że wszystkie sieci elektroenergetyczne w Polsce</w:t>
      </w:r>
      <w:r>
        <w:rPr>
          <w:rFonts w:asciiTheme="minorHAnsi" w:hAnsiTheme="minorHAnsi" w:cstheme="minorHAnsi"/>
          <w:bCs/>
          <w:sz w:val="24"/>
          <w:szCs w:val="24"/>
        </w:rPr>
        <w:t xml:space="preserve"> </w:t>
      </w:r>
      <w:r w:rsidRPr="0043560C">
        <w:rPr>
          <w:rFonts w:asciiTheme="minorHAnsi" w:hAnsiTheme="minorHAnsi" w:cstheme="minorHAnsi"/>
          <w:bCs/>
          <w:sz w:val="24"/>
          <w:szCs w:val="24"/>
        </w:rPr>
        <w:t>są ze sobą powiązane, i należało by brać ten fakt pod uwagę w związku z każdą budową lub przebudową linii.</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Dodatkowo jak wspomniano w zaskarżonej decyzji GDOŚ, postępowanie o wydanie decyzji o środowiskowych uwarunkowaniach dla linii 110 kV relacji Pniewy — Wronki zostało wszczęte na wniosek inwestora z dnia 20 marca 2014 r., natomiast postępowanie o wydanie przedłożonej przez skarżących decyzji z dnia 25 stycznia 2013 r., znak: WOO-II.4202.1.201 l.JS dla linii 110 kV Wronki — Czernków ZPP, na wniosek inwestora z dnia 8 września 2009 r. Z powyższego wynika, iż pomiędzy złożeniem obu wniosków minęło ponad 4 lata. W rozumieniu skarżących oznaczałoby to, że inwestor nie znając treści i terminu wydania decyzji środowiskowej dla linii Wronki — Czarnków umyślnie rozdzielił przedsięwzięcia.</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W ocenie tutejszego organu objęcie linii odrębnymi wnioskami nie spowodowało więc ominięcia przepisów prawa i procedury przeprowadzanej w celu wydania decyzji o środowiskowych uwarunkowaniach. Obie linie uzyskały decyzje środowiskowe, a argumentacja skarżących dotycząca celowego podzielenia przedsięwzięcia nie znajduje odzwierciedlenia w zebranym materiale dowodowym. Dlatego też powyższy zarzut należało odrzucić, i stwierdzić, że nie doszło do naruszenia prawa w związku z uzyskaniem przez inwestora dwóch odrębnych decyzji środowiskowych dla dwóch różnych przedsięwzięć. Konkludując GDOŚ analizując treść zaskarżonej decyzji nie stwierdził by w jakikolwiek sposób naruszała ona przepisy prawa. Tak więc przedmiotowa decyzja nie spełnia również przesłanki wyrażonej w art. 156 § 1 pkt 2 Kpa.</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Podsumowując, postępowanie w sprawie stwierdzenia nieważności decyzji jest odrębnym postępowaniem, w którym nie może dochodzić do ponownego rozpatrzenia sprawy, tak jak ma to miejsce w postępowaniu odwoławczym. Postępowanie to ma na celu nie merytoryczne rozstrzygnięcie sprawy, ale wyeliminowanie z obrotu prawnego decyzji obarczonych wadami kwalifikowalnymi wymienionymi w art. 156 § 1 Kpa. Przesłanki stwierdzenia nieważności </w:t>
      </w:r>
      <w:r w:rsidRPr="0043560C">
        <w:rPr>
          <w:rFonts w:asciiTheme="minorHAnsi" w:hAnsiTheme="minorHAnsi" w:cstheme="minorHAnsi"/>
          <w:bCs/>
          <w:sz w:val="24"/>
          <w:szCs w:val="24"/>
        </w:rPr>
        <w:lastRenderedPageBreak/>
        <w:t>decyzji, ze względu na to, że stanowią katalog zamknięty, nie mogą podlegać wykładni rozszerzającej.</w:t>
      </w: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Powinny być one interpretowane dosłownie, a nawet zawężająco. Stwierdzenie nieważności decyzji jest instytucją szczególną, godzącą w zasadę trwałości decyzji administracyjnych, zatem zaistnienie przesłanki powodującej stwierdzenie nieważności musi być oczywiste i oczywistość tę należy wykazać. W orzecznictwie podkreśla się, że stwierdzenie nieważności ostatecznej decyzji administracyjnej wymaga bezspornego ustalenia, iż decyzja ta jest dotknięta jedną z wad wskazanych w powyższym przepisie (por. wyrok Naczelnego Sądu Administracyjnego z dnia 5 kwietnia 2013 r., sygn. akt II OSK 2338/11). GDOŚ, mając powyższe na uwadze, prawidłowo dokonał oceny decyzji RDOŚ w Poznan</w:t>
      </w:r>
      <w:r>
        <w:rPr>
          <w:rFonts w:asciiTheme="minorHAnsi" w:hAnsiTheme="minorHAnsi" w:cstheme="minorHAnsi"/>
          <w:bCs/>
          <w:sz w:val="24"/>
          <w:szCs w:val="24"/>
        </w:rPr>
        <w:t>i</w:t>
      </w:r>
      <w:r w:rsidRPr="0043560C">
        <w:rPr>
          <w:rFonts w:asciiTheme="minorHAnsi" w:hAnsiTheme="minorHAnsi" w:cstheme="minorHAnsi"/>
          <w:bCs/>
          <w:sz w:val="24"/>
          <w:szCs w:val="24"/>
        </w:rPr>
        <w:t>u z dnia 3 lipca 2014 r., znak: WOO-II.4202.3.2014.JS.8, pod względem wystąpienia przesłanek ujętych w art. 156 § 1 Kpa. Zaskarżona decyzja RDOŚ w Poznaniu jest wolna od wad, mogących być podstawą do stwierdzenia jej nieważności.</w:t>
      </w:r>
    </w:p>
    <w:p w:rsid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Wobec powyższego orzeczono jak w sentencji.</w:t>
      </w:r>
    </w:p>
    <w:p w:rsidR="0043560C" w:rsidRPr="0043560C" w:rsidRDefault="0043560C" w:rsidP="0043560C">
      <w:pPr>
        <w:spacing w:after="0" w:line="312" w:lineRule="auto"/>
        <w:jc w:val="both"/>
        <w:rPr>
          <w:rFonts w:asciiTheme="minorHAnsi" w:hAnsiTheme="minorHAnsi" w:cstheme="minorHAnsi"/>
          <w:bCs/>
          <w:sz w:val="24"/>
          <w:szCs w:val="24"/>
        </w:rPr>
      </w:pPr>
    </w:p>
    <w:p w:rsidR="0043560C" w:rsidRPr="0043560C"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Pouczenie</w:t>
      </w:r>
    </w:p>
    <w:p w:rsidR="009316FB"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Niniejsza decyzja jest ostateczna w administracyjnym toku instancji. — Strona niezadowolona z niniejszej decyzji może wnieść skargę do Wojewódzkiego Sądu Administracyjnego w Warszawie, zgodnie z art. 52 § 1 ustawy z dnia 30 sierpnia 2002 r. — Prawo o postępowaniu przed sądami administracyjnymi (Dz. U. z 2019 r. poz. 2325, ze zm.), dalej Ppsa, za pośrednictwem GDOŚ (art. 54 § 1 Ppsa), w terminie 30 dni od dnia otrzymania decyzji zgodnie z art. 53 § 1 Ppsa.</w:t>
      </w:r>
    </w:p>
    <w:p w:rsidR="0043560C" w:rsidRDefault="0043560C" w:rsidP="0043560C">
      <w:pPr>
        <w:spacing w:after="0" w:line="312" w:lineRule="auto"/>
        <w:jc w:val="both"/>
        <w:rPr>
          <w:rFonts w:asciiTheme="minorHAnsi" w:hAnsiTheme="minorHAnsi" w:cstheme="minorHAnsi"/>
          <w:bCs/>
          <w:sz w:val="24"/>
          <w:szCs w:val="24"/>
        </w:rPr>
      </w:pPr>
    </w:p>
    <w:p w:rsidR="0000349D" w:rsidRDefault="0043560C" w:rsidP="0043560C">
      <w:pPr>
        <w:spacing w:after="0" w:line="312" w:lineRule="auto"/>
        <w:jc w:val="both"/>
        <w:rPr>
          <w:rFonts w:asciiTheme="minorHAnsi" w:hAnsiTheme="minorHAnsi" w:cstheme="minorHAnsi"/>
          <w:bCs/>
          <w:sz w:val="24"/>
          <w:szCs w:val="24"/>
        </w:rPr>
      </w:pPr>
      <w:r w:rsidRPr="0043560C">
        <w:rPr>
          <w:rFonts w:asciiTheme="minorHAnsi" w:hAnsiTheme="minorHAnsi" w:cstheme="minorHAnsi"/>
          <w:bCs/>
          <w:sz w:val="24"/>
          <w:szCs w:val="24"/>
        </w:rPr>
        <w:t xml:space="preserve">— Wnosząc skargę na niniejszą decyzję strona, zgodnie z art. 230 Ppsa obowiązana jest do uiszczenia wpisu od skargi w kwocie 200 zł. Strona, co wynika z art. 239 Ppsa może być zwolniona z obowiązku uiszczenia kosztów sądowych. </w:t>
      </w:r>
    </w:p>
    <w:p w:rsidR="0043560C" w:rsidRDefault="0043560C" w:rsidP="0043560C">
      <w:pPr>
        <w:spacing w:after="0" w:line="312" w:lineRule="auto"/>
        <w:jc w:val="both"/>
        <w:rPr>
          <w:rFonts w:asciiTheme="minorHAnsi" w:hAnsiTheme="minorHAnsi" w:cstheme="minorHAnsi"/>
          <w:bCs/>
          <w:sz w:val="24"/>
          <w:szCs w:val="24"/>
        </w:rPr>
      </w:pPr>
      <w:bookmarkStart w:id="0" w:name="_GoBack"/>
      <w:bookmarkEnd w:id="0"/>
      <w:r w:rsidRPr="0043560C">
        <w:rPr>
          <w:rFonts w:asciiTheme="minorHAnsi" w:hAnsiTheme="minorHAnsi" w:cstheme="minorHAnsi"/>
          <w:bCs/>
          <w:sz w:val="24"/>
          <w:szCs w:val="24"/>
        </w:rPr>
        <w:t>— Stronie, zgodnie z art. 243 Ppsa, może być przyznane, na jej wniosek, prawo pomocy. Wniosek ten wolny jest od opłat sądowych.</w:t>
      </w:r>
    </w:p>
    <w:p w:rsidR="0043560C" w:rsidRDefault="0043560C" w:rsidP="009316FB">
      <w:pPr>
        <w:spacing w:after="0" w:line="312" w:lineRule="auto"/>
        <w:jc w:val="both"/>
        <w:rPr>
          <w:rFonts w:asciiTheme="minorHAnsi" w:hAnsiTheme="minorHAnsi" w:cstheme="minorHAnsi"/>
          <w:bCs/>
          <w:sz w:val="24"/>
          <w:szCs w:val="24"/>
        </w:rPr>
      </w:pPr>
    </w:p>
    <w:p w:rsidR="0043560C" w:rsidRDefault="0043560C" w:rsidP="009316FB">
      <w:pPr>
        <w:spacing w:after="0" w:line="312" w:lineRule="auto"/>
        <w:jc w:val="both"/>
        <w:rPr>
          <w:rFonts w:asciiTheme="minorHAnsi" w:hAnsiTheme="minorHAnsi" w:cstheme="minorHAnsi"/>
          <w:bCs/>
          <w:sz w:val="24"/>
          <w:szCs w:val="24"/>
        </w:rPr>
      </w:pPr>
    </w:p>
    <w:p w:rsidR="0043560C" w:rsidRDefault="0043560C" w:rsidP="009316FB">
      <w:pPr>
        <w:spacing w:after="0" w:line="312" w:lineRule="auto"/>
        <w:jc w:val="both"/>
        <w:rPr>
          <w:rFonts w:asciiTheme="minorHAnsi" w:hAnsiTheme="minorHAnsi" w:cstheme="minorHAnsi"/>
          <w:bCs/>
          <w:sz w:val="24"/>
          <w:szCs w:val="24"/>
        </w:rPr>
      </w:pPr>
    </w:p>
    <w:p w:rsidR="00B35A7F" w:rsidRDefault="00B35A7F" w:rsidP="00B35A7F">
      <w:pPr>
        <w:spacing w:after="0" w:line="312" w:lineRule="auto"/>
        <w:jc w:val="both"/>
        <w:rPr>
          <w:rFonts w:asciiTheme="minorHAnsi" w:hAnsiTheme="minorHAnsi" w:cstheme="minorHAnsi"/>
          <w:bCs/>
          <w:sz w:val="24"/>
          <w:szCs w:val="24"/>
        </w:rPr>
      </w:pPr>
      <w:r>
        <w:rPr>
          <w:rFonts w:asciiTheme="minorHAnsi" w:hAnsiTheme="minorHAnsi" w:cstheme="minorHAnsi"/>
          <w:bCs/>
          <w:sz w:val="24"/>
          <w:szCs w:val="24"/>
        </w:rPr>
        <w:t>Pieczęć urzędu i podpis:</w:t>
      </w:r>
    </w:p>
    <w:p w:rsidR="00B35A7F" w:rsidRDefault="00B35A7F" w:rsidP="00B35A7F">
      <w:pPr>
        <w:pStyle w:val="Bezodstpw1"/>
        <w:spacing w:line="312" w:lineRule="auto"/>
        <w:jc w:val="both"/>
        <w:rPr>
          <w:rFonts w:asciiTheme="minorHAnsi" w:hAnsiTheme="minorHAnsi" w:cstheme="minorHAnsi"/>
          <w:bCs/>
        </w:rPr>
      </w:pPr>
    </w:p>
    <w:p w:rsidR="0000349D" w:rsidRDefault="0000349D" w:rsidP="0000349D">
      <w:pPr>
        <w:pStyle w:val="Bezodstpw"/>
        <w:rPr>
          <w:sz w:val="24"/>
          <w:szCs w:val="24"/>
        </w:rPr>
      </w:pPr>
      <w:r>
        <w:rPr>
          <w:sz w:val="24"/>
          <w:szCs w:val="24"/>
        </w:rPr>
        <w:t>Z upoważnienia Generalnego Dyrektora Ochrony Środowiska</w:t>
      </w:r>
    </w:p>
    <w:p w:rsidR="0000349D" w:rsidRDefault="0000349D" w:rsidP="0000349D">
      <w:pPr>
        <w:pStyle w:val="Bezodstpw1"/>
        <w:spacing w:line="312" w:lineRule="auto"/>
        <w:jc w:val="both"/>
        <w:rPr>
          <w:rFonts w:asciiTheme="minorHAnsi" w:hAnsiTheme="minorHAnsi" w:cstheme="minorHAnsi"/>
          <w:color w:val="000000"/>
        </w:rPr>
      </w:pPr>
      <w:r>
        <w:rPr>
          <w:rFonts w:asciiTheme="minorHAnsi" w:hAnsiTheme="minorHAnsi" w:cstheme="minorHAnsi"/>
          <w:color w:val="000000"/>
        </w:rPr>
        <w:t>Zastępca Generalnego Dyrektora Ochrony Środowiska Marek Kajs</w:t>
      </w:r>
    </w:p>
    <w:p w:rsidR="00B35A7F" w:rsidRDefault="00B35A7F" w:rsidP="00B35A7F">
      <w:pPr>
        <w:pStyle w:val="Bezodstpw1"/>
        <w:spacing w:line="312" w:lineRule="auto"/>
        <w:jc w:val="both"/>
        <w:rPr>
          <w:rFonts w:asciiTheme="minorHAnsi" w:hAnsiTheme="minorHAnsi" w:cstheme="minorHAnsi"/>
          <w:bCs/>
        </w:rPr>
      </w:pPr>
    </w:p>
    <w:p w:rsidR="0043560C" w:rsidRDefault="0043560C" w:rsidP="00B35A7F">
      <w:pPr>
        <w:pStyle w:val="Bezodstpw1"/>
        <w:spacing w:line="312" w:lineRule="auto"/>
        <w:jc w:val="both"/>
        <w:rPr>
          <w:rFonts w:asciiTheme="minorHAnsi" w:hAnsiTheme="minorHAnsi" w:cstheme="minorHAnsi"/>
          <w:bCs/>
        </w:rPr>
      </w:pPr>
    </w:p>
    <w:p w:rsidR="0043560C"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lastRenderedPageBreak/>
        <w:t>Otrzymują:</w:t>
      </w:r>
    </w:p>
    <w:p w:rsidR="0043560C" w:rsidRDefault="0043560C" w:rsidP="0043560C">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 pełnomocnik Enea Operator Sp. z o.o., SPIE Elbud S.A., (…)</w:t>
      </w:r>
      <w:r w:rsidR="0000349D">
        <w:rPr>
          <w:rFonts w:asciiTheme="minorHAnsi" w:hAnsiTheme="minorHAnsi" w:cstheme="minorHAnsi"/>
          <w:bCs/>
        </w:rPr>
        <w:t>;</w:t>
      </w:r>
    </w:p>
    <w:p w:rsidR="0000349D" w:rsidRDefault="0043560C" w:rsidP="0043560C">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 xml:space="preserve">(…) </w:t>
      </w:r>
      <w:r w:rsidRPr="0043560C">
        <w:rPr>
          <w:rFonts w:asciiTheme="minorHAnsi" w:hAnsiTheme="minorHAnsi" w:cstheme="minorHAnsi"/>
          <w:bCs/>
        </w:rPr>
        <w:t xml:space="preserve">Kancelaria Adwokacka, pełnomocnik: </w:t>
      </w:r>
      <w:r w:rsidR="0000349D">
        <w:rPr>
          <w:rFonts w:asciiTheme="minorHAnsi" w:hAnsiTheme="minorHAnsi" w:cstheme="minorHAnsi"/>
          <w:bCs/>
        </w:rPr>
        <w:t>(…), (…), (…), (…), (…);</w:t>
      </w:r>
    </w:p>
    <w:p w:rsidR="0043560C" w:rsidRPr="0043560C" w:rsidRDefault="0000349D" w:rsidP="0043560C">
      <w:pPr>
        <w:pStyle w:val="Bezodstpw1"/>
        <w:numPr>
          <w:ilvl w:val="0"/>
          <w:numId w:val="1"/>
        </w:numPr>
        <w:spacing w:after="60"/>
        <w:jc w:val="both"/>
        <w:rPr>
          <w:rFonts w:asciiTheme="minorHAnsi" w:hAnsiTheme="minorHAnsi" w:cstheme="minorHAnsi"/>
          <w:bCs/>
        </w:rPr>
      </w:pPr>
      <w:r>
        <w:rPr>
          <w:rFonts w:asciiTheme="minorHAnsi" w:hAnsiTheme="minorHAnsi" w:cstheme="minorHAnsi"/>
          <w:bCs/>
        </w:rPr>
        <w:t>P</w:t>
      </w:r>
      <w:r w:rsidR="0043560C" w:rsidRPr="0043560C">
        <w:rPr>
          <w:rFonts w:asciiTheme="minorHAnsi" w:hAnsiTheme="minorHAnsi" w:cstheme="minorHAnsi"/>
          <w:bCs/>
        </w:rPr>
        <w:t>ozostałe strony postępowania zgodnie z art. 49 Kpa.</w:t>
      </w:r>
    </w:p>
    <w:p w:rsidR="0000349D"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t xml:space="preserve">Do wiadomości: </w:t>
      </w:r>
    </w:p>
    <w:p w:rsidR="0000349D"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t xml:space="preserve">1. Regionalny Dyrektor Ochrony Środowiska w Poznaniu, ul. J. H. Dąbrowskiego 79, 60-529 Poznań; </w:t>
      </w:r>
    </w:p>
    <w:p w:rsidR="0000349D"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t xml:space="preserve">2. Urząd Miasta i Gminy Pniewy, ul. Dworcowa 37, 62-045 Pniewy; </w:t>
      </w:r>
    </w:p>
    <w:p w:rsidR="0000349D"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t xml:space="preserve">3. Urząd Miasta i Gminy Ostroróg, ul. Wroniecka 14, 64-560 Ostroróg; </w:t>
      </w:r>
    </w:p>
    <w:p w:rsidR="0000349D"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t xml:space="preserve">4. Urząd Miasta i Gminy Wronki, ul. Ratuszowa 5, 64-510 Wronki; </w:t>
      </w:r>
    </w:p>
    <w:p w:rsidR="00985B8F" w:rsidRPr="00B35A7F" w:rsidRDefault="0043560C" w:rsidP="0043560C">
      <w:pPr>
        <w:pStyle w:val="Bezodstpw1"/>
        <w:spacing w:after="60"/>
        <w:jc w:val="both"/>
        <w:rPr>
          <w:rFonts w:asciiTheme="minorHAnsi" w:hAnsiTheme="minorHAnsi" w:cstheme="minorHAnsi"/>
          <w:bCs/>
        </w:rPr>
      </w:pPr>
      <w:r w:rsidRPr="0043560C">
        <w:rPr>
          <w:rFonts w:asciiTheme="minorHAnsi" w:hAnsiTheme="minorHAnsi" w:cstheme="minorHAnsi"/>
          <w:bCs/>
        </w:rPr>
        <w:t>5. Urząd Gminy Chrzypsko Wielkie, ul. Główna 15, 64-412 Chrzypsko Wielkie; 6. Urząd Gminy Kwilcz, ul. Wyszyńskiego 23, 64-420 Kwilcz.</w:t>
      </w:r>
    </w:p>
    <w:sectPr w:rsidR="00985B8F" w:rsidRPr="00B35A7F" w:rsidSect="00726E38">
      <w:headerReference w:type="default" r:id="rId10"/>
      <w:footerReference w:type="default" r:id="rId11"/>
      <w:headerReference w:type="first" r:id="rId12"/>
      <w:pgSz w:w="11906" w:h="16838"/>
      <w:pgMar w:top="1418" w:right="1418" w:bottom="1418"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DA6" w:rsidRDefault="00BD5DA6">
      <w:pPr>
        <w:spacing w:after="0" w:line="240" w:lineRule="auto"/>
      </w:pPr>
      <w:r>
        <w:separator/>
      </w:r>
    </w:p>
  </w:endnote>
  <w:endnote w:type="continuationSeparator" w:id="0">
    <w:p w:rsidR="00BD5DA6" w:rsidRDefault="00BD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890312025"/>
      <w:docPartObj>
        <w:docPartGallery w:val="Page Numbers (Bottom of Page)"/>
        <w:docPartUnique/>
      </w:docPartObj>
    </w:sdtPr>
    <w:sdtEndPr>
      <w:rPr>
        <w:rFonts w:ascii="Times New Roman" w:hAnsi="Times New Roman" w:cs="Times New Roman"/>
      </w:rPr>
    </w:sdtEndPr>
    <w:sdtContent>
      <w:p w:rsidR="002C58EA" w:rsidRPr="00A40900" w:rsidRDefault="00B65C6A">
        <w:pPr>
          <w:pStyle w:val="Stopka"/>
          <w:jc w:val="right"/>
          <w:rPr>
            <w:rFonts w:ascii="Times New Roman" w:hAnsi="Times New Roman"/>
            <w:sz w:val="20"/>
            <w:szCs w:val="20"/>
          </w:rPr>
        </w:pPr>
        <w:r w:rsidRPr="00A40900">
          <w:rPr>
            <w:rFonts w:ascii="Times New Roman" w:hAnsi="Times New Roman"/>
            <w:sz w:val="20"/>
            <w:szCs w:val="20"/>
          </w:rPr>
          <w:fldChar w:fldCharType="begin"/>
        </w:r>
        <w:r w:rsidRPr="00A40900">
          <w:rPr>
            <w:rFonts w:ascii="Times New Roman" w:hAnsi="Times New Roman"/>
            <w:sz w:val="20"/>
            <w:szCs w:val="20"/>
          </w:rPr>
          <w:instrText>PAGE   \* MERGEFORMAT</w:instrText>
        </w:r>
        <w:r w:rsidRPr="00A40900">
          <w:rPr>
            <w:rFonts w:ascii="Times New Roman" w:hAnsi="Times New Roman"/>
            <w:sz w:val="20"/>
            <w:szCs w:val="20"/>
          </w:rPr>
          <w:fldChar w:fldCharType="separate"/>
        </w:r>
        <w:r w:rsidR="0000349D">
          <w:rPr>
            <w:rFonts w:ascii="Times New Roman" w:hAnsi="Times New Roman"/>
            <w:noProof/>
            <w:sz w:val="20"/>
            <w:szCs w:val="20"/>
          </w:rPr>
          <w:t>17</w:t>
        </w:r>
        <w:r w:rsidRPr="00A40900">
          <w:rPr>
            <w:rFonts w:ascii="Times New Roman" w:hAnsi="Times New Roman"/>
            <w:sz w:val="20"/>
            <w:szCs w:val="20"/>
          </w:rPr>
          <w:fldChar w:fldCharType="end"/>
        </w:r>
      </w:p>
    </w:sdtContent>
  </w:sdt>
  <w:p w:rsidR="001F489F" w:rsidRDefault="00BD5DA6" w:rsidP="007A7EBB">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DA6" w:rsidRDefault="00BD5DA6">
      <w:pPr>
        <w:spacing w:after="0" w:line="240" w:lineRule="auto"/>
      </w:pPr>
      <w:r>
        <w:separator/>
      </w:r>
    </w:p>
  </w:footnote>
  <w:footnote w:type="continuationSeparator" w:id="0">
    <w:p w:rsidR="00BD5DA6" w:rsidRDefault="00BD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F9" w:rsidRDefault="00BD5DA6" w:rsidP="000F38F9">
    <w:pPr>
      <w:pStyle w:val="Nagwek"/>
      <w:ind w:hanging="113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26" w:type="dxa"/>
      <w:tblLook w:val="04A0" w:firstRow="1" w:lastRow="0" w:firstColumn="1" w:lastColumn="0" w:noHBand="0" w:noVBand="1"/>
    </w:tblPr>
    <w:tblGrid>
      <w:gridCol w:w="4641"/>
    </w:tblGrid>
    <w:tr w:rsidR="004F5C94" w:rsidTr="00B92515">
      <w:trPr>
        <w:trHeight w:val="470"/>
      </w:trPr>
      <w:tc>
        <w:tcPr>
          <w:tcW w:w="4641" w:type="dxa"/>
          <w:vAlign w:val="center"/>
        </w:tcPr>
        <w:p w:rsidR="00A3212B" w:rsidRPr="00A65CAB" w:rsidRDefault="00BD5DA6" w:rsidP="00B35A7F">
          <w:pPr>
            <w:pStyle w:val="Nagwek"/>
            <w:tabs>
              <w:tab w:val="clear" w:pos="4536"/>
              <w:tab w:val="clear" w:pos="9072"/>
              <w:tab w:val="left" w:pos="1698"/>
              <w:tab w:val="left" w:pos="2719"/>
            </w:tabs>
            <w:rPr>
              <w:rFonts w:ascii="Garamond" w:hAnsi="Garamond"/>
              <w:b/>
              <w:smallCaps/>
              <w:sz w:val="40"/>
              <w:szCs w:val="40"/>
            </w:rPr>
          </w:pPr>
        </w:p>
      </w:tc>
    </w:tr>
  </w:tbl>
  <w:p w:rsidR="00A3212B" w:rsidRPr="007704E4" w:rsidRDefault="00BD5DA6">
    <w:pPr>
      <w:pStyle w:val="Nagwek"/>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3AAF"/>
    <w:multiLevelType w:val="hybridMultilevel"/>
    <w:tmpl w:val="80A01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94"/>
    <w:rsid w:val="0000349D"/>
    <w:rsid w:val="00095A51"/>
    <w:rsid w:val="00155027"/>
    <w:rsid w:val="00183492"/>
    <w:rsid w:val="001D479F"/>
    <w:rsid w:val="002446E3"/>
    <w:rsid w:val="003A4832"/>
    <w:rsid w:val="0043560C"/>
    <w:rsid w:val="00457259"/>
    <w:rsid w:val="004F5C94"/>
    <w:rsid w:val="00617ABD"/>
    <w:rsid w:val="006568C0"/>
    <w:rsid w:val="006663A9"/>
    <w:rsid w:val="007122C2"/>
    <w:rsid w:val="00726E38"/>
    <w:rsid w:val="007704E4"/>
    <w:rsid w:val="007710E5"/>
    <w:rsid w:val="0084152D"/>
    <w:rsid w:val="0085442F"/>
    <w:rsid w:val="009316FB"/>
    <w:rsid w:val="00A40900"/>
    <w:rsid w:val="00AD43A7"/>
    <w:rsid w:val="00B05EE2"/>
    <w:rsid w:val="00B35A7F"/>
    <w:rsid w:val="00B64572"/>
    <w:rsid w:val="00B65C6A"/>
    <w:rsid w:val="00B92515"/>
    <w:rsid w:val="00BD5DA6"/>
    <w:rsid w:val="00BF2702"/>
    <w:rsid w:val="00C60237"/>
    <w:rsid w:val="00CA0A2B"/>
    <w:rsid w:val="00D231CE"/>
    <w:rsid w:val="00D60B77"/>
    <w:rsid w:val="00E375CB"/>
    <w:rsid w:val="00E55ACB"/>
    <w:rsid w:val="00E607F5"/>
    <w:rsid w:val="00E61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6983E"/>
  <w15:docId w15:val="{3E43738D-6E42-4B59-9D85-94F6830D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customStyle="1" w:styleId="Bezodstpw1">
    <w:name w:val="Bez odstępów1"/>
    <w:uiPriority w:val="99"/>
    <w:rsid w:val="001D479F"/>
    <w:rPr>
      <w:rFonts w:ascii="Times New Roman" w:eastAsia="Times New Roman" w:hAnsi="Times New Roman"/>
      <w:sz w:val="24"/>
      <w:szCs w:val="24"/>
    </w:rPr>
  </w:style>
  <w:style w:type="paragraph" w:styleId="Bezodstpw">
    <w:name w:val="No Spacing"/>
    <w:uiPriority w:val="1"/>
    <w:qFormat/>
    <w:rsid w:val="00B35A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787">
      <w:bodyDiv w:val="1"/>
      <w:marLeft w:val="0"/>
      <w:marRight w:val="0"/>
      <w:marTop w:val="0"/>
      <w:marBottom w:val="0"/>
      <w:divBdr>
        <w:top w:val="none" w:sz="0" w:space="0" w:color="auto"/>
        <w:left w:val="none" w:sz="0" w:space="0" w:color="auto"/>
        <w:bottom w:val="none" w:sz="0" w:space="0" w:color="auto"/>
        <w:right w:val="none" w:sz="0" w:space="0" w:color="auto"/>
      </w:divBdr>
    </w:div>
    <w:div w:id="747195217">
      <w:bodyDiv w:val="1"/>
      <w:marLeft w:val="0"/>
      <w:marRight w:val="0"/>
      <w:marTop w:val="0"/>
      <w:marBottom w:val="0"/>
      <w:divBdr>
        <w:top w:val="none" w:sz="0" w:space="0" w:color="auto"/>
        <w:left w:val="none" w:sz="0" w:space="0" w:color="auto"/>
        <w:bottom w:val="none" w:sz="0" w:space="0" w:color="auto"/>
        <w:right w:val="none" w:sz="0" w:space="0" w:color="auto"/>
      </w:divBdr>
    </w:div>
    <w:div w:id="785663080">
      <w:bodyDiv w:val="1"/>
      <w:marLeft w:val="0"/>
      <w:marRight w:val="0"/>
      <w:marTop w:val="0"/>
      <w:marBottom w:val="0"/>
      <w:divBdr>
        <w:top w:val="none" w:sz="0" w:space="0" w:color="auto"/>
        <w:left w:val="none" w:sz="0" w:space="0" w:color="auto"/>
        <w:bottom w:val="none" w:sz="0" w:space="0" w:color="auto"/>
        <w:right w:val="none" w:sz="0" w:space="0" w:color="auto"/>
      </w:divBdr>
    </w:div>
    <w:div w:id="1169102649">
      <w:bodyDiv w:val="1"/>
      <w:marLeft w:val="0"/>
      <w:marRight w:val="0"/>
      <w:marTop w:val="0"/>
      <w:marBottom w:val="0"/>
      <w:divBdr>
        <w:top w:val="none" w:sz="0" w:space="0" w:color="auto"/>
        <w:left w:val="none" w:sz="0" w:space="0" w:color="auto"/>
        <w:bottom w:val="none" w:sz="0" w:space="0" w:color="auto"/>
        <w:right w:val="none" w:sz="0" w:space="0" w:color="auto"/>
      </w:divBdr>
    </w:div>
    <w:div w:id="1366179554">
      <w:bodyDiv w:val="1"/>
      <w:marLeft w:val="0"/>
      <w:marRight w:val="0"/>
      <w:marTop w:val="0"/>
      <w:marBottom w:val="0"/>
      <w:divBdr>
        <w:top w:val="none" w:sz="0" w:space="0" w:color="auto"/>
        <w:left w:val="none" w:sz="0" w:space="0" w:color="auto"/>
        <w:bottom w:val="none" w:sz="0" w:space="0" w:color="auto"/>
        <w:right w:val="none" w:sz="0" w:space="0" w:color="auto"/>
      </w:divBdr>
    </w:div>
    <w:div w:id="17733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17CF-985E-44A5-9E49-4A34D063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0</TotalTime>
  <Pages>18</Pages>
  <Words>6938</Words>
  <Characters>41634</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Weronika Żak</cp:lastModifiedBy>
  <cp:revision>2</cp:revision>
  <cp:lastPrinted>2023-06-05T13:14:00Z</cp:lastPrinted>
  <dcterms:created xsi:type="dcterms:W3CDTF">2023-07-12T12:11:00Z</dcterms:created>
  <dcterms:modified xsi:type="dcterms:W3CDTF">2023-07-12T12:11:00Z</dcterms:modified>
</cp:coreProperties>
</file>