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D508" w14:textId="4E49419F" w:rsidR="00E352AA" w:rsidRPr="007E469E" w:rsidRDefault="00AF2A6E" w:rsidP="006E7156">
      <w:pPr>
        <w:spacing w:after="3840"/>
        <w:jc w:val="center"/>
        <w:rPr>
          <w:sz w:val="24"/>
        </w:rPr>
      </w:pPr>
      <w:bookmarkStart w:id="0" w:name="_GoBack"/>
      <w:bookmarkEnd w:id="0"/>
      <w:r>
        <w:rPr>
          <w:noProof/>
          <w:sz w:val="24"/>
          <w:lang w:eastAsia="pl-PL"/>
        </w:rPr>
        <w:drawing>
          <wp:inline distT="0" distB="0" distL="0" distR="0" wp14:anchorId="796C3CA1" wp14:editId="2962CC6D">
            <wp:extent cx="5760720" cy="8674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UnijneFE_PC-MIiR--UE-EFR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67410"/>
                    </a:xfrm>
                    <a:prstGeom prst="rect">
                      <a:avLst/>
                    </a:prstGeom>
                  </pic:spPr>
                </pic:pic>
              </a:graphicData>
            </a:graphic>
          </wp:inline>
        </w:drawing>
      </w:r>
    </w:p>
    <w:p w14:paraId="30CB3E51" w14:textId="77777777" w:rsidR="002F60DC" w:rsidRDefault="002F60DC" w:rsidP="00B81671">
      <w:pPr>
        <w:jc w:val="center"/>
        <w:rPr>
          <w:rFonts w:ascii="Arial" w:hAnsi="Arial" w:cs="Arial"/>
          <w:b/>
          <w:sz w:val="24"/>
          <w:szCs w:val="24"/>
        </w:rPr>
      </w:pP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r>
        <w:rPr>
          <w:rFonts w:ascii="Arial" w:hAnsi="Arial" w:cs="Arial"/>
          <w:b/>
          <w:sz w:val="24"/>
          <w:szCs w:val="24"/>
        </w:rPr>
        <w:t xml:space="preserve">Katalog </w:t>
      </w:r>
      <w:r w:rsidR="00BE3CB8">
        <w:rPr>
          <w:rFonts w:ascii="Arial" w:hAnsi="Arial" w:cs="Arial"/>
          <w:b/>
          <w:sz w:val="24"/>
          <w:szCs w:val="24"/>
        </w:rPr>
        <w:t xml:space="preserve">wydatków </w:t>
      </w:r>
      <w:r>
        <w:rPr>
          <w:rFonts w:ascii="Arial" w:hAnsi="Arial" w:cs="Arial"/>
          <w:b/>
          <w:sz w:val="24"/>
          <w:szCs w:val="24"/>
        </w:rPr>
        <w:t>kwalifikowalnych</w:t>
      </w:r>
    </w:p>
    <w:p w14:paraId="00227BED" w14:textId="77777777" w:rsidR="002F60DC" w:rsidRDefault="002F60DC" w:rsidP="00B81671">
      <w:pPr>
        <w:jc w:val="center"/>
        <w:rPr>
          <w:rFonts w:ascii="Arial" w:hAnsi="Arial" w:cs="Arial"/>
          <w:b/>
          <w:sz w:val="24"/>
          <w:szCs w:val="24"/>
        </w:rPr>
      </w:pPr>
      <w:r>
        <w:rPr>
          <w:rFonts w:ascii="Arial" w:hAnsi="Arial" w:cs="Arial"/>
          <w:b/>
          <w:sz w:val="24"/>
          <w:szCs w:val="24"/>
        </w:rPr>
        <w:t xml:space="preserve"> w projektach realizowanych </w:t>
      </w:r>
      <w:r w:rsidR="00BE3CB8">
        <w:rPr>
          <w:rFonts w:ascii="Arial" w:hAnsi="Arial" w:cs="Arial"/>
          <w:b/>
          <w:sz w:val="24"/>
          <w:szCs w:val="24"/>
        </w:rPr>
        <w:t xml:space="preserve">w ramach II osi priorytetowej </w:t>
      </w:r>
    </w:p>
    <w:bookmarkEnd w:id="1"/>
    <w:bookmarkEnd w:id="2"/>
    <w:p w14:paraId="45F8E60D" w14:textId="77777777" w:rsidR="00E352AA" w:rsidRPr="00B81671" w:rsidRDefault="007005C1" w:rsidP="00B81671">
      <w:pPr>
        <w:jc w:val="center"/>
        <w:rPr>
          <w:sz w:val="24"/>
          <w:szCs w:val="24"/>
        </w:rPr>
      </w:pPr>
      <w:r w:rsidRPr="00B81671">
        <w:rPr>
          <w:rFonts w:ascii="Arial" w:hAnsi="Arial" w:cs="Arial"/>
          <w:b/>
          <w:sz w:val="24"/>
          <w:szCs w:val="24"/>
        </w:rPr>
        <w:t>Program</w:t>
      </w:r>
      <w:r w:rsidR="00BE3CB8">
        <w:rPr>
          <w:rFonts w:ascii="Arial" w:hAnsi="Arial" w:cs="Arial"/>
          <w:b/>
          <w:sz w:val="24"/>
          <w:szCs w:val="24"/>
        </w:rPr>
        <w:t>u</w:t>
      </w:r>
      <w:r w:rsidRPr="00B81671">
        <w:rPr>
          <w:rFonts w:ascii="Arial" w:hAnsi="Arial" w:cs="Arial"/>
          <w:b/>
          <w:sz w:val="24"/>
          <w:szCs w:val="24"/>
        </w:rPr>
        <w:t xml:space="preserve"> Operacyjn</w:t>
      </w:r>
      <w:r w:rsidR="00BE3CB8">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3"/>
      <w:bookmarkEnd w:id="4"/>
      <w:bookmarkEnd w:id="5"/>
      <w:bookmarkEnd w:id="6"/>
      <w:bookmarkEnd w:id="7"/>
      <w:bookmarkEnd w:id="8"/>
      <w:bookmarkEnd w:id="9"/>
      <w:bookmarkEnd w:id="10"/>
      <w:permStart w:id="1156397010" w:edGrp="everyone"/>
      <w:permEnd w:id="1156397010"/>
    </w:p>
    <w:p w14:paraId="789E47FA" w14:textId="77777777" w:rsidR="00E352AA" w:rsidRPr="00B81671" w:rsidRDefault="00E352AA" w:rsidP="006E7156">
      <w:pPr>
        <w:spacing w:after="4560"/>
        <w:jc w:val="center"/>
        <w:rPr>
          <w:rFonts w:ascii="Arial" w:hAnsi="Arial" w:cs="Arial"/>
          <w:b/>
          <w:bCs/>
          <w:i/>
          <w:iCs/>
          <w:color w:val="000000"/>
          <w:sz w:val="24"/>
          <w:szCs w:val="24"/>
        </w:rPr>
      </w:pPr>
    </w:p>
    <w:p w14:paraId="6B3C4671" w14:textId="47C164F2"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9E5688" w:rsidRPr="007E469E">
        <w:rPr>
          <w:b/>
          <w:bCs/>
          <w:i/>
          <w:iCs/>
          <w:color w:val="000000"/>
        </w:rPr>
        <w:t>,</w:t>
      </w:r>
      <w:r w:rsidR="009E5688">
        <w:rPr>
          <w:b/>
          <w:bCs/>
          <w:i/>
          <w:iCs/>
          <w:color w:val="000000"/>
        </w:rPr>
        <w:t xml:space="preserve"> czerwiec </w:t>
      </w:r>
      <w:r w:rsidR="00CF0209" w:rsidRPr="007E469E">
        <w:rPr>
          <w:b/>
          <w:bCs/>
          <w:i/>
          <w:iCs/>
          <w:color w:val="000000"/>
        </w:rPr>
        <w:t>201</w:t>
      </w:r>
      <w:r w:rsidR="00A6453E">
        <w:rPr>
          <w:b/>
          <w:bCs/>
          <w:i/>
          <w:iCs/>
          <w:color w:val="000000"/>
        </w:rPr>
        <w:t>9</w:t>
      </w:r>
      <w:r w:rsidR="00CF0209" w:rsidRPr="007E469E">
        <w:rPr>
          <w:b/>
          <w:bCs/>
          <w:i/>
          <w:iCs/>
          <w:color w:val="000000"/>
        </w:rPr>
        <w:t xml:space="preserve"> r.</w:t>
      </w:r>
    </w:p>
    <w:p w14:paraId="02674A60" w14:textId="77777777"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14:paraId="4F9CF8F3" w14:textId="77777777"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14:paraId="6051A2A2" w14:textId="4CB2D7AF" w:rsidR="00EB2C27"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10542514" w:history="1">
            <w:r w:rsidR="00EB2C27" w:rsidRPr="001526F1">
              <w:rPr>
                <w:rStyle w:val="Hipercze"/>
              </w:rPr>
              <w:t>Wykaz skrótów</w:t>
            </w:r>
            <w:r w:rsidR="00EB2C27">
              <w:rPr>
                <w:webHidden/>
              </w:rPr>
              <w:tab/>
            </w:r>
            <w:r w:rsidR="00EB2C27">
              <w:rPr>
                <w:webHidden/>
              </w:rPr>
              <w:fldChar w:fldCharType="begin"/>
            </w:r>
            <w:r w:rsidR="00EB2C27">
              <w:rPr>
                <w:webHidden/>
              </w:rPr>
              <w:instrText xml:space="preserve"> PAGEREF _Toc10542514 \h </w:instrText>
            </w:r>
            <w:r w:rsidR="00EB2C27">
              <w:rPr>
                <w:webHidden/>
              </w:rPr>
            </w:r>
            <w:r w:rsidR="00EB2C27">
              <w:rPr>
                <w:webHidden/>
              </w:rPr>
              <w:fldChar w:fldCharType="separate"/>
            </w:r>
            <w:r w:rsidR="002311CC">
              <w:rPr>
                <w:webHidden/>
              </w:rPr>
              <w:t>3</w:t>
            </w:r>
            <w:r w:rsidR="00EB2C27">
              <w:rPr>
                <w:webHidden/>
              </w:rPr>
              <w:fldChar w:fldCharType="end"/>
            </w:r>
          </w:hyperlink>
        </w:p>
        <w:p w14:paraId="36D90C4D" w14:textId="040925E0" w:rsidR="00EB2C27" w:rsidRDefault="00E0403C">
          <w:pPr>
            <w:pStyle w:val="Spistreci1"/>
            <w:rPr>
              <w:rFonts w:asciiTheme="minorHAnsi" w:hAnsiTheme="minorHAnsi" w:cstheme="minorBidi"/>
              <w:b w:val="0"/>
            </w:rPr>
          </w:pPr>
          <w:hyperlink w:anchor="_Toc10542515" w:history="1">
            <w:r w:rsidR="00EB2C27" w:rsidRPr="001526F1">
              <w:rPr>
                <w:rStyle w:val="Hipercze"/>
              </w:rPr>
              <w:t>1.</w:t>
            </w:r>
            <w:r w:rsidR="00EB2C27">
              <w:rPr>
                <w:rFonts w:asciiTheme="minorHAnsi" w:hAnsiTheme="minorHAnsi" w:cstheme="minorBidi"/>
                <w:b w:val="0"/>
              </w:rPr>
              <w:tab/>
            </w:r>
            <w:r w:rsidR="00EB2C27" w:rsidRPr="001526F1">
              <w:rPr>
                <w:rStyle w:val="Hipercze"/>
              </w:rPr>
              <w:t>Rozdział - Słowniczek pojęć</w:t>
            </w:r>
            <w:r w:rsidR="00EB2C27">
              <w:rPr>
                <w:webHidden/>
              </w:rPr>
              <w:tab/>
            </w:r>
            <w:r w:rsidR="00EB2C27">
              <w:rPr>
                <w:webHidden/>
              </w:rPr>
              <w:fldChar w:fldCharType="begin"/>
            </w:r>
            <w:r w:rsidR="00EB2C27">
              <w:rPr>
                <w:webHidden/>
              </w:rPr>
              <w:instrText xml:space="preserve"> PAGEREF _Toc10542515 \h </w:instrText>
            </w:r>
            <w:r w:rsidR="00EB2C27">
              <w:rPr>
                <w:webHidden/>
              </w:rPr>
            </w:r>
            <w:r w:rsidR="00EB2C27">
              <w:rPr>
                <w:webHidden/>
              </w:rPr>
              <w:fldChar w:fldCharType="separate"/>
            </w:r>
            <w:r w:rsidR="002311CC">
              <w:rPr>
                <w:webHidden/>
              </w:rPr>
              <w:t>4</w:t>
            </w:r>
            <w:r w:rsidR="00EB2C27">
              <w:rPr>
                <w:webHidden/>
              </w:rPr>
              <w:fldChar w:fldCharType="end"/>
            </w:r>
          </w:hyperlink>
        </w:p>
        <w:p w14:paraId="3FB9AB95" w14:textId="6DFEB8EC" w:rsidR="00EB2C27" w:rsidRDefault="00E0403C">
          <w:pPr>
            <w:pStyle w:val="Spistreci1"/>
            <w:rPr>
              <w:rFonts w:asciiTheme="minorHAnsi" w:hAnsiTheme="minorHAnsi" w:cstheme="minorBidi"/>
              <w:b w:val="0"/>
            </w:rPr>
          </w:pPr>
          <w:hyperlink w:anchor="_Toc10542516" w:history="1">
            <w:r w:rsidR="00EB2C27" w:rsidRPr="001526F1">
              <w:rPr>
                <w:rStyle w:val="Hipercze"/>
              </w:rPr>
              <w:t>2.</w:t>
            </w:r>
            <w:r w:rsidR="00EB2C27">
              <w:rPr>
                <w:rFonts w:asciiTheme="minorHAnsi" w:hAnsiTheme="minorHAnsi" w:cstheme="minorBidi"/>
                <w:b w:val="0"/>
              </w:rPr>
              <w:tab/>
            </w:r>
            <w:r w:rsidR="00EB2C27" w:rsidRPr="001526F1">
              <w:rPr>
                <w:rStyle w:val="Hipercze"/>
              </w:rPr>
              <w:t xml:space="preserve">Rozdział - Cel, zakres oraz obowiązywanie </w:t>
            </w:r>
            <w:r w:rsidR="00EB2C27" w:rsidRPr="001526F1">
              <w:rPr>
                <w:rStyle w:val="Hipercze"/>
                <w:i/>
              </w:rPr>
              <w:t>Katalogu</w:t>
            </w:r>
            <w:r w:rsidR="00EB2C27">
              <w:rPr>
                <w:webHidden/>
              </w:rPr>
              <w:tab/>
            </w:r>
            <w:r w:rsidR="00EB2C27">
              <w:rPr>
                <w:webHidden/>
              </w:rPr>
              <w:fldChar w:fldCharType="begin"/>
            </w:r>
            <w:r w:rsidR="00EB2C27">
              <w:rPr>
                <w:webHidden/>
              </w:rPr>
              <w:instrText xml:space="preserve"> PAGEREF _Toc10542516 \h </w:instrText>
            </w:r>
            <w:r w:rsidR="00EB2C27">
              <w:rPr>
                <w:webHidden/>
              </w:rPr>
            </w:r>
            <w:r w:rsidR="00EB2C27">
              <w:rPr>
                <w:webHidden/>
              </w:rPr>
              <w:fldChar w:fldCharType="separate"/>
            </w:r>
            <w:r w:rsidR="002311CC">
              <w:rPr>
                <w:webHidden/>
              </w:rPr>
              <w:t>11</w:t>
            </w:r>
            <w:r w:rsidR="00EB2C27">
              <w:rPr>
                <w:webHidden/>
              </w:rPr>
              <w:fldChar w:fldCharType="end"/>
            </w:r>
          </w:hyperlink>
        </w:p>
        <w:p w14:paraId="50F84327" w14:textId="60091890" w:rsidR="00EB2C27" w:rsidRDefault="00E0403C">
          <w:pPr>
            <w:pStyle w:val="Spistreci1"/>
            <w:rPr>
              <w:rFonts w:asciiTheme="minorHAnsi" w:hAnsiTheme="minorHAnsi" w:cstheme="minorBidi"/>
              <w:b w:val="0"/>
            </w:rPr>
          </w:pPr>
          <w:hyperlink w:anchor="_Toc10542517" w:history="1">
            <w:r w:rsidR="00EB2C27" w:rsidRPr="001526F1">
              <w:rPr>
                <w:rStyle w:val="Hipercze"/>
              </w:rPr>
              <w:t>3.</w:t>
            </w:r>
            <w:r w:rsidR="00EB2C27">
              <w:rPr>
                <w:rFonts w:asciiTheme="minorHAnsi" w:hAnsiTheme="minorHAnsi" w:cstheme="minorBidi"/>
                <w:b w:val="0"/>
              </w:rPr>
              <w:tab/>
            </w:r>
            <w:r w:rsidR="00EB2C27" w:rsidRPr="001526F1">
              <w:rPr>
                <w:rStyle w:val="Hipercze"/>
              </w:rPr>
              <w:t>Rozdział - Wspólne warunki i procedury w zakresie kwalifikowalności wydatków</w:t>
            </w:r>
            <w:r w:rsidR="00EB2C27">
              <w:rPr>
                <w:webHidden/>
              </w:rPr>
              <w:tab/>
            </w:r>
            <w:r w:rsidR="00EB2C27">
              <w:rPr>
                <w:webHidden/>
              </w:rPr>
              <w:fldChar w:fldCharType="begin"/>
            </w:r>
            <w:r w:rsidR="00EB2C27">
              <w:rPr>
                <w:webHidden/>
              </w:rPr>
              <w:instrText xml:space="preserve"> PAGEREF _Toc10542517 \h </w:instrText>
            </w:r>
            <w:r w:rsidR="00EB2C27">
              <w:rPr>
                <w:webHidden/>
              </w:rPr>
            </w:r>
            <w:r w:rsidR="00EB2C27">
              <w:rPr>
                <w:webHidden/>
              </w:rPr>
              <w:fldChar w:fldCharType="separate"/>
            </w:r>
            <w:r w:rsidR="002311CC">
              <w:rPr>
                <w:webHidden/>
              </w:rPr>
              <w:t>12</w:t>
            </w:r>
            <w:r w:rsidR="00EB2C27">
              <w:rPr>
                <w:webHidden/>
              </w:rPr>
              <w:fldChar w:fldCharType="end"/>
            </w:r>
          </w:hyperlink>
        </w:p>
        <w:p w14:paraId="5F3508B5" w14:textId="58003CA1" w:rsidR="00EB2C27" w:rsidRDefault="00E0403C">
          <w:pPr>
            <w:pStyle w:val="Spistreci2"/>
            <w:tabs>
              <w:tab w:val="left" w:pos="880"/>
              <w:tab w:val="right" w:leader="dot" w:pos="9062"/>
            </w:tabs>
            <w:rPr>
              <w:noProof/>
            </w:rPr>
          </w:pPr>
          <w:hyperlink w:anchor="_Toc10542518" w:history="1">
            <w:r w:rsidR="00EB2C27" w:rsidRPr="001526F1">
              <w:rPr>
                <w:rStyle w:val="Hipercze"/>
                <w:rFonts w:ascii="Arial" w:hAnsi="Arial" w:cs="Arial"/>
                <w:i/>
                <w:noProof/>
              </w:rPr>
              <w:t>3.1</w:t>
            </w:r>
            <w:r w:rsidR="00EB2C27">
              <w:rPr>
                <w:noProof/>
              </w:rPr>
              <w:tab/>
            </w:r>
            <w:r w:rsidR="00EB2C27" w:rsidRPr="001526F1">
              <w:rPr>
                <w:rStyle w:val="Hipercze"/>
                <w:rFonts w:ascii="Arial" w:hAnsi="Arial" w:cs="Arial"/>
                <w:i/>
                <w:noProof/>
              </w:rPr>
              <w:t>Ocena kwalifikowalności wydatku.</w:t>
            </w:r>
            <w:r w:rsidR="00EB2C27">
              <w:rPr>
                <w:noProof/>
                <w:webHidden/>
              </w:rPr>
              <w:tab/>
            </w:r>
            <w:r w:rsidR="00EB2C27">
              <w:rPr>
                <w:noProof/>
                <w:webHidden/>
              </w:rPr>
              <w:fldChar w:fldCharType="begin"/>
            </w:r>
            <w:r w:rsidR="00EB2C27">
              <w:rPr>
                <w:noProof/>
                <w:webHidden/>
              </w:rPr>
              <w:instrText xml:space="preserve"> PAGEREF _Toc10542518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109BE3EB" w14:textId="1C22D10B" w:rsidR="00EB2C27" w:rsidRDefault="00E0403C">
          <w:pPr>
            <w:pStyle w:val="Spistreci2"/>
            <w:tabs>
              <w:tab w:val="left" w:pos="880"/>
              <w:tab w:val="right" w:leader="dot" w:pos="9062"/>
            </w:tabs>
            <w:rPr>
              <w:noProof/>
            </w:rPr>
          </w:pPr>
          <w:hyperlink w:anchor="_Toc10542519" w:history="1">
            <w:r w:rsidR="00EB2C27" w:rsidRPr="001526F1">
              <w:rPr>
                <w:rStyle w:val="Hipercze"/>
                <w:rFonts w:ascii="Arial" w:hAnsi="Arial" w:cs="Arial"/>
                <w:i/>
                <w:noProof/>
              </w:rPr>
              <w:t>3.2</w:t>
            </w:r>
            <w:r w:rsidR="00EB2C27">
              <w:rPr>
                <w:noProof/>
              </w:rPr>
              <w:tab/>
            </w:r>
            <w:r w:rsidR="00EB2C27" w:rsidRPr="001526F1">
              <w:rPr>
                <w:rStyle w:val="Hipercze"/>
                <w:rFonts w:ascii="Arial" w:hAnsi="Arial" w:cs="Arial"/>
                <w:i/>
                <w:noProof/>
              </w:rPr>
              <w:t>Zasada faktycznego poniesienia wydatku</w:t>
            </w:r>
            <w:r w:rsidR="00EB2C27">
              <w:rPr>
                <w:noProof/>
                <w:webHidden/>
              </w:rPr>
              <w:tab/>
            </w:r>
            <w:r w:rsidR="00EB2C27">
              <w:rPr>
                <w:noProof/>
                <w:webHidden/>
              </w:rPr>
              <w:fldChar w:fldCharType="begin"/>
            </w:r>
            <w:r w:rsidR="00EB2C27">
              <w:rPr>
                <w:noProof/>
                <w:webHidden/>
              </w:rPr>
              <w:instrText xml:space="preserve"> PAGEREF _Toc10542519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478371E2" w14:textId="7EBA63B1" w:rsidR="00EB2C27" w:rsidRDefault="00E0403C">
          <w:pPr>
            <w:pStyle w:val="Spistreci2"/>
            <w:tabs>
              <w:tab w:val="left" w:pos="880"/>
              <w:tab w:val="right" w:leader="dot" w:pos="9062"/>
            </w:tabs>
            <w:rPr>
              <w:noProof/>
            </w:rPr>
          </w:pPr>
          <w:hyperlink w:anchor="_Toc10542520" w:history="1">
            <w:r w:rsidR="00EB2C27" w:rsidRPr="001526F1">
              <w:rPr>
                <w:rStyle w:val="Hipercze"/>
                <w:rFonts w:ascii="Arial" w:hAnsi="Arial" w:cs="Arial"/>
                <w:i/>
                <w:noProof/>
              </w:rPr>
              <w:t>3.3</w:t>
            </w:r>
            <w:r w:rsidR="00EB2C27">
              <w:rPr>
                <w:noProof/>
              </w:rPr>
              <w:tab/>
            </w:r>
            <w:r w:rsidR="00EB2C27" w:rsidRPr="001526F1">
              <w:rPr>
                <w:rStyle w:val="Hipercze"/>
                <w:rFonts w:ascii="Arial" w:hAnsi="Arial" w:cs="Arial"/>
                <w:i/>
                <w:noProof/>
              </w:rPr>
              <w:t>Warunki oraz okres kwalifikowania wydatków w projektach podlegających zasadom pomocy publicznej</w:t>
            </w:r>
            <w:r w:rsidR="00EB2C27">
              <w:rPr>
                <w:noProof/>
                <w:webHidden/>
              </w:rPr>
              <w:tab/>
            </w:r>
            <w:r w:rsidR="00EB2C27">
              <w:rPr>
                <w:noProof/>
                <w:webHidden/>
              </w:rPr>
              <w:fldChar w:fldCharType="begin"/>
            </w:r>
            <w:r w:rsidR="00EB2C27">
              <w:rPr>
                <w:noProof/>
                <w:webHidden/>
              </w:rPr>
              <w:instrText xml:space="preserve"> PAGEREF _Toc10542520 \h </w:instrText>
            </w:r>
            <w:r w:rsidR="00EB2C27">
              <w:rPr>
                <w:noProof/>
                <w:webHidden/>
              </w:rPr>
            </w:r>
            <w:r w:rsidR="00EB2C27">
              <w:rPr>
                <w:noProof/>
                <w:webHidden/>
              </w:rPr>
              <w:fldChar w:fldCharType="separate"/>
            </w:r>
            <w:r w:rsidR="002311CC">
              <w:rPr>
                <w:noProof/>
                <w:webHidden/>
              </w:rPr>
              <w:t>19</w:t>
            </w:r>
            <w:r w:rsidR="00EB2C27">
              <w:rPr>
                <w:noProof/>
                <w:webHidden/>
              </w:rPr>
              <w:fldChar w:fldCharType="end"/>
            </w:r>
          </w:hyperlink>
        </w:p>
        <w:p w14:paraId="18B4B7D5" w14:textId="4F8F6F31" w:rsidR="00EB2C27" w:rsidRDefault="00E0403C">
          <w:pPr>
            <w:pStyle w:val="Spistreci2"/>
            <w:tabs>
              <w:tab w:val="left" w:pos="880"/>
              <w:tab w:val="right" w:leader="dot" w:pos="9062"/>
            </w:tabs>
            <w:rPr>
              <w:noProof/>
            </w:rPr>
          </w:pPr>
          <w:hyperlink w:anchor="_Toc10542521" w:history="1">
            <w:r w:rsidR="00EB2C27" w:rsidRPr="001526F1">
              <w:rPr>
                <w:rStyle w:val="Hipercze"/>
                <w:rFonts w:ascii="Arial" w:hAnsi="Arial" w:cs="Arial"/>
                <w:i/>
                <w:noProof/>
              </w:rPr>
              <w:t>3.4</w:t>
            </w:r>
            <w:r w:rsidR="00EB2C27">
              <w:rPr>
                <w:noProof/>
              </w:rPr>
              <w:tab/>
            </w:r>
            <w:r w:rsidR="00EB2C27" w:rsidRPr="001526F1">
              <w:rPr>
                <w:rStyle w:val="Hipercze"/>
                <w:rFonts w:ascii="Arial" w:hAnsi="Arial" w:cs="Arial"/>
                <w:i/>
                <w:noProof/>
              </w:rPr>
              <w:t>Zamówienia udzielane w projektach</w:t>
            </w:r>
            <w:r w:rsidR="00EB2C27">
              <w:rPr>
                <w:noProof/>
                <w:webHidden/>
              </w:rPr>
              <w:tab/>
            </w:r>
            <w:r w:rsidR="00EB2C27">
              <w:rPr>
                <w:noProof/>
                <w:webHidden/>
              </w:rPr>
              <w:fldChar w:fldCharType="begin"/>
            </w:r>
            <w:r w:rsidR="00EB2C27">
              <w:rPr>
                <w:noProof/>
                <w:webHidden/>
              </w:rPr>
              <w:instrText xml:space="preserve"> PAGEREF _Toc10542521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67FD19DA" w14:textId="4CA9883C" w:rsidR="00EB2C27" w:rsidRDefault="00E0403C">
          <w:pPr>
            <w:pStyle w:val="Spistreci2"/>
            <w:tabs>
              <w:tab w:val="left" w:pos="880"/>
              <w:tab w:val="right" w:leader="dot" w:pos="9062"/>
            </w:tabs>
            <w:rPr>
              <w:noProof/>
            </w:rPr>
          </w:pPr>
          <w:hyperlink w:anchor="_Toc10542522" w:history="1">
            <w:r w:rsidR="00EB2C27" w:rsidRPr="001526F1">
              <w:rPr>
                <w:rStyle w:val="Hipercze"/>
                <w:rFonts w:ascii="Arial" w:hAnsi="Arial" w:cs="Arial"/>
                <w:i/>
                <w:noProof/>
              </w:rPr>
              <w:t>3.5</w:t>
            </w:r>
            <w:r w:rsidR="00EB2C27">
              <w:rPr>
                <w:noProof/>
              </w:rPr>
              <w:tab/>
            </w:r>
            <w:r w:rsidR="00EB2C27" w:rsidRPr="001526F1">
              <w:rPr>
                <w:rStyle w:val="Hipercze"/>
                <w:rFonts w:ascii="Arial" w:hAnsi="Arial" w:cs="Arial"/>
                <w:i/>
                <w:noProof/>
              </w:rPr>
              <w:t>Leasing</w:t>
            </w:r>
            <w:r w:rsidR="00EB2C27">
              <w:rPr>
                <w:noProof/>
                <w:webHidden/>
              </w:rPr>
              <w:tab/>
            </w:r>
            <w:r w:rsidR="00EB2C27">
              <w:rPr>
                <w:noProof/>
                <w:webHidden/>
              </w:rPr>
              <w:fldChar w:fldCharType="begin"/>
            </w:r>
            <w:r w:rsidR="00EB2C27">
              <w:rPr>
                <w:noProof/>
                <w:webHidden/>
              </w:rPr>
              <w:instrText xml:space="preserve"> PAGEREF _Toc10542522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73D5B83A" w14:textId="1EDC530B" w:rsidR="00EB2C27" w:rsidRDefault="00E0403C">
          <w:pPr>
            <w:pStyle w:val="Spistreci2"/>
            <w:tabs>
              <w:tab w:val="left" w:pos="880"/>
              <w:tab w:val="right" w:leader="dot" w:pos="9062"/>
            </w:tabs>
            <w:rPr>
              <w:noProof/>
            </w:rPr>
          </w:pPr>
          <w:hyperlink w:anchor="_Toc10542523" w:history="1">
            <w:r w:rsidR="00EB2C27" w:rsidRPr="001526F1">
              <w:rPr>
                <w:rStyle w:val="Hipercze"/>
                <w:rFonts w:ascii="Arial" w:hAnsi="Arial" w:cs="Arial"/>
                <w:i/>
                <w:noProof/>
              </w:rPr>
              <w:t>3.6</w:t>
            </w:r>
            <w:r w:rsidR="00EB2C27">
              <w:rPr>
                <w:noProof/>
              </w:rPr>
              <w:tab/>
            </w:r>
            <w:r w:rsidR="00EB2C27" w:rsidRPr="001526F1">
              <w:rPr>
                <w:rStyle w:val="Hipercze"/>
                <w:rFonts w:ascii="Arial" w:hAnsi="Arial" w:cs="Arial"/>
                <w:i/>
                <w:noProof/>
              </w:rPr>
              <w:t>Projekty generujące dochód po zakończeniu realizacji projektów</w:t>
            </w:r>
            <w:r w:rsidR="00EB2C27">
              <w:rPr>
                <w:noProof/>
                <w:webHidden/>
              </w:rPr>
              <w:tab/>
            </w:r>
            <w:r w:rsidR="00EB2C27">
              <w:rPr>
                <w:noProof/>
                <w:webHidden/>
              </w:rPr>
              <w:fldChar w:fldCharType="begin"/>
            </w:r>
            <w:r w:rsidR="00EB2C27">
              <w:rPr>
                <w:noProof/>
                <w:webHidden/>
              </w:rPr>
              <w:instrText xml:space="preserve"> PAGEREF _Toc10542523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690988D2" w14:textId="056AA065" w:rsidR="00EB2C27" w:rsidRDefault="00E0403C">
          <w:pPr>
            <w:pStyle w:val="Spistreci2"/>
            <w:tabs>
              <w:tab w:val="left" w:pos="880"/>
              <w:tab w:val="right" w:leader="dot" w:pos="9062"/>
            </w:tabs>
            <w:rPr>
              <w:noProof/>
            </w:rPr>
          </w:pPr>
          <w:hyperlink w:anchor="_Toc10542524" w:history="1">
            <w:r w:rsidR="00EB2C27" w:rsidRPr="001526F1">
              <w:rPr>
                <w:rStyle w:val="Hipercze"/>
                <w:rFonts w:ascii="Arial" w:hAnsi="Arial" w:cs="Arial"/>
                <w:i/>
                <w:noProof/>
              </w:rPr>
              <w:t>3.7</w:t>
            </w:r>
            <w:r w:rsidR="00EB2C27">
              <w:rPr>
                <w:noProof/>
              </w:rPr>
              <w:tab/>
            </w:r>
            <w:r w:rsidR="00EB2C27" w:rsidRPr="001526F1">
              <w:rPr>
                <w:rStyle w:val="Hipercze"/>
                <w:rFonts w:ascii="Arial" w:hAnsi="Arial" w:cs="Arial"/>
                <w:i/>
                <w:noProof/>
              </w:rPr>
              <w:t>Kwalifikowalność podatku VAT i innych podatków, opłat i obciążeń</w:t>
            </w:r>
            <w:r w:rsidR="00EB2C27">
              <w:rPr>
                <w:noProof/>
                <w:webHidden/>
              </w:rPr>
              <w:tab/>
            </w:r>
            <w:r w:rsidR="00EB2C27">
              <w:rPr>
                <w:noProof/>
                <w:webHidden/>
              </w:rPr>
              <w:fldChar w:fldCharType="begin"/>
            </w:r>
            <w:r w:rsidR="00EB2C27">
              <w:rPr>
                <w:noProof/>
                <w:webHidden/>
              </w:rPr>
              <w:instrText xml:space="preserve"> PAGEREF _Toc10542524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2DD2D4F4" w14:textId="6697FC89" w:rsidR="00EB2C27" w:rsidRDefault="00E0403C">
          <w:pPr>
            <w:pStyle w:val="Spistreci2"/>
            <w:tabs>
              <w:tab w:val="left" w:pos="880"/>
              <w:tab w:val="right" w:leader="dot" w:pos="9062"/>
            </w:tabs>
            <w:rPr>
              <w:noProof/>
            </w:rPr>
          </w:pPr>
          <w:hyperlink w:anchor="_Toc10542525" w:history="1">
            <w:r w:rsidR="00EB2C27" w:rsidRPr="001526F1">
              <w:rPr>
                <w:rStyle w:val="Hipercze"/>
                <w:rFonts w:ascii="Arial" w:hAnsi="Arial" w:cs="Arial"/>
                <w:i/>
                <w:noProof/>
              </w:rPr>
              <w:t>3.8</w:t>
            </w:r>
            <w:r w:rsidR="00EB2C27">
              <w:rPr>
                <w:noProof/>
              </w:rPr>
              <w:tab/>
            </w:r>
            <w:r w:rsidR="00EB2C27" w:rsidRPr="001526F1">
              <w:rPr>
                <w:rStyle w:val="Hipercze"/>
                <w:rFonts w:ascii="Arial" w:hAnsi="Arial" w:cs="Arial"/>
                <w:i/>
                <w:noProof/>
              </w:rPr>
              <w:t>Duży projekt – zasady identyfikacji</w:t>
            </w:r>
            <w:r w:rsidR="00EB2C27">
              <w:rPr>
                <w:noProof/>
                <w:webHidden/>
              </w:rPr>
              <w:tab/>
            </w:r>
            <w:r w:rsidR="00EB2C27">
              <w:rPr>
                <w:noProof/>
                <w:webHidden/>
              </w:rPr>
              <w:fldChar w:fldCharType="begin"/>
            </w:r>
            <w:r w:rsidR="00EB2C27">
              <w:rPr>
                <w:noProof/>
                <w:webHidden/>
              </w:rPr>
              <w:instrText xml:space="preserve"> PAGEREF _Toc10542525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0C40675D" w14:textId="6FBFF64C" w:rsidR="00EB2C27" w:rsidRDefault="00E0403C">
          <w:pPr>
            <w:pStyle w:val="Spistreci2"/>
            <w:tabs>
              <w:tab w:val="left" w:pos="880"/>
              <w:tab w:val="right" w:leader="dot" w:pos="9062"/>
            </w:tabs>
            <w:rPr>
              <w:noProof/>
            </w:rPr>
          </w:pPr>
          <w:hyperlink w:anchor="_Toc10542526" w:history="1">
            <w:r w:rsidR="00EB2C27" w:rsidRPr="001526F1">
              <w:rPr>
                <w:rStyle w:val="Hipercze"/>
                <w:rFonts w:ascii="Arial" w:hAnsi="Arial" w:cs="Arial"/>
                <w:i/>
                <w:noProof/>
              </w:rPr>
              <w:t>3.9</w:t>
            </w:r>
            <w:r w:rsidR="00EB2C27">
              <w:rPr>
                <w:noProof/>
              </w:rPr>
              <w:tab/>
            </w:r>
            <w:r w:rsidR="00EB2C27" w:rsidRPr="001526F1">
              <w:rPr>
                <w:rStyle w:val="Hipercze"/>
                <w:rFonts w:ascii="Arial" w:hAnsi="Arial" w:cs="Arial"/>
                <w:i/>
                <w:noProof/>
              </w:rPr>
              <w:t>Podmiot dokonujący wydatków kwalifikowalnych</w:t>
            </w:r>
            <w:r w:rsidR="00EB2C27">
              <w:rPr>
                <w:noProof/>
                <w:webHidden/>
              </w:rPr>
              <w:tab/>
            </w:r>
            <w:r w:rsidR="00EB2C27">
              <w:rPr>
                <w:noProof/>
                <w:webHidden/>
              </w:rPr>
              <w:fldChar w:fldCharType="begin"/>
            </w:r>
            <w:r w:rsidR="00EB2C27">
              <w:rPr>
                <w:noProof/>
                <w:webHidden/>
              </w:rPr>
              <w:instrText xml:space="preserve"> PAGEREF _Toc10542526 \h </w:instrText>
            </w:r>
            <w:r w:rsidR="00EB2C27">
              <w:rPr>
                <w:noProof/>
                <w:webHidden/>
              </w:rPr>
            </w:r>
            <w:r w:rsidR="00EB2C27">
              <w:rPr>
                <w:noProof/>
                <w:webHidden/>
              </w:rPr>
              <w:fldChar w:fldCharType="separate"/>
            </w:r>
            <w:r w:rsidR="002311CC">
              <w:rPr>
                <w:noProof/>
                <w:webHidden/>
              </w:rPr>
              <w:t>25</w:t>
            </w:r>
            <w:r w:rsidR="00EB2C27">
              <w:rPr>
                <w:noProof/>
                <w:webHidden/>
              </w:rPr>
              <w:fldChar w:fldCharType="end"/>
            </w:r>
          </w:hyperlink>
        </w:p>
        <w:p w14:paraId="1DCA22A5" w14:textId="3258BC58" w:rsidR="00EB2C27" w:rsidRDefault="00E0403C">
          <w:pPr>
            <w:pStyle w:val="Spistreci2"/>
            <w:tabs>
              <w:tab w:val="left" w:pos="880"/>
              <w:tab w:val="right" w:leader="dot" w:pos="9062"/>
            </w:tabs>
            <w:rPr>
              <w:noProof/>
            </w:rPr>
          </w:pPr>
          <w:hyperlink w:anchor="_Toc10542527" w:history="1">
            <w:r w:rsidR="00EB2C27" w:rsidRPr="001526F1">
              <w:rPr>
                <w:rStyle w:val="Hipercze"/>
                <w:rFonts w:ascii="Arial" w:hAnsi="Arial" w:cs="Arial"/>
                <w:i/>
                <w:noProof/>
              </w:rPr>
              <w:t>3.10</w:t>
            </w:r>
            <w:r w:rsidR="00EB2C27">
              <w:rPr>
                <w:noProof/>
              </w:rPr>
              <w:tab/>
            </w:r>
            <w:r w:rsidR="00EB2C27" w:rsidRPr="001526F1">
              <w:rPr>
                <w:rStyle w:val="Hipercze"/>
                <w:rFonts w:ascii="Arial" w:hAnsi="Arial" w:cs="Arial"/>
                <w:i/>
                <w:noProof/>
              </w:rPr>
              <w:t>Podmiot na rzecz którego ponoszone są wydatki kwalifikowalne</w:t>
            </w:r>
            <w:r w:rsidR="00EB2C27">
              <w:rPr>
                <w:noProof/>
                <w:webHidden/>
              </w:rPr>
              <w:tab/>
            </w:r>
            <w:r w:rsidR="00EB2C27">
              <w:rPr>
                <w:noProof/>
                <w:webHidden/>
              </w:rPr>
              <w:fldChar w:fldCharType="begin"/>
            </w:r>
            <w:r w:rsidR="00EB2C27">
              <w:rPr>
                <w:noProof/>
                <w:webHidden/>
              </w:rPr>
              <w:instrText xml:space="preserve"> PAGEREF _Toc10542527 \h </w:instrText>
            </w:r>
            <w:r w:rsidR="00EB2C27">
              <w:rPr>
                <w:noProof/>
                <w:webHidden/>
              </w:rPr>
            </w:r>
            <w:r w:rsidR="00EB2C27">
              <w:rPr>
                <w:noProof/>
                <w:webHidden/>
              </w:rPr>
              <w:fldChar w:fldCharType="separate"/>
            </w:r>
            <w:r w:rsidR="002311CC">
              <w:rPr>
                <w:noProof/>
                <w:webHidden/>
              </w:rPr>
              <w:t>27</w:t>
            </w:r>
            <w:r w:rsidR="00EB2C27">
              <w:rPr>
                <w:noProof/>
                <w:webHidden/>
              </w:rPr>
              <w:fldChar w:fldCharType="end"/>
            </w:r>
          </w:hyperlink>
        </w:p>
        <w:p w14:paraId="6E9FCED5" w14:textId="113E43D4" w:rsidR="00EB2C27" w:rsidRDefault="00E0403C">
          <w:pPr>
            <w:pStyle w:val="Spistreci1"/>
            <w:rPr>
              <w:rFonts w:asciiTheme="minorHAnsi" w:hAnsiTheme="minorHAnsi" w:cstheme="minorBidi"/>
              <w:b w:val="0"/>
            </w:rPr>
          </w:pPr>
          <w:hyperlink w:anchor="_Toc10542528" w:history="1">
            <w:r w:rsidR="00EB2C27" w:rsidRPr="001526F1">
              <w:rPr>
                <w:rStyle w:val="Hipercze"/>
              </w:rPr>
              <w:t>4.</w:t>
            </w:r>
            <w:r w:rsidR="00EB2C27">
              <w:rPr>
                <w:rFonts w:asciiTheme="minorHAnsi" w:hAnsiTheme="minorHAnsi" w:cstheme="minorBidi"/>
                <w:b w:val="0"/>
              </w:rPr>
              <w:tab/>
            </w:r>
            <w:r w:rsidR="00EB2C27" w:rsidRPr="001526F1">
              <w:rPr>
                <w:rStyle w:val="Hipercze"/>
              </w:rPr>
              <w:t xml:space="preserve">Rozdział - Oś priorytetowa II </w:t>
            </w:r>
            <w:r w:rsidR="00EB2C27" w:rsidRPr="001526F1">
              <w:rPr>
                <w:rStyle w:val="Hipercze"/>
                <w:i/>
              </w:rPr>
              <w:t>E-administracja i otwarty rząd</w:t>
            </w:r>
            <w:r w:rsidR="00EB2C27" w:rsidRPr="001526F1">
              <w:rPr>
                <w:rStyle w:val="Hipercze"/>
              </w:rPr>
              <w:t xml:space="preserve"> - szczegółowe zasady kwalifikowalności wydatków w ramach EFRR</w:t>
            </w:r>
            <w:r w:rsidR="00EB2C27">
              <w:rPr>
                <w:webHidden/>
              </w:rPr>
              <w:tab/>
            </w:r>
            <w:r w:rsidR="00EB2C27">
              <w:rPr>
                <w:webHidden/>
              </w:rPr>
              <w:fldChar w:fldCharType="begin"/>
            </w:r>
            <w:r w:rsidR="00EB2C27">
              <w:rPr>
                <w:webHidden/>
              </w:rPr>
              <w:instrText xml:space="preserve"> PAGEREF _Toc10542528 \h </w:instrText>
            </w:r>
            <w:r w:rsidR="00EB2C27">
              <w:rPr>
                <w:webHidden/>
              </w:rPr>
            </w:r>
            <w:r w:rsidR="00EB2C27">
              <w:rPr>
                <w:webHidden/>
              </w:rPr>
              <w:fldChar w:fldCharType="separate"/>
            </w:r>
            <w:r w:rsidR="002311CC">
              <w:rPr>
                <w:webHidden/>
              </w:rPr>
              <w:t>29</w:t>
            </w:r>
            <w:r w:rsidR="00EB2C27">
              <w:rPr>
                <w:webHidden/>
              </w:rPr>
              <w:fldChar w:fldCharType="end"/>
            </w:r>
          </w:hyperlink>
        </w:p>
        <w:p w14:paraId="03CEB8BE" w14:textId="1CBCD6E9" w:rsidR="00EB2C27" w:rsidRDefault="00E0403C">
          <w:pPr>
            <w:pStyle w:val="Spistreci2"/>
            <w:tabs>
              <w:tab w:val="left" w:pos="880"/>
              <w:tab w:val="right" w:leader="dot" w:pos="9062"/>
            </w:tabs>
            <w:rPr>
              <w:noProof/>
            </w:rPr>
          </w:pPr>
          <w:hyperlink w:anchor="_Toc10542529" w:history="1">
            <w:r w:rsidR="00EB2C27" w:rsidRPr="001526F1">
              <w:rPr>
                <w:rStyle w:val="Hipercze"/>
                <w:rFonts w:ascii="Arial" w:hAnsi="Arial" w:cs="Arial"/>
                <w:i/>
                <w:noProof/>
              </w:rPr>
              <w:t>4.1</w:t>
            </w:r>
            <w:r w:rsidR="00EB2C27">
              <w:rPr>
                <w:noProof/>
              </w:rPr>
              <w:tab/>
            </w:r>
            <w:r w:rsidR="00EB2C27" w:rsidRPr="001526F1">
              <w:rPr>
                <w:rStyle w:val="Hipercze"/>
                <w:rFonts w:ascii="Arial" w:hAnsi="Arial" w:cs="Arial"/>
                <w:i/>
                <w:noProof/>
              </w:rPr>
              <w:t>Wydatki kwalifikowalne</w:t>
            </w:r>
            <w:r w:rsidR="00EB2C27">
              <w:rPr>
                <w:noProof/>
                <w:webHidden/>
              </w:rPr>
              <w:tab/>
            </w:r>
            <w:r w:rsidR="00EB2C27">
              <w:rPr>
                <w:noProof/>
                <w:webHidden/>
              </w:rPr>
              <w:fldChar w:fldCharType="begin"/>
            </w:r>
            <w:r w:rsidR="00EB2C27">
              <w:rPr>
                <w:noProof/>
                <w:webHidden/>
              </w:rPr>
              <w:instrText xml:space="preserve"> PAGEREF _Toc10542529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2C921223" w14:textId="138D79A5" w:rsidR="00EB2C27" w:rsidRDefault="00E0403C">
          <w:pPr>
            <w:pStyle w:val="Spistreci3"/>
            <w:tabs>
              <w:tab w:val="left" w:pos="1320"/>
              <w:tab w:val="right" w:leader="dot" w:pos="9062"/>
            </w:tabs>
            <w:rPr>
              <w:noProof/>
            </w:rPr>
          </w:pPr>
          <w:hyperlink w:anchor="_Toc10542530" w:history="1">
            <w:r w:rsidR="00EB2C27" w:rsidRPr="001526F1">
              <w:rPr>
                <w:rStyle w:val="Hipercze"/>
                <w:rFonts w:ascii="Arial" w:hAnsi="Arial" w:cs="Arial"/>
                <w:i/>
                <w:noProof/>
              </w:rPr>
              <w:t>4.1.1</w:t>
            </w:r>
            <w:r w:rsidR="00EB2C27">
              <w:rPr>
                <w:noProof/>
              </w:rPr>
              <w:tab/>
            </w:r>
            <w:r w:rsidR="00EB2C27" w:rsidRPr="001526F1">
              <w:rPr>
                <w:rStyle w:val="Hipercze"/>
                <w:rFonts w:ascii="Arial" w:hAnsi="Arial" w:cs="Arial"/>
                <w:i/>
                <w:noProof/>
              </w:rPr>
              <w:t>Wykaz wydatków kwalifikowalnych ponoszonych na rzecz projektów realizowanych w ramach II osi priorytetowej</w:t>
            </w:r>
            <w:r w:rsidR="00EB2C27">
              <w:rPr>
                <w:noProof/>
                <w:webHidden/>
              </w:rPr>
              <w:tab/>
            </w:r>
            <w:r w:rsidR="00EB2C27">
              <w:rPr>
                <w:noProof/>
                <w:webHidden/>
              </w:rPr>
              <w:fldChar w:fldCharType="begin"/>
            </w:r>
            <w:r w:rsidR="00EB2C27">
              <w:rPr>
                <w:noProof/>
                <w:webHidden/>
              </w:rPr>
              <w:instrText xml:space="preserve"> PAGEREF _Toc10542530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7ACE9CA2" w14:textId="35806FFB" w:rsidR="00EB2C27" w:rsidRDefault="00E0403C">
          <w:pPr>
            <w:pStyle w:val="Spistreci3"/>
            <w:tabs>
              <w:tab w:val="left" w:pos="1320"/>
              <w:tab w:val="right" w:leader="dot" w:pos="9062"/>
            </w:tabs>
            <w:rPr>
              <w:noProof/>
            </w:rPr>
          </w:pPr>
          <w:hyperlink w:anchor="_Toc10542531" w:history="1">
            <w:r w:rsidR="00EB2C27" w:rsidRPr="001526F1">
              <w:rPr>
                <w:rStyle w:val="Hipercze"/>
                <w:rFonts w:ascii="Arial" w:hAnsi="Arial" w:cs="Arial"/>
                <w:i/>
                <w:noProof/>
              </w:rPr>
              <w:t>4.1.2</w:t>
            </w:r>
            <w:r w:rsidR="00EB2C27">
              <w:rPr>
                <w:noProof/>
              </w:rPr>
              <w:tab/>
            </w:r>
            <w:r w:rsidR="00EB2C27" w:rsidRPr="001526F1">
              <w:rPr>
                <w:rStyle w:val="Hipercze"/>
                <w:rFonts w:ascii="Arial" w:hAnsi="Arial" w:cs="Arial"/>
                <w:i/>
                <w:noProof/>
              </w:rPr>
              <w:t>Dodatkowe wydatki kwalifikowalne w ramach działania 2.2</w:t>
            </w:r>
            <w:r w:rsidR="00EB2C27">
              <w:rPr>
                <w:noProof/>
                <w:webHidden/>
              </w:rPr>
              <w:tab/>
            </w:r>
            <w:r w:rsidR="00EB2C27">
              <w:rPr>
                <w:noProof/>
                <w:webHidden/>
              </w:rPr>
              <w:fldChar w:fldCharType="begin"/>
            </w:r>
            <w:r w:rsidR="00EB2C27">
              <w:rPr>
                <w:noProof/>
                <w:webHidden/>
              </w:rPr>
              <w:instrText xml:space="preserve"> PAGEREF _Toc10542531 \h </w:instrText>
            </w:r>
            <w:r w:rsidR="00EB2C27">
              <w:rPr>
                <w:noProof/>
                <w:webHidden/>
              </w:rPr>
            </w:r>
            <w:r w:rsidR="00EB2C27">
              <w:rPr>
                <w:noProof/>
                <w:webHidden/>
              </w:rPr>
              <w:fldChar w:fldCharType="separate"/>
            </w:r>
            <w:r w:rsidR="002311CC">
              <w:rPr>
                <w:noProof/>
                <w:webHidden/>
              </w:rPr>
              <w:t>38</w:t>
            </w:r>
            <w:r w:rsidR="00EB2C27">
              <w:rPr>
                <w:noProof/>
                <w:webHidden/>
              </w:rPr>
              <w:fldChar w:fldCharType="end"/>
            </w:r>
          </w:hyperlink>
        </w:p>
        <w:p w14:paraId="635BDD79" w14:textId="1B54BD23" w:rsidR="00EB2C27" w:rsidRDefault="00E0403C">
          <w:pPr>
            <w:pStyle w:val="Spistreci3"/>
            <w:tabs>
              <w:tab w:val="left" w:pos="1320"/>
              <w:tab w:val="right" w:leader="dot" w:pos="9062"/>
            </w:tabs>
            <w:rPr>
              <w:noProof/>
            </w:rPr>
          </w:pPr>
          <w:hyperlink w:anchor="_Toc10542532" w:history="1">
            <w:r w:rsidR="00EB2C27" w:rsidRPr="001526F1">
              <w:rPr>
                <w:rStyle w:val="Hipercze"/>
                <w:rFonts w:ascii="Arial" w:hAnsi="Arial" w:cs="Arial"/>
                <w:i/>
                <w:noProof/>
              </w:rPr>
              <w:t>4.1.3</w:t>
            </w:r>
            <w:r w:rsidR="00EB2C27">
              <w:rPr>
                <w:noProof/>
              </w:rPr>
              <w:tab/>
            </w:r>
            <w:r w:rsidR="00EB2C27" w:rsidRPr="001526F1">
              <w:rPr>
                <w:rStyle w:val="Hipercze"/>
                <w:rFonts w:ascii="Arial" w:hAnsi="Arial" w:cs="Arial"/>
                <w:i/>
                <w:noProof/>
              </w:rPr>
              <w:t>Dodatkowe wydatki kwalifikowalne w ramach działania 2.3</w:t>
            </w:r>
            <w:r w:rsidR="00EB2C27">
              <w:rPr>
                <w:noProof/>
                <w:webHidden/>
              </w:rPr>
              <w:tab/>
            </w:r>
            <w:r w:rsidR="00EB2C27">
              <w:rPr>
                <w:noProof/>
                <w:webHidden/>
              </w:rPr>
              <w:fldChar w:fldCharType="begin"/>
            </w:r>
            <w:r w:rsidR="00EB2C27">
              <w:rPr>
                <w:noProof/>
                <w:webHidden/>
              </w:rPr>
              <w:instrText xml:space="preserve"> PAGEREF _Toc10542532 \h </w:instrText>
            </w:r>
            <w:r w:rsidR="00EB2C27">
              <w:rPr>
                <w:noProof/>
                <w:webHidden/>
              </w:rPr>
            </w:r>
            <w:r w:rsidR="00EB2C27">
              <w:rPr>
                <w:noProof/>
                <w:webHidden/>
              </w:rPr>
              <w:fldChar w:fldCharType="separate"/>
            </w:r>
            <w:r w:rsidR="002311CC">
              <w:rPr>
                <w:noProof/>
                <w:webHidden/>
              </w:rPr>
              <w:t>39</w:t>
            </w:r>
            <w:r w:rsidR="00EB2C27">
              <w:rPr>
                <w:noProof/>
                <w:webHidden/>
              </w:rPr>
              <w:fldChar w:fldCharType="end"/>
            </w:r>
          </w:hyperlink>
        </w:p>
        <w:p w14:paraId="564C5714" w14:textId="1CE8B019" w:rsidR="00EB2C27" w:rsidRDefault="00E0403C">
          <w:pPr>
            <w:pStyle w:val="Spistreci3"/>
            <w:tabs>
              <w:tab w:val="left" w:pos="1320"/>
              <w:tab w:val="right" w:leader="dot" w:pos="9062"/>
            </w:tabs>
            <w:rPr>
              <w:noProof/>
            </w:rPr>
          </w:pPr>
          <w:hyperlink w:anchor="_Toc10542533" w:history="1">
            <w:r w:rsidR="00EB2C27" w:rsidRPr="001526F1">
              <w:rPr>
                <w:rStyle w:val="Hipercze"/>
                <w:rFonts w:ascii="Arial" w:hAnsi="Arial" w:cs="Arial"/>
                <w:i/>
                <w:noProof/>
              </w:rPr>
              <w:t>4.1.4</w:t>
            </w:r>
            <w:r w:rsidR="00EB2C27">
              <w:rPr>
                <w:noProof/>
              </w:rPr>
              <w:tab/>
            </w:r>
            <w:r w:rsidR="00EB2C27" w:rsidRPr="001526F1">
              <w:rPr>
                <w:rStyle w:val="Hipercze"/>
                <w:rFonts w:ascii="Arial" w:hAnsi="Arial" w:cs="Arial"/>
                <w:i/>
                <w:noProof/>
              </w:rPr>
              <w:t>Wydatki kwalifikowalne w projektach realizowanych w działaniu 2.1 w ramach „uproszczonej procedury”</w:t>
            </w:r>
            <w:r w:rsidR="00EB2C27">
              <w:rPr>
                <w:noProof/>
                <w:webHidden/>
              </w:rPr>
              <w:tab/>
            </w:r>
            <w:r w:rsidR="00EB2C27">
              <w:rPr>
                <w:noProof/>
                <w:webHidden/>
              </w:rPr>
              <w:fldChar w:fldCharType="begin"/>
            </w:r>
            <w:r w:rsidR="00EB2C27">
              <w:rPr>
                <w:noProof/>
                <w:webHidden/>
              </w:rPr>
              <w:instrText xml:space="preserve"> PAGEREF _Toc10542533 \h </w:instrText>
            </w:r>
            <w:r w:rsidR="00EB2C27">
              <w:rPr>
                <w:noProof/>
                <w:webHidden/>
              </w:rPr>
            </w:r>
            <w:r w:rsidR="00EB2C27">
              <w:rPr>
                <w:noProof/>
                <w:webHidden/>
              </w:rPr>
              <w:fldChar w:fldCharType="separate"/>
            </w:r>
            <w:r w:rsidR="002311CC">
              <w:rPr>
                <w:noProof/>
                <w:webHidden/>
              </w:rPr>
              <w:t>40</w:t>
            </w:r>
            <w:r w:rsidR="00EB2C27">
              <w:rPr>
                <w:noProof/>
                <w:webHidden/>
              </w:rPr>
              <w:fldChar w:fldCharType="end"/>
            </w:r>
          </w:hyperlink>
        </w:p>
        <w:p w14:paraId="49B5783A" w14:textId="25B87465" w:rsidR="00EB2C27" w:rsidRDefault="00E0403C">
          <w:pPr>
            <w:pStyle w:val="Spistreci2"/>
            <w:tabs>
              <w:tab w:val="left" w:pos="880"/>
              <w:tab w:val="right" w:leader="dot" w:pos="9062"/>
            </w:tabs>
            <w:rPr>
              <w:noProof/>
            </w:rPr>
          </w:pPr>
          <w:hyperlink w:anchor="_Toc10542534" w:history="1">
            <w:r w:rsidR="00EB2C27" w:rsidRPr="001526F1">
              <w:rPr>
                <w:rStyle w:val="Hipercze"/>
                <w:rFonts w:ascii="Arial" w:hAnsi="Arial" w:cs="Arial"/>
                <w:i/>
                <w:noProof/>
              </w:rPr>
              <w:t>4.2</w:t>
            </w:r>
            <w:r w:rsidR="00EB2C27">
              <w:rPr>
                <w:noProof/>
              </w:rPr>
              <w:tab/>
            </w:r>
            <w:r w:rsidR="00EB2C27" w:rsidRPr="001526F1">
              <w:rPr>
                <w:rStyle w:val="Hipercze"/>
                <w:rFonts w:ascii="Arial" w:hAnsi="Arial" w:cs="Arial"/>
                <w:i/>
                <w:noProof/>
              </w:rPr>
              <w:t>Cross-financing</w:t>
            </w:r>
            <w:r w:rsidR="00EB2C27">
              <w:rPr>
                <w:noProof/>
                <w:webHidden/>
              </w:rPr>
              <w:tab/>
            </w:r>
            <w:r w:rsidR="00EB2C27">
              <w:rPr>
                <w:noProof/>
                <w:webHidden/>
              </w:rPr>
              <w:fldChar w:fldCharType="begin"/>
            </w:r>
            <w:r w:rsidR="00EB2C27">
              <w:rPr>
                <w:noProof/>
                <w:webHidden/>
              </w:rPr>
              <w:instrText xml:space="preserve"> PAGEREF _Toc10542534 \h </w:instrText>
            </w:r>
            <w:r w:rsidR="00EB2C27">
              <w:rPr>
                <w:noProof/>
                <w:webHidden/>
              </w:rPr>
            </w:r>
            <w:r w:rsidR="00EB2C27">
              <w:rPr>
                <w:noProof/>
                <w:webHidden/>
              </w:rPr>
              <w:fldChar w:fldCharType="separate"/>
            </w:r>
            <w:r w:rsidR="002311CC">
              <w:rPr>
                <w:noProof/>
                <w:webHidden/>
              </w:rPr>
              <w:t>43</w:t>
            </w:r>
            <w:r w:rsidR="00EB2C27">
              <w:rPr>
                <w:noProof/>
                <w:webHidden/>
              </w:rPr>
              <w:fldChar w:fldCharType="end"/>
            </w:r>
          </w:hyperlink>
        </w:p>
        <w:p w14:paraId="51D21A5E" w14:textId="3055FAD8" w:rsidR="00EB2C27" w:rsidRDefault="00E0403C">
          <w:pPr>
            <w:pStyle w:val="Spistreci2"/>
            <w:tabs>
              <w:tab w:val="left" w:pos="880"/>
              <w:tab w:val="right" w:leader="dot" w:pos="9062"/>
            </w:tabs>
            <w:rPr>
              <w:noProof/>
            </w:rPr>
          </w:pPr>
          <w:hyperlink w:anchor="_Toc10542535" w:history="1">
            <w:r w:rsidR="00EB2C27" w:rsidRPr="001526F1">
              <w:rPr>
                <w:rStyle w:val="Hipercze"/>
                <w:rFonts w:ascii="Arial" w:hAnsi="Arial" w:cs="Arial"/>
                <w:i/>
                <w:noProof/>
              </w:rPr>
              <w:t>4.3</w:t>
            </w:r>
            <w:r w:rsidR="00EB2C27">
              <w:rPr>
                <w:noProof/>
              </w:rPr>
              <w:tab/>
            </w:r>
            <w:r w:rsidR="00EB2C27" w:rsidRPr="001526F1">
              <w:rPr>
                <w:rStyle w:val="Hipercze"/>
                <w:rFonts w:ascii="Arial" w:hAnsi="Arial" w:cs="Arial"/>
                <w:i/>
                <w:noProof/>
              </w:rPr>
              <w:t>Wykaz wydatków niekwalifikowalnych w ramach II osi priorytetowej</w:t>
            </w:r>
            <w:r w:rsidR="00EB2C27">
              <w:rPr>
                <w:noProof/>
                <w:webHidden/>
              </w:rPr>
              <w:tab/>
            </w:r>
            <w:r w:rsidR="00EB2C27">
              <w:rPr>
                <w:noProof/>
                <w:webHidden/>
              </w:rPr>
              <w:fldChar w:fldCharType="begin"/>
            </w:r>
            <w:r w:rsidR="00EB2C27">
              <w:rPr>
                <w:noProof/>
                <w:webHidden/>
              </w:rPr>
              <w:instrText xml:space="preserve"> PAGEREF _Toc10542535 \h </w:instrText>
            </w:r>
            <w:r w:rsidR="00EB2C27">
              <w:rPr>
                <w:noProof/>
                <w:webHidden/>
              </w:rPr>
            </w:r>
            <w:r w:rsidR="00EB2C27">
              <w:rPr>
                <w:noProof/>
                <w:webHidden/>
              </w:rPr>
              <w:fldChar w:fldCharType="separate"/>
            </w:r>
            <w:r w:rsidR="002311CC">
              <w:rPr>
                <w:noProof/>
                <w:webHidden/>
              </w:rPr>
              <w:t>44</w:t>
            </w:r>
            <w:r w:rsidR="00EB2C27">
              <w:rPr>
                <w:noProof/>
                <w:webHidden/>
              </w:rPr>
              <w:fldChar w:fldCharType="end"/>
            </w:r>
          </w:hyperlink>
        </w:p>
        <w:p w14:paraId="044A6510" w14:textId="6D84F420" w:rsidR="00EB2C27" w:rsidRDefault="00E0403C">
          <w:pPr>
            <w:pStyle w:val="Spistreci2"/>
            <w:tabs>
              <w:tab w:val="left" w:pos="880"/>
              <w:tab w:val="right" w:leader="dot" w:pos="9062"/>
            </w:tabs>
            <w:rPr>
              <w:noProof/>
            </w:rPr>
          </w:pPr>
          <w:hyperlink w:anchor="_Toc10542540" w:history="1">
            <w:r w:rsidR="00EB2C27" w:rsidRPr="001526F1">
              <w:rPr>
                <w:rStyle w:val="Hipercze"/>
                <w:rFonts w:ascii="Arial" w:hAnsi="Arial" w:cs="Arial"/>
                <w:i/>
                <w:noProof/>
              </w:rPr>
              <w:t>4.4</w:t>
            </w:r>
            <w:r w:rsidR="00EB2C27">
              <w:rPr>
                <w:noProof/>
              </w:rPr>
              <w:tab/>
            </w:r>
            <w:r w:rsidR="00EB2C27" w:rsidRPr="001526F1">
              <w:rPr>
                <w:rStyle w:val="Hipercze"/>
                <w:rFonts w:ascii="Arial" w:hAnsi="Arial" w:cs="Arial"/>
                <w:i/>
                <w:noProof/>
              </w:rPr>
              <w:t>Wydatki kwalifikowalne w projektach realizowanych w działaniu 2.4 „Tworzenie usług i aplikacji wykorzystujących e-usługi publiczne i informacje sektora publicznego”</w:t>
            </w:r>
            <w:r w:rsidR="00EB2C27">
              <w:rPr>
                <w:noProof/>
                <w:webHidden/>
              </w:rPr>
              <w:tab/>
            </w:r>
            <w:r w:rsidR="00EB2C27">
              <w:rPr>
                <w:noProof/>
                <w:webHidden/>
              </w:rPr>
              <w:fldChar w:fldCharType="begin"/>
            </w:r>
            <w:r w:rsidR="00EB2C27">
              <w:rPr>
                <w:noProof/>
                <w:webHidden/>
              </w:rPr>
              <w:instrText xml:space="preserve"> PAGEREF _Toc10542540 \h </w:instrText>
            </w:r>
            <w:r w:rsidR="00EB2C27">
              <w:rPr>
                <w:noProof/>
                <w:webHidden/>
              </w:rPr>
            </w:r>
            <w:r w:rsidR="00EB2C27">
              <w:rPr>
                <w:noProof/>
                <w:webHidden/>
              </w:rPr>
              <w:fldChar w:fldCharType="separate"/>
            </w:r>
            <w:r w:rsidR="002311CC">
              <w:rPr>
                <w:noProof/>
                <w:webHidden/>
              </w:rPr>
              <w:t>46</w:t>
            </w:r>
            <w:r w:rsidR="00EB2C27">
              <w:rPr>
                <w:noProof/>
                <w:webHidden/>
              </w:rPr>
              <w:fldChar w:fldCharType="end"/>
            </w:r>
          </w:hyperlink>
        </w:p>
        <w:p w14:paraId="3513D348" w14:textId="209670A7" w:rsidR="00EB2C27" w:rsidRDefault="00E0403C">
          <w:pPr>
            <w:pStyle w:val="Spistreci1"/>
            <w:rPr>
              <w:rFonts w:asciiTheme="minorHAnsi" w:hAnsiTheme="minorHAnsi" w:cstheme="minorBidi"/>
              <w:b w:val="0"/>
            </w:rPr>
          </w:pPr>
          <w:hyperlink w:anchor="_Toc10542541" w:history="1">
            <w:r w:rsidR="00EB2C27" w:rsidRPr="001526F1">
              <w:rPr>
                <w:rStyle w:val="Hipercze"/>
                <w:rFonts w:eastAsia="Times New Roman" w:cs="Times New Roman"/>
                <w:bCs/>
              </w:rPr>
              <w:t>Załącznik nr 1 – Przykładowy wykaz nieprawidłowości w obszarze zamówień publicznych udzielanych na podstawie przepisów Pzp</w:t>
            </w:r>
            <w:r w:rsidR="00EB2C27">
              <w:rPr>
                <w:webHidden/>
              </w:rPr>
              <w:tab/>
            </w:r>
            <w:r w:rsidR="00EB2C27">
              <w:rPr>
                <w:webHidden/>
              </w:rPr>
              <w:fldChar w:fldCharType="begin"/>
            </w:r>
            <w:r w:rsidR="00EB2C27">
              <w:rPr>
                <w:webHidden/>
              </w:rPr>
              <w:instrText xml:space="preserve"> PAGEREF _Toc10542541 \h </w:instrText>
            </w:r>
            <w:r w:rsidR="00EB2C27">
              <w:rPr>
                <w:webHidden/>
              </w:rPr>
            </w:r>
            <w:r w:rsidR="00EB2C27">
              <w:rPr>
                <w:webHidden/>
              </w:rPr>
              <w:fldChar w:fldCharType="separate"/>
            </w:r>
            <w:r w:rsidR="002311CC">
              <w:rPr>
                <w:webHidden/>
              </w:rPr>
              <w:t>50</w:t>
            </w:r>
            <w:r w:rsidR="00EB2C27">
              <w:rPr>
                <w:webHidden/>
              </w:rPr>
              <w:fldChar w:fldCharType="end"/>
            </w:r>
          </w:hyperlink>
        </w:p>
        <w:p w14:paraId="549D3B09" w14:textId="466C886A" w:rsidR="00EB2C27" w:rsidRDefault="00E0403C">
          <w:pPr>
            <w:pStyle w:val="Spistreci1"/>
            <w:rPr>
              <w:rFonts w:asciiTheme="minorHAnsi" w:hAnsiTheme="minorHAnsi" w:cstheme="minorBidi"/>
              <w:b w:val="0"/>
            </w:rPr>
          </w:pPr>
          <w:hyperlink w:anchor="_Toc10542542" w:history="1">
            <w:r w:rsidR="00EB2C27" w:rsidRPr="001526F1">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EB2C27">
              <w:rPr>
                <w:webHidden/>
              </w:rPr>
              <w:tab/>
            </w:r>
            <w:r w:rsidR="00EB2C27">
              <w:rPr>
                <w:webHidden/>
              </w:rPr>
              <w:fldChar w:fldCharType="begin"/>
            </w:r>
            <w:r w:rsidR="00EB2C27">
              <w:rPr>
                <w:webHidden/>
              </w:rPr>
              <w:instrText xml:space="preserve"> PAGEREF _Toc10542542 \h </w:instrText>
            </w:r>
            <w:r w:rsidR="00EB2C27">
              <w:rPr>
                <w:webHidden/>
              </w:rPr>
            </w:r>
            <w:r w:rsidR="00EB2C27">
              <w:rPr>
                <w:webHidden/>
              </w:rPr>
              <w:fldChar w:fldCharType="separate"/>
            </w:r>
            <w:r w:rsidR="002311CC">
              <w:rPr>
                <w:webHidden/>
              </w:rPr>
              <w:t>52</w:t>
            </w:r>
            <w:r w:rsidR="00EB2C27">
              <w:rPr>
                <w:webHidden/>
              </w:rPr>
              <w:fldChar w:fldCharType="end"/>
            </w:r>
          </w:hyperlink>
        </w:p>
        <w:p w14:paraId="6E82AE0A" w14:textId="77777777"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14:paraId="265BAC65" w14:textId="77777777" w:rsidR="00003731" w:rsidRPr="007E469E" w:rsidRDefault="00003731" w:rsidP="00003731">
      <w:r w:rsidRPr="007E469E">
        <w:br w:type="page"/>
      </w:r>
    </w:p>
    <w:p w14:paraId="25F174C9" w14:textId="77777777"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10542514"/>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14:paraId="3B1A118C" w14:textId="77777777"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14:paraId="721FE91F" w14:textId="77777777"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14:paraId="4D3F2C1E"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14:paraId="0B8C5D6F" w14:textId="77777777"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14:paraId="22E91955" w14:textId="77777777"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14:paraId="637D9995" w14:textId="77777777"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r w:rsidR="00355269" w:rsidRPr="00285F07">
        <w:rPr>
          <w:rFonts w:ascii="Arial" w:eastAsia="Times New Roman" w:hAnsi="Arial" w:cs="Arial"/>
          <w:i/>
          <w:lang w:eastAsia="pl-PL"/>
        </w:rPr>
        <w:t>general block exemption regulation</w:t>
      </w:r>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14:paraId="6479E2D0" w14:textId="77777777"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32FF1ECE" w14:textId="77777777"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004D8521"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14:paraId="38F8F09F" w14:textId="77777777"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14:paraId="4133CEFE" w14:textId="77777777"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14:paraId="7B98B638" w14:textId="77777777"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Pzp – ustawę z dnia 29 stycznia 2004 r. – Prawo zamówień publicznych (</w:t>
      </w:r>
      <w:r w:rsidR="00707594">
        <w:rPr>
          <w:rFonts w:ascii="Arial" w:eastAsia="Times New Roman" w:hAnsi="Arial" w:cs="Arial"/>
          <w:lang w:eastAsia="pl-PL"/>
        </w:rPr>
        <w:t xml:space="preserve">t.j.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14:paraId="2C937B48"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14:paraId="30ED333A" w14:textId="77777777"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14:paraId="16D30925" w14:textId="77777777"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14:paraId="39129873" w14:textId="77777777"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10542515"/>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t>Rozdział - Słowniczek pojęć</w:t>
      </w:r>
      <w:bookmarkEnd w:id="24"/>
    </w:p>
    <w:p w14:paraId="196F3C9C" w14:textId="77777777"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14:paraId="5B74F56D" w14:textId="77777777"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14:paraId="30F83EC0" w14:textId="77777777"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r w:rsidRPr="007E469E">
        <w:rPr>
          <w:rFonts w:ascii="Arial" w:eastAsia="Times New Roman" w:hAnsi="Arial" w:cs="Arial"/>
          <w:i/>
          <w:iCs/>
          <w:lang w:eastAsia="pl-PL"/>
        </w:rPr>
        <w:t>cloud computing</w:t>
      </w:r>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14:paraId="3E8C11A9" w14:textId="77777777"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14:paraId="1E8E45EE" w14:textId="77777777"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14:paraId="531D8484" w14:textId="77777777"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Powyższa definicja odnosi się do dochodu wygenerowanego w okresie odniesienia obejmującym zarówno realizację tej operacji, jak i okres po jej ukończeniu;</w:t>
      </w:r>
    </w:p>
    <w:p w14:paraId="2E71999D" w14:textId="77777777"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14:paraId="571EF7D2" w14:textId="77777777"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14:paraId="5A1620AF" w14:textId="77777777"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14:paraId="1DF0BAE9" w14:textId="77777777"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14:paraId="373F2E3F" w14:textId="77777777"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14:paraId="0DDE0A2C" w14:textId="77777777"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14:paraId="1A38E0F3" w14:textId="77777777"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14:paraId="131A8F24" w14:textId="77777777"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14:paraId="7CF208C7" w14:textId="77777777"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14:paraId="6C47BD0A" w14:textId="77777777"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późn</w:t>
      </w:r>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14:paraId="172C277D" w14:textId="77777777"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14:paraId="13F3ADD2" w14:textId="77777777"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z późn. zm.</w:t>
      </w:r>
      <w:r w:rsidR="00090E32" w:rsidRPr="007E469E">
        <w:rPr>
          <w:rFonts w:ascii="Arial" w:hAnsi="Arial"/>
        </w:rPr>
        <w:t>)</w:t>
      </w:r>
      <w:r w:rsidRPr="007E469E">
        <w:rPr>
          <w:rFonts w:ascii="Arial" w:hAnsi="Arial"/>
        </w:rPr>
        <w:t>;</w:t>
      </w:r>
    </w:p>
    <w:p w14:paraId="066008BD" w14:textId="77777777"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14:paraId="2D3BFE06" w14:textId="77777777"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14:paraId="718CEAF8" w14:textId="77777777"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z późn.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14:paraId="461F0E2D" w14:textId="77777777"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14:paraId="306FA559" w14:textId="77777777"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de minimis</w:t>
      </w:r>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de minimis</w:t>
      </w:r>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Europejskiej do pomocy </w:t>
      </w:r>
      <w:r w:rsidR="00FB4547" w:rsidRPr="00D61F73">
        <w:rPr>
          <w:rFonts w:ascii="Arial" w:hAnsi="Arial" w:cs="Arial"/>
          <w:i/>
        </w:rPr>
        <w:t>de minimis</w:t>
      </w:r>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14:paraId="4627085F" w14:textId="77777777"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również pomocy de minimis;</w:t>
      </w:r>
      <w:r w:rsidR="00FB4547">
        <w:rPr>
          <w:rFonts w:ascii="Arial" w:hAnsi="Arial"/>
        </w:rPr>
        <w:t xml:space="preserve"> </w:t>
      </w:r>
    </w:p>
    <w:p w14:paraId="6278F176" w14:textId="77777777"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de minimis</w:t>
      </w:r>
      <w:r w:rsidR="00F155A0" w:rsidRPr="003E791C">
        <w:rPr>
          <w:rFonts w:ascii="Arial" w:hAnsi="Arial"/>
        </w:rPr>
        <w:t>, będącej przedmiotem jego regulacji;</w:t>
      </w:r>
    </w:p>
    <w:p w14:paraId="54D42A9C" w14:textId="77777777"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Prawo budowlane – ustawa z dnia 7 lipca 1994 r. Prawo budowlane (Tekst jedn.: Dz.U. z 2016 r., poz. 290 z późn. zm.)</w:t>
      </w:r>
      <w:r>
        <w:rPr>
          <w:rFonts w:ascii="Arial" w:hAnsi="Arial"/>
        </w:rPr>
        <w:t>;</w:t>
      </w:r>
    </w:p>
    <w:p w14:paraId="6A738E57" w14:textId="77777777"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14:paraId="6E28A07B" w14:textId="77777777"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14:paraId="27A178B5" w14:textId="77777777"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14:paraId="78A0927D"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14:paraId="4320C457"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14:paraId="5B190C0E"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14:paraId="6AF055BE" w14:textId="77777777"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w:t>
      </w:r>
      <w:r w:rsidR="002F22B0">
        <w:rPr>
          <w:rFonts w:ascii="Arial" w:eastAsia="Calibri" w:hAnsi="Arial" w:cs="Arial"/>
        </w:rPr>
        <w:t>y</w:t>
      </w:r>
      <w:r w:rsidR="002F22B0" w:rsidRPr="007E0360">
        <w:rPr>
          <w:rFonts w:ascii="Arial" w:eastAsia="Calibri" w:hAnsi="Arial" w:cs="Arial"/>
        </w:rPr>
        <w:t>łączeniach blokowych/grupowych</w:t>
      </w:r>
      <w:r w:rsidR="000F289A" w:rsidRPr="007E469E">
        <w:rPr>
          <w:rFonts w:ascii="Arial" w:hAnsi="Arial" w:cs="Arial"/>
        </w:rPr>
        <w:t>;</w:t>
      </w:r>
    </w:p>
    <w:p w14:paraId="21164001" w14:textId="77777777"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ozporządzenie Komisji (UE) nr 1407/ 2013 z dnia 18 grudnia 2013 r. w sprawie stosowania art. 107 i 108 Traktatu o funkcjonowaniu Unii Europejskiej do pomocy de minimis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14:paraId="6DA22214" w14:textId="77777777"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rozporządzenie nr 966/2012 – rozporządzenie Parlamentu Europejskiego i Rady (UE, Euratom) nr 966/2012 z dnia 25 października 2012 r. w sprawie zasad finansowych mających zastosowanie do budżetu ogólnego Unii oraz uchylające rozporządzenie Rady (WE, Euratom) nr 1605/2002;</w:t>
      </w:r>
    </w:p>
    <w:p w14:paraId="0002508E"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14:paraId="73D911A7"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z późn.</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14:paraId="69872B1A" w14:textId="77777777"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14:paraId="018D80C1" w14:textId="77777777"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z późn. zm.),</w:t>
      </w:r>
    </w:p>
    <w:p w14:paraId="2C912CB4" w14:textId="77777777"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14:paraId="586CBEE5" w14:textId="77777777"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14:paraId="5EE443CC" w14:textId="77777777"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ustawa Pzp - ustawę z dnia 29 stycznia 2004 r. Prawo zamówień publicznych (</w:t>
      </w:r>
      <w:r w:rsidR="00634F23">
        <w:rPr>
          <w:rFonts w:ascii="Arial" w:hAnsi="Arial" w:cs="Arial"/>
        </w:rPr>
        <w:t xml:space="preserve">t.j.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z późn. zm.</w:t>
      </w:r>
      <w:r w:rsidRPr="007E469E">
        <w:rPr>
          <w:rFonts w:ascii="Arial" w:hAnsi="Arial" w:cs="Arial"/>
        </w:rPr>
        <w:t>);</w:t>
      </w:r>
    </w:p>
    <w:p w14:paraId="7609E124" w14:textId="77777777"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14:paraId="740F21D4" w14:textId="77777777"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14:paraId="0391B6AF" w14:textId="77777777"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14:paraId="081A0403"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14:paraId="69188F8D"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14:paraId="6E47F15B" w14:textId="77777777"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14:paraId="590327CB" w14:textId="77777777"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14:paraId="691A7AC6" w14:textId="77777777"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ws.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14:paraId="37E4EA94" w14:textId="77777777"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Pzp,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14:paraId="6407F1C7" w14:textId="77777777" w:rsidR="00692FB8" w:rsidRDefault="00692FB8">
      <w:pPr>
        <w:rPr>
          <w:rFonts w:ascii="Arial" w:hAnsi="Arial" w:cs="Arial"/>
          <w:i/>
        </w:rPr>
      </w:pPr>
      <w:r>
        <w:rPr>
          <w:rFonts w:ascii="Arial" w:hAnsi="Arial" w:cs="Arial"/>
          <w:i/>
        </w:rPr>
        <w:br w:type="page"/>
      </w:r>
    </w:p>
    <w:p w14:paraId="1FD33A1C" w14:textId="77777777"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10542516"/>
      <w:bookmarkEnd w:id="25"/>
      <w:bookmarkEnd w:id="26"/>
      <w:r w:rsidRPr="007E469E">
        <w:rPr>
          <w:rFonts w:ascii="Arial" w:hAnsi="Arial" w:cs="Arial"/>
          <w:color w:val="auto"/>
          <w:sz w:val="24"/>
          <w:szCs w:val="24"/>
        </w:rPr>
        <w:t xml:space="preserve">Rozdział - Cel, zakres oraz obowiązywanie </w:t>
      </w:r>
      <w:bookmarkEnd w:id="27"/>
      <w:r w:rsidR="00D454D4">
        <w:rPr>
          <w:rFonts w:ascii="Arial" w:hAnsi="Arial" w:cs="Arial"/>
          <w:i/>
          <w:color w:val="auto"/>
          <w:sz w:val="24"/>
          <w:szCs w:val="24"/>
        </w:rPr>
        <w:t>Katalogu</w:t>
      </w:r>
      <w:bookmarkEnd w:id="28"/>
    </w:p>
    <w:p w14:paraId="0568FD59" w14:textId="77777777"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14:paraId="27CBE326" w14:textId="77777777"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14:paraId="53D5FBE6" w14:textId="77777777"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14:paraId="532D9140" w14:textId="77777777"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de minimis</w:t>
      </w:r>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14:paraId="162A3745" w14:textId="77777777"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14:paraId="6C96FE92" w14:textId="77777777"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14:paraId="77B12331" w14:textId="77777777" w:rsidR="00944E2A" w:rsidRDefault="00944E2A">
      <w:pPr>
        <w:rPr>
          <w:rFonts w:ascii="Arial" w:eastAsiaTheme="majorEastAsia" w:hAnsi="Arial" w:cs="Arial"/>
          <w:b/>
          <w:bCs/>
          <w:sz w:val="24"/>
          <w:szCs w:val="24"/>
        </w:rPr>
      </w:pPr>
      <w:r>
        <w:rPr>
          <w:rFonts w:ascii="Arial" w:hAnsi="Arial" w:cs="Arial"/>
          <w:sz w:val="24"/>
          <w:szCs w:val="24"/>
        </w:rPr>
        <w:br w:type="page"/>
      </w:r>
    </w:p>
    <w:p w14:paraId="61A00E41" w14:textId="77777777"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10542517"/>
      <w:r w:rsidRPr="007E469E">
        <w:rPr>
          <w:rFonts w:ascii="Arial" w:hAnsi="Arial" w:cs="Arial"/>
          <w:color w:val="auto"/>
          <w:sz w:val="24"/>
          <w:szCs w:val="24"/>
        </w:rPr>
        <w:t>Rozdział - Wspólne warunki i procedury w zakresie kwalifikowalności wydatków</w:t>
      </w:r>
      <w:bookmarkEnd w:id="32"/>
    </w:p>
    <w:p w14:paraId="544FAC67" w14:textId="77777777"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14:paraId="0F95CEA0" w14:textId="77777777" w:rsidR="0047796B" w:rsidRPr="007E469E" w:rsidRDefault="0047796B" w:rsidP="00903FFD">
      <w:pPr>
        <w:spacing w:before="120" w:after="120" w:line="360" w:lineRule="auto"/>
        <w:jc w:val="both"/>
        <w:rPr>
          <w:rFonts w:ascii="Arial" w:hAnsi="Arial" w:cs="Arial"/>
        </w:rPr>
      </w:pPr>
    </w:p>
    <w:p w14:paraId="0124967D" w14:textId="77777777"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10542518"/>
      <w:r w:rsidRPr="007E469E">
        <w:rPr>
          <w:rFonts w:ascii="Arial" w:hAnsi="Arial" w:cs="Arial"/>
          <w:i/>
          <w:color w:val="auto"/>
          <w:sz w:val="24"/>
          <w:szCs w:val="24"/>
        </w:rPr>
        <w:t>Ocena kwalifikowalności wydatku.</w:t>
      </w:r>
      <w:bookmarkEnd w:id="33"/>
    </w:p>
    <w:p w14:paraId="73ADDC06" w14:textId="77777777"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14:paraId="6FDECF3C" w14:textId="77777777"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14:paraId="51C11C51" w14:textId="77777777"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de minimis</w:t>
      </w:r>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14:paraId="78684270" w14:textId="77777777" w:rsidR="00903FFD" w:rsidRPr="007E469E" w:rsidRDefault="00903FFD" w:rsidP="00903FFD">
      <w:pPr>
        <w:spacing w:after="0" w:line="240" w:lineRule="auto"/>
        <w:rPr>
          <w:rFonts w:ascii="Arial" w:eastAsia="Times New Roman" w:hAnsi="Arial" w:cs="Times New Roman"/>
          <w:bCs/>
          <w:sz w:val="18"/>
          <w:szCs w:val="18"/>
          <w:lang w:eastAsia="pl-PL"/>
        </w:rPr>
      </w:pPr>
    </w:p>
    <w:p w14:paraId="52C9BBEC" w14:textId="77777777"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10542519"/>
      <w:r w:rsidRPr="00B81671">
        <w:rPr>
          <w:rFonts w:ascii="Arial" w:hAnsi="Arial" w:cs="Arial"/>
          <w:i/>
          <w:color w:val="auto"/>
          <w:sz w:val="24"/>
          <w:szCs w:val="24"/>
        </w:rPr>
        <w:t>Zasada faktycznego poniesienia wydatku</w:t>
      </w:r>
      <w:bookmarkEnd w:id="34"/>
    </w:p>
    <w:p w14:paraId="203B22AE" w14:textId="77777777"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14:paraId="17AE2DCD" w14:textId="77777777"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14:paraId="101FDAFB"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14:paraId="312089EE"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14:paraId="48583286" w14:textId="77777777"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14:paraId="7A9707F5" w14:textId="77777777"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z późn.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14:paraId="0F193493" w14:textId="77777777"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14:paraId="55029489" w14:textId="77777777"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14:paraId="5F094141" w14:textId="77777777"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14:paraId="011953A0" w14:textId="77777777"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14:paraId="43A9E203" w14:textId="77777777"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14:paraId="67507278" w14:textId="77777777"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14:paraId="144441AF" w14:textId="77777777"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14:paraId="1998931E" w14:textId="77777777"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14:paraId="0D50B6C0" w14:textId="77777777"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de minimis</w:t>
      </w:r>
      <w:r w:rsidRPr="00285F07">
        <w:rPr>
          <w:rFonts w:ascii="Arial" w:hAnsi="Arial" w:cs="Arial"/>
        </w:rPr>
        <w:t xml:space="preserve">, </w:t>
      </w:r>
    </w:p>
    <w:p w14:paraId="6C7F96D9" w14:textId="77777777"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14:paraId="75CAFE63" w14:textId="77777777"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14:paraId="078E0A0A" w14:textId="77777777"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14:paraId="6F23CEAA" w14:textId="77777777"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14:paraId="4BBC2FF7" w14:textId="77777777"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14:paraId="0D88F944" w14:textId="77777777"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14:paraId="5ACF53B5" w14:textId="77777777"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14:paraId="5ECB34D2" w14:textId="77777777"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14:paraId="34B655F9" w14:textId="77777777"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14:paraId="520D0AB2" w14:textId="77777777"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14:paraId="59603551" w14:textId="77777777"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14:paraId="5AEA386B" w14:textId="77777777"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14:paraId="66835276"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14:paraId="56FF60CB"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14:paraId="1E31231D" w14:textId="77777777"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14:paraId="5E1CE16E"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14:paraId="15012742"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14:paraId="684BD0D6"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r w:rsidR="006B7A31" w:rsidRPr="00B81671">
        <w:rPr>
          <w:rFonts w:ascii="Arial" w:eastAsia="Times New Roman" w:hAnsi="Arial" w:cs="Arial"/>
          <w:lang w:eastAsia="pl-PL"/>
        </w:rPr>
        <w:t>tiret</w:t>
      </w:r>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14:paraId="3F9794FB" w14:textId="77777777"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14:paraId="353B48F6" w14:textId="77777777"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14:paraId="3E6ACECC" w14:textId="77777777"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14:paraId="228C4240" w14:textId="77777777"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z późn.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14:paraId="79D6586E" w14:textId="77777777"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14:paraId="2F0B63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14:paraId="62EA9E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14:paraId="5DC5286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14:paraId="6FACEC7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14:paraId="57F939C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14:paraId="0F2B1E8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14:paraId="043FE017"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14:paraId="2184962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14:paraId="7681B1D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14:paraId="68910E46"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14:paraId="1FDD8D0A"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14:paraId="11788AE8" w14:textId="77777777"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14:paraId="5875AAB1" w14:textId="77777777"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14:paraId="35221BEC"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14:paraId="7895FB7B"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14:paraId="2CDD9A37"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14:paraId="4C7205A0"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4D4E9634"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14:paraId="5AE522E1"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14:paraId="2377F15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14:paraId="4B72B47B"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14:paraId="0A82A1A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14:paraId="5080951A"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14:paraId="6FE4F5F0" w14:textId="77777777"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14:paraId="3DBBDCD1"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14:paraId="6B1315AA"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14:paraId="56330F7F"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wymiar godzinowy, </w:t>
      </w:r>
    </w:p>
    <w:p w14:paraId="7FE654F9" w14:textId="77777777"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14:paraId="4256CC7E"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14:paraId="16EFD751"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14:paraId="0A23F43A" w14:textId="77777777"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14:paraId="205D1895" w14:textId="77777777"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14:paraId="2E84D8D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14:paraId="39802366" w14:textId="77777777"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niż 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14:paraId="03DAD1B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14:paraId="7CACA5F5" w14:textId="77777777"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14:paraId="06679C99" w14:textId="77777777" w:rsidR="00AA40E5" w:rsidRPr="00A555CE" w:rsidRDefault="00AA40E5" w:rsidP="007D733F">
      <w:pPr>
        <w:pStyle w:val="Akapitzlist"/>
        <w:spacing w:after="0" w:line="360" w:lineRule="auto"/>
        <w:ind w:left="360"/>
        <w:jc w:val="both"/>
        <w:rPr>
          <w:rFonts w:ascii="Arial" w:hAnsi="Arial" w:cs="Arial"/>
        </w:rPr>
      </w:pPr>
    </w:p>
    <w:p w14:paraId="4FEF3EF8" w14:textId="77777777"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10542520"/>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14:paraId="284FA270"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14:paraId="12175D3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14:paraId="255F8EC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14:paraId="5DF51792"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14:paraId="1E962D7C"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14:paraId="025BA1AD"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14:paraId="10562319"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14:paraId="538D20DE" w14:textId="77777777"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14:paraId="6832CAA0"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de minimis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ws. pomocy de minimis.</w:t>
      </w:r>
    </w:p>
    <w:p w14:paraId="7F943E21"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14:paraId="7520684E"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14:paraId="774E5CF6"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14:paraId="1451477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w:t>
      </w:r>
    </w:p>
    <w:p w14:paraId="0D2FBB6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14:paraId="7B35656F" w14:textId="77777777"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14:paraId="4A815FAA" w14:textId="77777777"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14:paraId="603FDED6"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14:paraId="0D54AF08" w14:textId="77777777"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przygotowawczych, takich jak uzyskanie stosownych zezwoleń, czy przeprowadzenie studiów wykonalności, co do zasady, nie uważa się za rozpoczęcie prac.</w:t>
      </w:r>
    </w:p>
    <w:p w14:paraId="04CB7FFB"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14:paraId="0DF96AE5"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14:paraId="34869B33"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14:paraId="2AFCBC5C"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14:paraId="3CD2DE2E"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14:paraId="00A24C81"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14:paraId="6D5D9068"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14:paraId="3979D1AE"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14:paraId="116DD4CF"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14:paraId="3D89BF73"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14:paraId="688265B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minimis)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14:paraId="6D85B7A8" w14:textId="77777777"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pomocy de minimis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14:paraId="3DE3AA7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14:paraId="621013AA"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14:paraId="1DCF3894" w14:textId="77777777"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14:paraId="31BA34BF" w14:textId="77777777" w:rsidR="00E639F6" w:rsidRPr="00E639F6" w:rsidRDefault="00E639F6" w:rsidP="00E639F6">
      <w:pPr>
        <w:pStyle w:val="Akapitzlist"/>
        <w:spacing w:before="120" w:after="120" w:line="360" w:lineRule="auto"/>
        <w:ind w:left="360"/>
        <w:jc w:val="both"/>
        <w:rPr>
          <w:rFonts w:ascii="Arial" w:hAnsi="Arial" w:cs="Arial"/>
        </w:rPr>
      </w:pPr>
    </w:p>
    <w:p w14:paraId="4F8658F4" w14:textId="77777777"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10542521"/>
      <w:bookmarkStart w:id="46" w:name="_Toc406509583"/>
      <w:bookmarkEnd w:id="37"/>
      <w:bookmarkEnd w:id="38"/>
      <w:bookmarkEnd w:id="39"/>
      <w:bookmarkEnd w:id="40"/>
      <w:bookmarkEnd w:id="41"/>
      <w:bookmarkEnd w:id="42"/>
      <w:r>
        <w:rPr>
          <w:rFonts w:ascii="Arial" w:hAnsi="Arial" w:cs="Arial"/>
          <w:i/>
          <w:color w:val="000000" w:themeColor="text1"/>
          <w:sz w:val="24"/>
          <w:szCs w:val="24"/>
        </w:rPr>
        <w:t>Zamówienia udzielane w projektach</w:t>
      </w:r>
      <w:bookmarkEnd w:id="43"/>
      <w:bookmarkEnd w:id="44"/>
      <w:bookmarkEnd w:id="45"/>
    </w:p>
    <w:p w14:paraId="700F731C" w14:textId="77777777"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14:paraId="1BBFFDA6" w14:textId="77777777"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14:paraId="2F72822D"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14:paraId="56F8CD04"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14:paraId="21DDF609" w14:textId="77777777"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Pzp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14:paraId="5B347A1B" w14:textId="77777777"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14:paraId="073D388D" w14:textId="77777777"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14:paraId="52AF2B6C" w14:textId="77777777"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10542522"/>
      <w:bookmarkEnd w:id="36"/>
      <w:bookmarkEnd w:id="46"/>
      <w:bookmarkEnd w:id="47"/>
      <w:r w:rsidRPr="00C60541">
        <w:rPr>
          <w:rFonts w:ascii="Arial" w:hAnsi="Arial" w:cs="Arial"/>
          <w:i/>
          <w:color w:val="auto"/>
          <w:sz w:val="24"/>
          <w:szCs w:val="24"/>
        </w:rPr>
        <w:t>Leasing</w:t>
      </w:r>
      <w:bookmarkEnd w:id="48"/>
    </w:p>
    <w:p w14:paraId="2521C2E6" w14:textId="77777777"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14:paraId="1B3EC447" w14:textId="77777777"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14:paraId="51FC9FA6" w14:textId="77777777"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14:paraId="6385848F" w14:textId="77777777" w:rsidR="006F58D2" w:rsidRPr="00B81671" w:rsidRDefault="006F58D2" w:rsidP="00C0534E">
      <w:pPr>
        <w:ind w:left="426"/>
        <w:jc w:val="both"/>
        <w:rPr>
          <w:rFonts w:ascii="Arial" w:hAnsi="Arial" w:cs="Arial"/>
        </w:rPr>
      </w:pPr>
      <w:r w:rsidRPr="00B81671">
        <w:rPr>
          <w:rFonts w:ascii="Arial" w:hAnsi="Arial" w:cs="Arial"/>
        </w:rPr>
        <w:t>b) marżę finansującego,</w:t>
      </w:r>
    </w:p>
    <w:p w14:paraId="143B5950" w14:textId="77777777"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14:paraId="43DE131A" w14:textId="77777777"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14:paraId="398F9966" w14:textId="77777777" w:rsidR="006F58D2" w:rsidRDefault="006F58D2" w:rsidP="00C0534E">
      <w:pPr>
        <w:ind w:left="426"/>
        <w:jc w:val="both"/>
        <w:rPr>
          <w:rFonts w:ascii="Arial" w:hAnsi="Arial" w:cs="Arial"/>
        </w:rPr>
      </w:pPr>
      <w:r w:rsidRPr="00B81671">
        <w:rPr>
          <w:rFonts w:ascii="Arial" w:hAnsi="Arial" w:cs="Arial"/>
        </w:rPr>
        <w:t>e) opłaty ubezpieczeniowe.</w:t>
      </w:r>
    </w:p>
    <w:p w14:paraId="54FCA66F" w14:textId="77777777" w:rsidR="00964FDE" w:rsidRDefault="00964FDE" w:rsidP="00C0534E">
      <w:pPr>
        <w:ind w:left="426"/>
        <w:jc w:val="both"/>
        <w:rPr>
          <w:rFonts w:ascii="Arial" w:hAnsi="Arial" w:cs="Arial"/>
        </w:rPr>
      </w:pPr>
    </w:p>
    <w:p w14:paraId="7B89DBFE" w14:textId="77777777"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10542523"/>
      <w:r w:rsidRPr="00554E0C">
        <w:rPr>
          <w:rFonts w:ascii="Arial" w:hAnsi="Arial" w:cs="Arial"/>
          <w:i/>
          <w:color w:val="auto"/>
          <w:sz w:val="24"/>
          <w:szCs w:val="24"/>
        </w:rPr>
        <w:t>Projekty generujące dochód po zakończeniu realizacji projektów</w:t>
      </w:r>
      <w:bookmarkEnd w:id="49"/>
    </w:p>
    <w:p w14:paraId="72C9A026" w14:textId="77777777"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14:paraId="3C11BBD4" w14:textId="77777777"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14:paraId="0F5F8EC2" w14:textId="77777777"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14:paraId="5FF45AAD" w14:textId="77777777"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10542524"/>
      <w:bookmarkEnd w:id="50"/>
      <w:bookmarkEnd w:id="51"/>
      <w:r w:rsidRPr="007E469E">
        <w:rPr>
          <w:rFonts w:ascii="Arial" w:hAnsi="Arial" w:cs="Arial"/>
          <w:i/>
          <w:color w:val="auto"/>
          <w:sz w:val="24"/>
          <w:szCs w:val="24"/>
        </w:rPr>
        <w:t>Kwalifikowalność podatku VAT i innych podatków, opłat i obciążeń</w:t>
      </w:r>
      <w:bookmarkEnd w:id="52"/>
    </w:p>
    <w:p w14:paraId="3C479383" w14:textId="77777777"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14:paraId="20F2DB50" w14:textId="77777777"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14:paraId="1FD453EC" w14:textId="77777777" w:rsidR="00903FFD" w:rsidRPr="0090047B" w:rsidRDefault="00903FFD" w:rsidP="00A01186">
      <w:pPr>
        <w:spacing w:after="0" w:line="360" w:lineRule="auto"/>
        <w:jc w:val="both"/>
        <w:rPr>
          <w:rFonts w:ascii="Arial" w:hAnsi="Arial" w:cs="Arial"/>
        </w:rPr>
      </w:pPr>
    </w:p>
    <w:p w14:paraId="2FA43FA1" w14:textId="77777777"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105425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14:paraId="4B29D47C" w14:textId="77777777"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14:paraId="1EC98073" w14:textId="77777777"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14:paraId="335188BB" w14:textId="77777777"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14:paraId="59F73650" w14:textId="77777777"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14:paraId="7BEB86BB"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14:paraId="159CB4D0"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14:paraId="37D15339"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14:paraId="74728C5E" w14:textId="77777777"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14:paraId="697FEA1B" w14:textId="77777777" w:rsidR="00903FFD" w:rsidRPr="007E469E" w:rsidRDefault="00903FFD" w:rsidP="0069794E">
      <w:pPr>
        <w:pStyle w:val="Akapit"/>
        <w:keepNext w:val="0"/>
        <w:numPr>
          <w:ilvl w:val="0"/>
          <w:numId w:val="0"/>
        </w:numPr>
        <w:spacing w:before="120" w:after="120"/>
        <w:outlineLvl w:val="5"/>
        <w:rPr>
          <w:rFonts w:cs="Arial"/>
          <w:szCs w:val="22"/>
        </w:rPr>
      </w:pPr>
    </w:p>
    <w:p w14:paraId="6B4506AA"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10542526"/>
      <w:r w:rsidRPr="00B81671">
        <w:rPr>
          <w:rFonts w:ascii="Arial" w:hAnsi="Arial" w:cs="Arial"/>
          <w:i/>
          <w:color w:val="auto"/>
          <w:sz w:val="24"/>
          <w:szCs w:val="24"/>
        </w:rPr>
        <w:t>Podmiot dokonujący wydatków kwalifikowalnych</w:t>
      </w:r>
      <w:bookmarkEnd w:id="77"/>
    </w:p>
    <w:p w14:paraId="521DA76F" w14:textId="77777777"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14:paraId="56AD3AF1" w14:textId="77777777"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14:paraId="4EBB25C9" w14:textId="77777777"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14:paraId="7CA581FB" w14:textId="77777777"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14:paraId="747884F3" w14:textId="77777777"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14:paraId="4E914767" w14:textId="77777777"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14:paraId="366D0E43" w14:textId="77777777"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14:paraId="10C903FF"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14:paraId="0AAB1772"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14:paraId="60AF20AB"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14:paraId="39851910"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14:paraId="421F4597"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14:paraId="44BD9656" w14:textId="77777777"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14:paraId="383D2AF9"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10542527"/>
      <w:r w:rsidRPr="00B81671">
        <w:rPr>
          <w:rFonts w:ascii="Arial" w:hAnsi="Arial" w:cs="Arial"/>
          <w:i/>
          <w:color w:val="auto"/>
          <w:sz w:val="24"/>
          <w:szCs w:val="24"/>
        </w:rPr>
        <w:t>Podmiot na rzecz którego ponoszone są wydatki kwalifikowalne</w:t>
      </w:r>
      <w:bookmarkEnd w:id="78"/>
    </w:p>
    <w:p w14:paraId="1DA6621C"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14:paraId="130E82DF"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14:paraId="2EBF6F6B"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Pzp, za kwalifikowalne mogą zostać uznane wydatki poniesione na rzecz podmiotu innego niż wskazany w punkcie 1. Zgodnie z art. 143c ust. 1 ustawy Pzp,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14:paraId="01221D83" w14:textId="77777777"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14:paraId="14D2E290" w14:textId="77777777"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14:paraId="794A7C16" w14:textId="77777777"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14:paraId="3987522A"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14:paraId="1767E25D"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14:paraId="0763B9BE"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14:paraId="17D96B18" w14:textId="77777777"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14:paraId="0AEE2C9F" w14:textId="77777777" w:rsidR="00FF2954" w:rsidRPr="007E469E" w:rsidRDefault="00FF2954" w:rsidP="00FF2954">
      <w:pPr>
        <w:spacing w:before="120" w:after="120" w:line="360" w:lineRule="auto"/>
        <w:ind w:left="360"/>
        <w:jc w:val="both"/>
        <w:rPr>
          <w:rFonts w:ascii="Arial" w:eastAsia="Times New Roman" w:hAnsi="Arial" w:cs="Arial"/>
          <w:lang w:eastAsia="pl-PL"/>
        </w:rPr>
      </w:pPr>
    </w:p>
    <w:p w14:paraId="6E328C60" w14:textId="77777777" w:rsidR="005A373A" w:rsidRDefault="005A373A">
      <w:pPr>
        <w:rPr>
          <w:rFonts w:ascii="Arial" w:eastAsia="Times New Roman" w:hAnsi="Arial" w:cs="Arial"/>
          <w:lang w:eastAsia="pl-PL"/>
        </w:rPr>
      </w:pPr>
      <w:r>
        <w:rPr>
          <w:rFonts w:ascii="Arial" w:eastAsia="Times New Roman" w:hAnsi="Arial" w:cs="Arial"/>
          <w:lang w:eastAsia="pl-PL"/>
        </w:rPr>
        <w:br w:type="page"/>
      </w:r>
    </w:p>
    <w:p w14:paraId="24403D0E" w14:textId="77777777"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10542528"/>
      <w:bookmarkEnd w:id="79"/>
      <w:r w:rsidRPr="007E469E">
        <w:rPr>
          <w:rFonts w:ascii="Arial" w:hAnsi="Arial" w:cs="Arial"/>
          <w:color w:val="auto"/>
          <w:sz w:val="24"/>
          <w:szCs w:val="24"/>
        </w:rPr>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14:paraId="4F73176E"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14:paraId="0D56AC88"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14:paraId="5125A184" w14:textId="77777777"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14:paraId="2BB22311" w14:textId="77777777"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6BF7FC0B" w14:textId="77777777"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14:paraId="238D2D08"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14:paraId="7A054945"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14:paraId="37D8D334" w14:textId="77777777"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14:paraId="142B448A" w14:textId="77777777"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Pzp,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14:paraId="5AF12305" w14:textId="77777777"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14:paraId="6FD95C31" w14:textId="77777777" w:rsid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14:paraId="00B2BACB" w14:textId="77777777" w:rsidR="00796060" w:rsidRDefault="00F55210"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 xml:space="preserve">Katalog wydatków kwalifikowalnych dla projektów realizowanych w działaniu 2.1 w ramach „uproszczonej procedury” </w:t>
      </w:r>
      <w:r w:rsidR="00985C06">
        <w:rPr>
          <w:rFonts w:ascii="Arial" w:eastAsia="MS Mincho" w:hAnsi="Arial" w:cs="Arial"/>
          <w:lang w:eastAsia="ja-JP"/>
        </w:rPr>
        <w:t xml:space="preserve">znajduje się w sekcji </w:t>
      </w:r>
      <w:r w:rsidR="000E40B6">
        <w:rPr>
          <w:rFonts w:ascii="Arial" w:eastAsia="MS Mincho" w:hAnsi="Arial" w:cs="Arial"/>
          <w:lang w:eastAsia="ja-JP"/>
        </w:rPr>
        <w:t xml:space="preserve">4.1.4 niniejszego </w:t>
      </w:r>
      <w:r w:rsidR="000E40B6" w:rsidRPr="000E40B6">
        <w:rPr>
          <w:rFonts w:ascii="Arial" w:eastAsia="MS Mincho" w:hAnsi="Arial" w:cs="Arial"/>
          <w:i/>
          <w:lang w:eastAsia="ja-JP"/>
        </w:rPr>
        <w:t>Katalogu</w:t>
      </w:r>
      <w:r w:rsidR="000E40B6">
        <w:rPr>
          <w:rFonts w:ascii="Arial" w:eastAsia="MS Mincho" w:hAnsi="Arial" w:cs="Arial"/>
          <w:lang w:eastAsia="ja-JP"/>
        </w:rPr>
        <w:t>.</w:t>
      </w:r>
      <w:r w:rsidR="00985C06">
        <w:rPr>
          <w:rFonts w:ascii="Arial" w:eastAsia="MS Mincho" w:hAnsi="Arial" w:cs="Arial"/>
          <w:lang w:eastAsia="ja-JP"/>
        </w:rPr>
        <w:t xml:space="preserve"> </w:t>
      </w:r>
    </w:p>
    <w:p w14:paraId="34D47C78" w14:textId="211601DD" w:rsidR="007B47A8" w:rsidRPr="00ED1E1F" w:rsidRDefault="007B47A8"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Katalog wydatków kwalifikowalnych dla projektów realizowanych w działaniu 2.4  „</w:t>
      </w:r>
      <w:r w:rsidRPr="00A805FF">
        <w:rPr>
          <w:rFonts w:ascii="Arial" w:eastAsia="MS Mincho" w:hAnsi="Arial" w:cs="Arial"/>
          <w:lang w:eastAsia="ja-JP"/>
        </w:rPr>
        <w:t>Tworzenie usług i aplikacji wykorzystujących e-usługi publiczne i informacje sektora publicznego</w:t>
      </w:r>
      <w:r>
        <w:rPr>
          <w:rFonts w:ascii="Arial" w:eastAsia="MS Mincho" w:hAnsi="Arial" w:cs="Arial"/>
          <w:lang w:eastAsia="ja-JP"/>
        </w:rPr>
        <w:t xml:space="preserve">” znajduje się w </w:t>
      </w:r>
      <w:r w:rsidR="00B052AB">
        <w:rPr>
          <w:rFonts w:ascii="Arial" w:eastAsia="MS Mincho" w:hAnsi="Arial" w:cs="Arial"/>
          <w:lang w:eastAsia="ja-JP"/>
        </w:rPr>
        <w:t xml:space="preserve">podrozdziale </w:t>
      </w:r>
      <w:r>
        <w:rPr>
          <w:rFonts w:ascii="Arial" w:eastAsia="MS Mincho" w:hAnsi="Arial" w:cs="Arial"/>
          <w:lang w:eastAsia="ja-JP"/>
        </w:rPr>
        <w:t>4.</w:t>
      </w:r>
      <w:r w:rsidR="00B052AB">
        <w:rPr>
          <w:rFonts w:ascii="Arial" w:eastAsia="MS Mincho" w:hAnsi="Arial" w:cs="Arial"/>
          <w:lang w:eastAsia="ja-JP"/>
        </w:rPr>
        <w:t>4</w:t>
      </w:r>
      <w:r>
        <w:rPr>
          <w:rFonts w:ascii="Arial" w:eastAsia="MS Mincho" w:hAnsi="Arial" w:cs="Arial"/>
          <w:lang w:eastAsia="ja-JP"/>
        </w:rPr>
        <w:t xml:space="preserve"> niniejszego </w:t>
      </w:r>
      <w:r w:rsidRPr="00A805FF">
        <w:rPr>
          <w:rFonts w:ascii="Arial" w:eastAsia="MS Mincho" w:hAnsi="Arial" w:cs="Arial"/>
          <w:i/>
          <w:lang w:eastAsia="ja-JP"/>
        </w:rPr>
        <w:t>Katalogu</w:t>
      </w:r>
      <w:r>
        <w:rPr>
          <w:rFonts w:ascii="Arial" w:eastAsia="MS Mincho" w:hAnsi="Arial" w:cs="Arial"/>
          <w:lang w:eastAsia="ja-JP"/>
        </w:rPr>
        <w:t>.</w:t>
      </w:r>
    </w:p>
    <w:p w14:paraId="63B49BF1" w14:textId="77777777"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14:paraId="222F3268" w14:textId="77777777"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4E1C" w14:textId="77777777" w:rsidR="00903FFD" w:rsidRPr="007E469E" w:rsidRDefault="00903FFD" w:rsidP="00792F8A">
            <w:pPr>
              <w:jc w:val="center"/>
              <w:rPr>
                <w:rFonts w:ascii="Arial" w:hAnsi="Arial" w:cs="Arial"/>
                <w:b/>
              </w:rPr>
            </w:pPr>
          </w:p>
          <w:p w14:paraId="05F45A26" w14:textId="77777777" w:rsidR="00903FFD" w:rsidRPr="007E469E" w:rsidRDefault="00903FFD" w:rsidP="00792F8A">
            <w:pPr>
              <w:jc w:val="center"/>
              <w:rPr>
                <w:rFonts w:ascii="Arial" w:hAnsi="Arial" w:cs="Arial"/>
                <w:b/>
              </w:rPr>
            </w:pPr>
            <w:r w:rsidRPr="007E469E">
              <w:rPr>
                <w:rFonts w:ascii="Arial" w:hAnsi="Arial" w:cs="Arial"/>
                <w:b/>
              </w:rPr>
              <w:t>Kategoria</w:t>
            </w:r>
          </w:p>
          <w:p w14:paraId="0A330C58" w14:textId="77777777"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49B5" w14:textId="77777777" w:rsidR="00903FFD" w:rsidRPr="007E469E" w:rsidRDefault="00903FFD" w:rsidP="00792F8A">
            <w:pPr>
              <w:jc w:val="center"/>
              <w:rPr>
                <w:rFonts w:ascii="Arial" w:hAnsi="Arial" w:cs="Arial"/>
                <w:b/>
              </w:rPr>
            </w:pPr>
          </w:p>
          <w:p w14:paraId="72B1985E" w14:textId="77777777"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14:paraId="50DA0B82" w14:textId="77777777" w:rsidTr="00792F8A">
        <w:tc>
          <w:tcPr>
            <w:tcW w:w="4498" w:type="dxa"/>
            <w:vMerge w:val="restart"/>
            <w:tcBorders>
              <w:top w:val="single" w:sz="4" w:space="0" w:color="auto"/>
              <w:left w:val="single" w:sz="4" w:space="0" w:color="auto"/>
              <w:right w:val="single" w:sz="4" w:space="0" w:color="auto"/>
            </w:tcBorders>
            <w:vAlign w:val="center"/>
          </w:tcPr>
          <w:p w14:paraId="07AD74C2" w14:textId="77777777"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14:paraId="2464FA10"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14:paraId="1A6D5B3D" w14:textId="77777777" w:rsidTr="00090C88">
        <w:tc>
          <w:tcPr>
            <w:tcW w:w="4498" w:type="dxa"/>
            <w:vMerge/>
            <w:tcBorders>
              <w:left w:val="single" w:sz="4" w:space="0" w:color="auto"/>
              <w:right w:val="single" w:sz="4" w:space="0" w:color="auto"/>
            </w:tcBorders>
            <w:vAlign w:val="center"/>
          </w:tcPr>
          <w:p w14:paraId="57F84FF2"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6C1FC8F5"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14:paraId="6F20B8D1" w14:textId="77777777" w:rsidTr="00792F8A">
        <w:tc>
          <w:tcPr>
            <w:tcW w:w="4498" w:type="dxa"/>
            <w:vMerge/>
            <w:tcBorders>
              <w:left w:val="single" w:sz="4" w:space="0" w:color="auto"/>
              <w:bottom w:val="single" w:sz="4" w:space="0" w:color="auto"/>
              <w:right w:val="single" w:sz="4" w:space="0" w:color="auto"/>
            </w:tcBorders>
            <w:vAlign w:val="center"/>
          </w:tcPr>
          <w:p w14:paraId="7051ECED"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11FB4207" w14:textId="77777777"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14:paraId="6C848231" w14:textId="77777777" w:rsidTr="00792F8A">
        <w:tc>
          <w:tcPr>
            <w:tcW w:w="4498" w:type="dxa"/>
            <w:vMerge w:val="restart"/>
            <w:tcBorders>
              <w:top w:val="single" w:sz="4" w:space="0" w:color="auto"/>
              <w:left w:val="single" w:sz="4" w:space="0" w:color="auto"/>
              <w:right w:val="single" w:sz="4" w:space="0" w:color="auto"/>
            </w:tcBorders>
            <w:vAlign w:val="center"/>
          </w:tcPr>
          <w:p w14:paraId="555F258E"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14:paraId="3E30ADB3"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14:paraId="19BACEE0" w14:textId="77777777" w:rsidTr="00792F8A">
        <w:tc>
          <w:tcPr>
            <w:tcW w:w="4498" w:type="dxa"/>
            <w:vMerge/>
            <w:tcBorders>
              <w:left w:val="single" w:sz="4" w:space="0" w:color="auto"/>
              <w:right w:val="single" w:sz="4" w:space="0" w:color="auto"/>
            </w:tcBorders>
            <w:vAlign w:val="center"/>
          </w:tcPr>
          <w:p w14:paraId="32838DA9"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7BDE499C"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14:paraId="5D868AB9" w14:textId="77777777" w:rsidTr="00F46CF9">
        <w:tc>
          <w:tcPr>
            <w:tcW w:w="4498" w:type="dxa"/>
            <w:vMerge/>
            <w:tcBorders>
              <w:left w:val="single" w:sz="4" w:space="0" w:color="auto"/>
              <w:right w:val="single" w:sz="4" w:space="0" w:color="auto"/>
            </w:tcBorders>
            <w:vAlign w:val="center"/>
          </w:tcPr>
          <w:p w14:paraId="2E9F1BC0"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28F86D51"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14:paraId="5D570BB3" w14:textId="77777777" w:rsidTr="00792F8A">
        <w:tc>
          <w:tcPr>
            <w:tcW w:w="4498" w:type="dxa"/>
            <w:vMerge/>
            <w:tcBorders>
              <w:left w:val="single" w:sz="4" w:space="0" w:color="auto"/>
              <w:bottom w:val="single" w:sz="4" w:space="0" w:color="auto"/>
              <w:right w:val="single" w:sz="4" w:space="0" w:color="auto"/>
            </w:tcBorders>
            <w:vAlign w:val="center"/>
          </w:tcPr>
          <w:p w14:paraId="0D84D44B"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3BD1091A" w14:textId="77777777"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14:paraId="5EE75D19" w14:textId="77777777" w:rsidTr="00792F8A">
        <w:tc>
          <w:tcPr>
            <w:tcW w:w="4498" w:type="dxa"/>
            <w:tcBorders>
              <w:left w:val="single" w:sz="4" w:space="0" w:color="auto"/>
              <w:bottom w:val="single" w:sz="4" w:space="0" w:color="auto"/>
              <w:right w:val="single" w:sz="4" w:space="0" w:color="auto"/>
            </w:tcBorders>
            <w:vAlign w:val="center"/>
          </w:tcPr>
          <w:p w14:paraId="6F68C963" w14:textId="77777777"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14:paraId="2202C25E" w14:textId="77777777" w:rsidR="00EB34E0" w:rsidRDefault="00EB34E0" w:rsidP="008E66D4">
            <w:pPr>
              <w:spacing w:before="120" w:after="120" w:line="240" w:lineRule="exact"/>
              <w:jc w:val="both"/>
              <w:rPr>
                <w:rFonts w:ascii="Arial" w:hAnsi="Arial" w:cs="Arial"/>
              </w:rPr>
            </w:pPr>
          </w:p>
        </w:tc>
      </w:tr>
      <w:tr w:rsidR="00352001" w:rsidRPr="007E469E" w14:paraId="7BC112BD" w14:textId="77777777" w:rsidTr="00973929">
        <w:trPr>
          <w:trHeight w:val="825"/>
        </w:trPr>
        <w:tc>
          <w:tcPr>
            <w:tcW w:w="4498" w:type="dxa"/>
            <w:tcBorders>
              <w:top w:val="single" w:sz="4" w:space="0" w:color="auto"/>
              <w:left w:val="single" w:sz="4" w:space="0" w:color="auto"/>
              <w:right w:val="single" w:sz="4" w:space="0" w:color="auto"/>
            </w:tcBorders>
            <w:vAlign w:val="center"/>
          </w:tcPr>
          <w:p w14:paraId="6CEB76D3" w14:textId="77777777"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14:paraId="203A6854" w14:textId="77777777" w:rsidR="00352001" w:rsidRPr="007E469E" w:rsidRDefault="00352001" w:rsidP="00973929">
            <w:pPr>
              <w:spacing w:before="120" w:after="120" w:line="240" w:lineRule="exact"/>
              <w:jc w:val="both"/>
              <w:rPr>
                <w:rFonts w:ascii="Arial" w:hAnsi="Arial" w:cs="Arial"/>
              </w:rPr>
            </w:pPr>
          </w:p>
        </w:tc>
      </w:tr>
      <w:tr w:rsidR="00EB34E0" w:rsidRPr="007E469E" w14:paraId="74562796" w14:textId="77777777" w:rsidTr="00F46CF9">
        <w:tc>
          <w:tcPr>
            <w:tcW w:w="4498" w:type="dxa"/>
            <w:vMerge w:val="restart"/>
            <w:tcBorders>
              <w:top w:val="single" w:sz="4" w:space="0" w:color="auto"/>
              <w:left w:val="single" w:sz="4" w:space="0" w:color="auto"/>
              <w:right w:val="single" w:sz="4" w:space="0" w:color="auto"/>
            </w:tcBorders>
            <w:vAlign w:val="center"/>
          </w:tcPr>
          <w:p w14:paraId="38F8CDA7"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14:paraId="3BF65636"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14:paraId="30148B77" w14:textId="77777777" w:rsidTr="00F46CF9">
        <w:tc>
          <w:tcPr>
            <w:tcW w:w="4498" w:type="dxa"/>
            <w:vMerge/>
            <w:tcBorders>
              <w:left w:val="single" w:sz="4" w:space="0" w:color="auto"/>
              <w:bottom w:val="single" w:sz="4" w:space="0" w:color="auto"/>
              <w:right w:val="single" w:sz="4" w:space="0" w:color="auto"/>
            </w:tcBorders>
            <w:vAlign w:val="center"/>
          </w:tcPr>
          <w:p w14:paraId="28399AC2"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44F2C24B"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14:paraId="7DB3C1D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1F37345E"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14:paraId="23E0AF59" w14:textId="77777777" w:rsidR="00903FFD" w:rsidRPr="007E469E" w:rsidRDefault="00903FFD" w:rsidP="00792F8A">
            <w:pPr>
              <w:spacing w:before="120" w:after="120" w:line="240" w:lineRule="exact"/>
              <w:jc w:val="both"/>
              <w:rPr>
                <w:rFonts w:ascii="Arial" w:hAnsi="Arial" w:cs="Arial"/>
              </w:rPr>
            </w:pPr>
          </w:p>
        </w:tc>
      </w:tr>
      <w:tr w:rsidR="00903FFD" w:rsidRPr="007E469E" w14:paraId="6D10C7E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41F82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14:paraId="77F0D463" w14:textId="77777777" w:rsidR="00903FFD" w:rsidRPr="007E469E" w:rsidRDefault="00903FFD" w:rsidP="00792F8A">
            <w:pPr>
              <w:spacing w:before="120" w:after="120" w:line="240" w:lineRule="exact"/>
              <w:jc w:val="both"/>
              <w:rPr>
                <w:rFonts w:ascii="Arial" w:hAnsi="Arial" w:cs="Arial"/>
              </w:rPr>
            </w:pPr>
          </w:p>
        </w:tc>
      </w:tr>
      <w:tr w:rsidR="00903FFD" w:rsidRPr="007E469E" w14:paraId="40F0EEBA"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D114ED"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14:paraId="6B1C8A42" w14:textId="77777777" w:rsidR="00903FFD" w:rsidRPr="007E469E" w:rsidRDefault="00903FFD" w:rsidP="00792F8A">
            <w:pPr>
              <w:spacing w:before="120" w:after="120" w:line="240" w:lineRule="exact"/>
              <w:jc w:val="both"/>
              <w:rPr>
                <w:rFonts w:ascii="Arial" w:hAnsi="Arial" w:cs="Arial"/>
              </w:rPr>
            </w:pPr>
          </w:p>
        </w:tc>
      </w:tr>
      <w:tr w:rsidR="00903FFD" w:rsidRPr="007E469E" w14:paraId="7BDF0EF6"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6032D02" w14:textId="77777777"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14:paraId="72E2A4F4" w14:textId="77777777" w:rsidR="00903FFD" w:rsidRPr="007E469E" w:rsidRDefault="00903FFD" w:rsidP="00792F8A">
            <w:pPr>
              <w:spacing w:before="120" w:after="120" w:line="240" w:lineRule="exact"/>
              <w:jc w:val="both"/>
              <w:rPr>
                <w:rFonts w:ascii="Arial" w:hAnsi="Arial" w:cs="Arial"/>
              </w:rPr>
            </w:pPr>
          </w:p>
        </w:tc>
      </w:tr>
      <w:tr w:rsidR="00903FFD" w:rsidRPr="007E469E" w14:paraId="3F97825F"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4DE9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14:paraId="43160A57" w14:textId="77777777" w:rsidR="00903FFD" w:rsidRPr="007E469E" w:rsidRDefault="00903FFD" w:rsidP="00792F8A">
            <w:pPr>
              <w:spacing w:before="120" w:after="120" w:line="240" w:lineRule="exact"/>
              <w:jc w:val="both"/>
              <w:rPr>
                <w:rFonts w:ascii="Arial" w:hAnsi="Arial" w:cs="Arial"/>
              </w:rPr>
            </w:pPr>
          </w:p>
        </w:tc>
      </w:tr>
    </w:tbl>
    <w:p w14:paraId="32715D64" w14:textId="77777777"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10542529"/>
      <w:r w:rsidRPr="007E469E">
        <w:rPr>
          <w:rFonts w:ascii="Arial" w:hAnsi="Arial" w:cs="Arial"/>
          <w:i/>
          <w:color w:val="auto"/>
          <w:sz w:val="24"/>
          <w:szCs w:val="24"/>
        </w:rPr>
        <w:t>Wydatki kwalifikowalne</w:t>
      </w:r>
      <w:bookmarkEnd w:id="81"/>
    </w:p>
    <w:p w14:paraId="421887DD" w14:textId="77777777"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10542530"/>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14:paraId="42210E83" w14:textId="77777777"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14:paraId="0936A0A5" w14:textId="77777777"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14:paraId="0FBD8062" w14:textId="77777777"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14:paraId="73F2EA0B"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14:paraId="49099BE9" w14:textId="77777777"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14:paraId="10AF137D"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14:paraId="278B4DB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14:paraId="2631653C" w14:textId="77777777"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14:paraId="50057D05"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14:paraId="7D9A1AEE"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14:paraId="1C080ECE" w14:textId="77777777"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14:paraId="7C2CAF80" w14:textId="77777777"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14:paraId="5955CA51" w14:textId="77777777"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14:paraId="4B3F7957"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14:paraId="5D1ED85E"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14:paraId="035F7F38"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wydatki na urządzenia sieciowe i osprzęt sieciowy pozwalający na przyłączenie do szerokopasmowego inte</w:t>
      </w:r>
      <w:r w:rsidR="002C6384">
        <w:rPr>
          <w:color w:val="auto"/>
          <w:sz w:val="22"/>
          <w:szCs w:val="22"/>
        </w:rPr>
        <w:t>r</w:t>
      </w:r>
      <w:r>
        <w:rPr>
          <w:color w:val="auto"/>
          <w:sz w:val="22"/>
          <w:szCs w:val="22"/>
        </w:rPr>
        <w:t xml:space="preserve">netu, </w:t>
      </w:r>
    </w:p>
    <w:p w14:paraId="01A03E7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14:paraId="7B8A359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14:paraId="00380A6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14:paraId="00F3D72E" w14:textId="77777777"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14:paraId="2592B750" w14:textId="77777777"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14:paraId="088F3160" w14:textId="77777777"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14:paraId="7865D63C"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14:paraId="75D8BBFF" w14:textId="77777777"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14:paraId="16B11DC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14:paraId="23CF08D2"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14:paraId="5892315C"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14:paraId="7B7C84CA"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(maintenance) sprzętu do digitalizacji</w:t>
      </w:r>
      <w:r w:rsidR="008B6AB6">
        <w:rPr>
          <w:color w:val="auto"/>
          <w:sz w:val="22"/>
          <w:szCs w:val="22"/>
        </w:rPr>
        <w:t>,</w:t>
      </w:r>
    </w:p>
    <w:p w14:paraId="72FF2893"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14:paraId="41C47E85"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14:paraId="2A369C8B"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14:paraId="0C204D6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14:paraId="4E451D4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14:paraId="4C816950"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14:paraId="1BB1FC34"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14:paraId="16251E13"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14:paraId="28FF87C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14:paraId="6E09DFEC"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14:paraId="0BE044C4"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14:paraId="35BAD990"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14:paraId="5C39324B"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14:paraId="194B3DF1" w14:textId="77777777"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14:paraId="76940018"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14:paraId="26D485BE" w14:textId="77777777"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(maintenance) oprogramowania,</w:t>
      </w:r>
    </w:p>
    <w:p w14:paraId="421B8897" w14:textId="77777777"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(maintenance) sprzętu informatycznego (konserwacja),</w:t>
      </w:r>
    </w:p>
    <w:p w14:paraId="3553D608" w14:textId="77777777"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14:paraId="6C46CE31" w14:textId="77777777"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14:paraId="73610D1B"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14:paraId="6D40C6CF"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14:paraId="6917D2BB" w14:textId="77777777"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14:paraId="51FC408D" w14:textId="77777777"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14:paraId="55453B49"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14:paraId="5C00461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14:paraId="118DFA1D"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14:paraId="0EC0D386"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14:paraId="167F7CD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14:paraId="33E62B8A"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14:paraId="20210D46"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14:paraId="2F06FC7D" w14:textId="77777777"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14:paraId="3A111AE2"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14:paraId="3D4110EA" w14:textId="77777777"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14:paraId="0432BF6C" w14:textId="77777777"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pzp, usługi kopiowania dokumentów na potrzeby kontroli czy usługi doradcze z zakresu zarządzania projektem </w:t>
      </w:r>
      <w:r>
        <w:rPr>
          <w:color w:val="auto"/>
          <w:sz w:val="22"/>
          <w:szCs w:val="22"/>
        </w:rPr>
        <w:t>itp.</w:t>
      </w:r>
    </w:p>
    <w:p w14:paraId="29E6409E" w14:textId="77777777"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14:paraId="0149B196" w14:textId="77777777"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14:paraId="032E8636"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14:paraId="2ADF7A5F"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14:paraId="5A6648B1"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14:paraId="20FF8602"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14:paraId="05C4B27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14:paraId="65FFAB30"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14:paraId="1C574B79"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14:paraId="5BF71E2C" w14:textId="77777777"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14:paraId="324D672F" w14:textId="77777777"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14:paraId="5E7C50D0" w14:textId="77777777"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14:paraId="62351420"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14:paraId="2952044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14:paraId="4A7B5D9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14:paraId="79C2CB2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14:paraId="40F8EB84"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14:paraId="286FF81A"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14:paraId="6A8DCC6B" w14:textId="77777777"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14:paraId="5CE80FF1" w14:textId="77777777"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14:paraId="4DB8800B" w14:textId="77777777"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14:paraId="3A150AA0" w14:textId="77777777"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14:paraId="544573CA" w14:textId="77777777"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14:paraId="0777FA28" w14:textId="77777777"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14:paraId="20C487FB" w14:textId="77777777"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14:paraId="2EA16B8C" w14:textId="77777777"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14:paraId="01A798A7" w14:textId="77777777"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14:paraId="1597FA64" w14:textId="77777777"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14:paraId="026D78E5" w14:textId="77777777"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14:paraId="3CC38866" w14:textId="77777777"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14:paraId="345490C7" w14:textId="77777777"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14:paraId="2B4301AE" w14:textId="77777777"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14:paraId="44A42C74" w14:textId="77777777"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14:paraId="694A397A" w14:textId="77777777"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14:paraId="5F8BE744" w14:textId="77777777"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14:paraId="153415C4" w14:textId="77777777"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14:paraId="0A33AF90" w14:textId="77777777"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14:paraId="7BE2D2FE" w14:textId="77777777" w:rsidR="00E14E6F" w:rsidRDefault="00E14E6F" w:rsidP="00AC3F48">
      <w:pPr>
        <w:pStyle w:val="Default"/>
        <w:spacing w:line="360" w:lineRule="auto"/>
        <w:ind w:left="709"/>
        <w:jc w:val="both"/>
        <w:rPr>
          <w:color w:val="auto"/>
          <w:sz w:val="22"/>
          <w:szCs w:val="22"/>
        </w:rPr>
      </w:pPr>
    </w:p>
    <w:p w14:paraId="47C55681"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14:paraId="789472FE" w14:textId="77777777"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14:paraId="720C7C32" w14:textId="77777777"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14:paraId="6405892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14:paraId="436C0BF7"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niekwalifikowalnością przeznaczonych na nią wydatków. </w:t>
      </w:r>
      <w:r w:rsidRPr="007E469E">
        <w:rPr>
          <w:color w:val="auto"/>
          <w:sz w:val="22"/>
          <w:szCs w:val="22"/>
        </w:rPr>
        <w:t>Rezerwa ta może być wykorzystana na działania wynikające z powyższej analizy ryzyka, a w szczególności na:</w:t>
      </w:r>
    </w:p>
    <w:p w14:paraId="2313D84D"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14:paraId="4B5DC615"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14:paraId="6784F1BD" w14:textId="77777777"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14:paraId="723ABEE4"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10542531"/>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14:paraId="52BA2BDC"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4B317AA7" w14:textId="77777777"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14:paraId="443B297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14:paraId="2CB1A68C" w14:textId="77777777"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14:paraId="364F222D" w14:textId="77777777"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14:paraId="14DEDF9C" w14:textId="77777777"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14:paraId="45350D2F" w14:textId="77777777"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14:paraId="1F478FAE"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14:paraId="175FC441"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14:paraId="4FF8B460"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14:paraId="132C9AA6" w14:textId="77777777"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14:paraId="313588A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14:paraId="6DC75669"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10542532"/>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14:paraId="134AF6C1"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3DE90049" w14:textId="77777777"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14:paraId="2EBCD6DF" w14:textId="77777777"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14:paraId="1D8C0780" w14:textId="77777777"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14:paraId="20086EDA" w14:textId="77777777"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14:paraId="7E916141" w14:textId="77777777"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r w:rsidR="00E035C0">
        <w:rPr>
          <w:rFonts w:ascii="Arial" w:eastAsia="Calibri" w:hAnsi="Arial" w:cs="Arial"/>
        </w:rPr>
        <w:t>odwzorowań</w:t>
      </w:r>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14:paraId="2A4D066E"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14:paraId="67FC81B3"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14:paraId="5D08A4C4" w14:textId="77777777"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14:paraId="2FA5CCE5" w14:textId="77777777"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14:paraId="06B230EE" w14:textId="77777777"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14:paraId="7D0BD5BA" w14:textId="77777777"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14:paraId="4A133469" w14:textId="77777777"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14:paraId="5DCE7317" w14:textId="77777777"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14:paraId="5422161E" w14:textId="77777777"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14:paraId="3AB751CB"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14:paraId="25C9AADF" w14:textId="77777777"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14:paraId="44ACE37C" w14:textId="77777777"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14:paraId="379FE7E9" w14:textId="77777777"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14:paraId="0C90A3A6" w14:textId="77777777"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14:paraId="23E2CE27" w14:textId="77777777" w:rsidR="00FB0AA0" w:rsidRDefault="00FB0AA0" w:rsidP="00FB0AA0">
      <w:pPr>
        <w:pStyle w:val="Nagwek3"/>
        <w:spacing w:before="240" w:after="60" w:line="360" w:lineRule="auto"/>
        <w:ind w:left="1430"/>
        <w:rPr>
          <w:rFonts w:ascii="Arial" w:hAnsi="Arial" w:cs="Arial"/>
          <w:b w:val="0"/>
          <w:i/>
          <w:color w:val="auto"/>
          <w:sz w:val="24"/>
          <w:szCs w:val="24"/>
        </w:rPr>
      </w:pPr>
    </w:p>
    <w:p w14:paraId="4F0B8682" w14:textId="77777777" w:rsidR="00796060" w:rsidRPr="008D3EC8" w:rsidRDefault="00796060" w:rsidP="00FB0AA0">
      <w:pPr>
        <w:pStyle w:val="Nagwek3"/>
        <w:numPr>
          <w:ilvl w:val="2"/>
          <w:numId w:val="1"/>
        </w:numPr>
        <w:spacing w:before="240" w:after="60" w:line="360" w:lineRule="auto"/>
        <w:jc w:val="center"/>
        <w:rPr>
          <w:rFonts w:ascii="Arial" w:hAnsi="Arial" w:cs="Arial"/>
          <w:b w:val="0"/>
          <w:i/>
          <w:color w:val="auto"/>
          <w:sz w:val="24"/>
          <w:szCs w:val="24"/>
        </w:rPr>
      </w:pPr>
      <w:bookmarkStart w:id="86" w:name="_Toc10542533"/>
      <w:r>
        <w:rPr>
          <w:rFonts w:ascii="Arial" w:hAnsi="Arial" w:cs="Arial"/>
          <w:b w:val="0"/>
          <w:i/>
          <w:color w:val="auto"/>
          <w:sz w:val="24"/>
          <w:szCs w:val="24"/>
        </w:rPr>
        <w:t>W</w:t>
      </w:r>
      <w:r w:rsidRPr="008D3EC8">
        <w:rPr>
          <w:rFonts w:ascii="Arial" w:hAnsi="Arial" w:cs="Arial"/>
          <w:b w:val="0"/>
          <w:i/>
          <w:color w:val="auto"/>
          <w:sz w:val="24"/>
          <w:szCs w:val="24"/>
        </w:rPr>
        <w:t xml:space="preserve">ydatki kwalifikowalne w </w:t>
      </w:r>
      <w:r w:rsidR="00FB0AA0">
        <w:rPr>
          <w:rFonts w:ascii="Arial" w:hAnsi="Arial" w:cs="Arial"/>
          <w:b w:val="0"/>
          <w:i/>
          <w:color w:val="auto"/>
          <w:sz w:val="24"/>
          <w:szCs w:val="24"/>
        </w:rPr>
        <w:t xml:space="preserve">projektach </w:t>
      </w:r>
      <w:r w:rsidR="00FB0AA0" w:rsidRPr="00FB0AA0">
        <w:rPr>
          <w:rFonts w:ascii="Arial" w:hAnsi="Arial" w:cs="Arial"/>
          <w:b w:val="0"/>
          <w:i/>
          <w:color w:val="auto"/>
          <w:sz w:val="24"/>
          <w:szCs w:val="24"/>
        </w:rPr>
        <w:t>realizowanych w działaniu 2.1 w ramach „uproszczonej procedury”</w:t>
      </w:r>
      <w:bookmarkEnd w:id="86"/>
      <w:r w:rsidRPr="008D3EC8">
        <w:rPr>
          <w:rFonts w:ascii="Arial" w:hAnsi="Arial" w:cs="Arial"/>
          <w:b w:val="0"/>
          <w:i/>
          <w:color w:val="auto"/>
          <w:sz w:val="24"/>
          <w:szCs w:val="24"/>
        </w:rPr>
        <w:t xml:space="preserve"> </w:t>
      </w:r>
    </w:p>
    <w:p w14:paraId="083408F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Wydatki wymienione w </w:t>
      </w:r>
      <w:r w:rsidR="00FB0AA0">
        <w:rPr>
          <w:color w:val="auto"/>
          <w:sz w:val="22"/>
          <w:szCs w:val="22"/>
        </w:rPr>
        <w:t xml:space="preserve">poniższej sekcji </w:t>
      </w:r>
      <w:r w:rsidRPr="00985C06">
        <w:rPr>
          <w:color w:val="auto"/>
          <w:sz w:val="22"/>
          <w:szCs w:val="22"/>
        </w:rPr>
        <w:t xml:space="preserve">uznaje się za kwalifikowalne, o ile poniesione zostały w okresie od 1 stycznia 2014 r. do 31 grudnia 2023 r., chyba że umowa o dofinansowanie projektu stanowi inaczej. </w:t>
      </w:r>
    </w:p>
    <w:p w14:paraId="4F498AA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1)</w:t>
      </w:r>
      <w:r w:rsidRPr="00985C06">
        <w:rPr>
          <w:color w:val="auto"/>
          <w:sz w:val="22"/>
          <w:szCs w:val="22"/>
        </w:rPr>
        <w:tab/>
        <w:t>Za kwalifikowalne uznaje się następujące wydatki w ramach poniższych kategorii i podkategorii:</w:t>
      </w:r>
    </w:p>
    <w:p w14:paraId="53582F95"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a)</w:t>
      </w:r>
      <w:r w:rsidRPr="00FB0AA0">
        <w:rPr>
          <w:b/>
          <w:color w:val="auto"/>
          <w:sz w:val="22"/>
          <w:szCs w:val="22"/>
        </w:rPr>
        <w:tab/>
        <w:t>Środki trwałe i wartości niematerialne i prawne</w:t>
      </w:r>
    </w:p>
    <w:p w14:paraId="792652F3"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i)</w:t>
      </w:r>
      <w:r w:rsidRPr="00FB0AA0">
        <w:rPr>
          <w:b/>
          <w:color w:val="auto"/>
          <w:sz w:val="22"/>
          <w:szCs w:val="22"/>
        </w:rPr>
        <w:tab/>
        <w:t xml:space="preserve">Oprogramowanie  </w:t>
      </w:r>
    </w:p>
    <w:p w14:paraId="4E491CB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zakupu, leasingu, dzierżawy i najmu oprogramowania, wydatki na wdrożenie oprogramowania,</w:t>
      </w:r>
    </w:p>
    <w:p w14:paraId="65DFED80"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rozbudowę i aktualizację istniejącego oprogramowania,</w:t>
      </w:r>
    </w:p>
    <w:p w14:paraId="5AA730D9"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prac instalacyjnych, konfiguracyjnych i optymalizacyjnych,</w:t>
      </w:r>
    </w:p>
    <w:p w14:paraId="5B09DD8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domen (platform) i portali,</w:t>
      </w:r>
    </w:p>
    <w:p w14:paraId="2483948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przygotowania zawartości portali, w tym wydatki na rozbudowę portali,</w:t>
      </w:r>
    </w:p>
    <w:p w14:paraId="66E6B44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budowę lub rozbudowę zabezpieczeń logicznych (firewall, systemy IDS, IPS),</w:t>
      </w:r>
    </w:p>
    <w:p w14:paraId="3B9EAD1C"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wydatki na zakup narzędzi warstwy programowej niezbędnych dla zapewnienia bezpieczeństwa przesyłanych informacji oraz identyfikacji (np. elektronicznego poświadczania tożsamości), </w:t>
      </w:r>
    </w:p>
    <w:p w14:paraId="5163D02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amortyzacja wartości niematerialnych z zachowaniem zasad ogólnych dotyczących amortyzacji danego rodzaju wartości niematerialnych w zakresie i w czasie, w jakim są one wykorzystywane do realizacji projektu.</w:t>
      </w:r>
    </w:p>
    <w:p w14:paraId="7D3659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Przy zakupie, modernizacji, aktualizacji bądź stworzeniu oprogramowania kwalifikowalne są wydatki  zakupu, rozszerzenia i aktualizacji licencji lub przejęcia autorskich praw majątkowych. </w:t>
      </w:r>
    </w:p>
    <w:p w14:paraId="291C95A0"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b)</w:t>
      </w:r>
      <w:r w:rsidRPr="0065554C">
        <w:rPr>
          <w:b/>
          <w:color w:val="auto"/>
          <w:sz w:val="22"/>
          <w:szCs w:val="22"/>
        </w:rPr>
        <w:tab/>
        <w:t>Usługi zewnętrzne</w:t>
      </w:r>
    </w:p>
    <w:p w14:paraId="48A4F45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 xml:space="preserve">Przygotowanie projektu </w:t>
      </w:r>
    </w:p>
    <w:p w14:paraId="7B3F7A6F"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dokumentacja techniczna, finansowa o ile jej opracowanie jest niezbędne do przygotowania lub realizacji projektu, z wyjątkiem wypełnienia formularza wniosku o dofinansowanie. </w:t>
      </w:r>
    </w:p>
    <w:p w14:paraId="4D48EEA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studium wykonalności,</w:t>
      </w:r>
    </w:p>
    <w:p w14:paraId="01F97AE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dokumentacja przetargowa,</w:t>
      </w:r>
    </w:p>
    <w:p w14:paraId="5AEBD244"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uzyskanie niezbędnych decyzji administracyjnych na etapie przygotowania projektu czy wniosku o dofinansowanie,</w:t>
      </w:r>
    </w:p>
    <w:p w14:paraId="23EE745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obsługa instrumentów zabezpieczających realizację umowy o dofinansowanie, określona w umowie o dofinansowanie,</w:t>
      </w:r>
    </w:p>
    <w:p w14:paraId="0DF10A57"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ocena oddziaływania na środowisko,</w:t>
      </w:r>
    </w:p>
    <w:p w14:paraId="732666F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mapy lub szkice sytuujące projekt</w:t>
      </w:r>
      <w:r>
        <w:rPr>
          <w:color w:val="auto"/>
          <w:sz w:val="22"/>
          <w:szCs w:val="22"/>
        </w:rPr>
        <w:t>.</w:t>
      </w:r>
    </w:p>
    <w:p w14:paraId="23484CB9"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Usługi informatyczne</w:t>
      </w:r>
    </w:p>
    <w:p w14:paraId="27B423F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opiekę serwisową posprzedażową (maintenance) oprogramowania,</w:t>
      </w:r>
    </w:p>
    <w:p w14:paraId="503928D3" w14:textId="68CCA5D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utrzymania domen (platform) i portali,</w:t>
      </w:r>
    </w:p>
    <w:p w14:paraId="3BE008E2" w14:textId="77777777" w:rsidR="00985C06" w:rsidRDefault="00985C06" w:rsidP="00927CE9">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usług: zapewnienia dostępu do sieci Internet, hostingu, kolokacji i innych,</w:t>
      </w:r>
    </w:p>
    <w:p w14:paraId="1CC1A4F7" w14:textId="77777777" w:rsidR="00927CE9" w:rsidRPr="00985C06" w:rsidRDefault="00927CE9" w:rsidP="00927CE9">
      <w:pPr>
        <w:pStyle w:val="Default"/>
        <w:spacing w:before="120" w:after="120" w:line="360" w:lineRule="auto"/>
        <w:ind w:left="720"/>
        <w:jc w:val="both"/>
        <w:rPr>
          <w:color w:val="auto"/>
          <w:sz w:val="22"/>
          <w:szCs w:val="22"/>
        </w:rPr>
      </w:pPr>
      <w:r>
        <w:rPr>
          <w:color w:val="auto"/>
          <w:sz w:val="22"/>
          <w:szCs w:val="22"/>
        </w:rPr>
        <w:t>-</w:t>
      </w:r>
      <w:r w:rsidRPr="00927CE9">
        <w:rPr>
          <w:color w:val="auto"/>
          <w:sz w:val="22"/>
          <w:szCs w:val="22"/>
        </w:rPr>
        <w:tab/>
        <w:t>digitalizacja rejestrów i poprawa jakości danych, w tym czyszczenie danych oraz digitalizacja danych dostępnych w innych formach niż forma cyfrowa,</w:t>
      </w:r>
    </w:p>
    <w:p w14:paraId="4BE2498F" w14:textId="55CE989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usługi audytu zewnętrznego w zakresie oprogramowania oraz audyty dostępności treści pod katem zgodności z WCAG 2.0.</w:t>
      </w:r>
    </w:p>
    <w:p w14:paraId="432CC4C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 xml:space="preserve">Usługi wspomagające realizację projektu </w:t>
      </w:r>
    </w:p>
    <w:p w14:paraId="2785A0E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usługi doradcze w trakcie realizacji projektu, w tym zapewnienie wsparcia technicznego, </w:t>
      </w:r>
    </w:p>
    <w:p w14:paraId="4C7A372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ekspertyzy prawne, badania i analizy techniczne, finansowe, ekonomiczne oraz w zakresie wdrażania krajowych i międzynarodowych standardów,</w:t>
      </w:r>
    </w:p>
    <w:p w14:paraId="07A385D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prawne,</w:t>
      </w:r>
    </w:p>
    <w:p w14:paraId="2752C12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zarządcze,</w:t>
      </w:r>
    </w:p>
    <w:p w14:paraId="2CC7ED06"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tłumaczenia,</w:t>
      </w:r>
    </w:p>
    <w:p w14:paraId="0F420935" w14:textId="536D184D"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 </w:t>
      </w:r>
      <w:r>
        <w:rPr>
          <w:color w:val="auto"/>
          <w:sz w:val="22"/>
          <w:szCs w:val="22"/>
        </w:rPr>
        <w:t>-</w:t>
      </w:r>
      <w:r w:rsidRPr="00985C06">
        <w:rPr>
          <w:color w:val="auto"/>
          <w:sz w:val="22"/>
          <w:szCs w:val="22"/>
        </w:rPr>
        <w:tab/>
        <w:t xml:space="preserve">usługi audytu zewnętrznego , </w:t>
      </w:r>
    </w:p>
    <w:p w14:paraId="7367F318"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zakup ogłoszeń prasowych (nie dotyczących promocji), </w:t>
      </w:r>
    </w:p>
    <w:p w14:paraId="0BE0D41C" w14:textId="1F979705" w:rsidR="00985C06" w:rsidRPr="00985C06" w:rsidRDefault="008A640E" w:rsidP="00985C06">
      <w:pPr>
        <w:pStyle w:val="Default"/>
        <w:spacing w:before="120" w:after="120" w:line="360" w:lineRule="auto"/>
        <w:ind w:left="720"/>
        <w:jc w:val="both"/>
        <w:rPr>
          <w:color w:val="auto"/>
          <w:sz w:val="22"/>
          <w:szCs w:val="22"/>
        </w:rPr>
      </w:pPr>
      <w:r>
        <w:rPr>
          <w:color w:val="auto"/>
          <w:sz w:val="22"/>
          <w:szCs w:val="22"/>
        </w:rPr>
        <w:t xml:space="preserve">Każda z usług wymienionych w ppkt „iii” musi być bezpośrednio związana z głównymi celami i produktami projektu.  </w:t>
      </w:r>
    </w:p>
    <w:p w14:paraId="4B35ED8B"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c)</w:t>
      </w:r>
      <w:r w:rsidRPr="0065554C">
        <w:rPr>
          <w:b/>
          <w:color w:val="auto"/>
          <w:sz w:val="22"/>
          <w:szCs w:val="22"/>
        </w:rPr>
        <w:tab/>
        <w:t>Szkolenia</w:t>
      </w:r>
    </w:p>
    <w:p w14:paraId="6EE6D040"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szkolenia, seminaria i warsztaty dla pracowników instytucji korzystających z produktów projektu, w tym e-learning,</w:t>
      </w:r>
    </w:p>
    <w:p w14:paraId="27D01087"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d)</w:t>
      </w:r>
      <w:r w:rsidRPr="0065554C">
        <w:rPr>
          <w:b/>
          <w:color w:val="auto"/>
          <w:sz w:val="22"/>
          <w:szCs w:val="22"/>
        </w:rPr>
        <w:tab/>
        <w:t>Informacja i promocja, w tym wydatki:</w:t>
      </w:r>
    </w:p>
    <w:p w14:paraId="7416C67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poniesione na tablice informacyjne i pamiątkowe,</w:t>
      </w:r>
    </w:p>
    <w:p w14:paraId="28C8784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związane ze stworzeniem i prowadzeniem strony internetowej projektu, profili na portalach społecznościowych, blogów i innych form wykorzystujących komunikację internetową,</w:t>
      </w:r>
    </w:p>
    <w:p w14:paraId="2DBB2C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poniesione w związku z organizacją konferencji promujących projekt,</w:t>
      </w:r>
    </w:p>
    <w:p w14:paraId="00AF11B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iv)</w:t>
      </w:r>
      <w:r w:rsidRPr="00985C06">
        <w:rPr>
          <w:color w:val="auto"/>
          <w:sz w:val="22"/>
          <w:szCs w:val="22"/>
        </w:rPr>
        <w:tab/>
        <w:t>poniesione w związku z realizacją działań informacyjno-promocyjnych, w tym m.in. kampanii, promocji w mediach elektronicznych i tradycyjnych,</w:t>
      </w:r>
    </w:p>
    <w:p w14:paraId="57468964"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w:t>
      </w:r>
      <w:r w:rsidRPr="00985C06">
        <w:rPr>
          <w:color w:val="auto"/>
          <w:sz w:val="22"/>
          <w:szCs w:val="22"/>
        </w:rPr>
        <w:tab/>
        <w:t>poniesione w związku z organizowaniem spotkań informacyjnych i wydarzeń promocyjnych (w tym wynajem sali, catering),</w:t>
      </w:r>
    </w:p>
    <w:p w14:paraId="4811B63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vi)</w:t>
      </w:r>
      <w:r w:rsidRPr="00985C06">
        <w:rPr>
          <w:color w:val="auto"/>
          <w:sz w:val="22"/>
          <w:szCs w:val="22"/>
        </w:rPr>
        <w:tab/>
        <w:t xml:space="preserve">poniesione na podstawowe materiały informacyjne i promocyjne . </w:t>
      </w:r>
    </w:p>
    <w:p w14:paraId="6A884F1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0A4E3F6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na informację i promocję nie mogą przekraczać 3% wydatków kwalifikowalnych projektu</w:t>
      </w:r>
      <w:r w:rsidR="000E40B6">
        <w:rPr>
          <w:color w:val="auto"/>
          <w:sz w:val="22"/>
          <w:szCs w:val="22"/>
        </w:rPr>
        <w:t>.</w:t>
      </w:r>
      <w:r w:rsidRPr="00985C06">
        <w:rPr>
          <w:color w:val="auto"/>
          <w:sz w:val="22"/>
          <w:szCs w:val="22"/>
        </w:rPr>
        <w:t xml:space="preserve"> </w:t>
      </w:r>
    </w:p>
    <w:p w14:paraId="76E23DE8" w14:textId="77777777" w:rsidR="00985C06" w:rsidRDefault="00985C06" w:rsidP="00985C06">
      <w:pPr>
        <w:pStyle w:val="Default"/>
        <w:spacing w:before="120" w:after="120" w:line="360" w:lineRule="auto"/>
        <w:ind w:left="720"/>
        <w:jc w:val="both"/>
        <w:rPr>
          <w:color w:val="auto"/>
          <w:sz w:val="22"/>
          <w:szCs w:val="22"/>
        </w:rPr>
      </w:pPr>
      <w:r w:rsidRPr="00985C06">
        <w:rPr>
          <w:color w:val="auto"/>
          <w:sz w:val="22"/>
          <w:szCs w:val="22"/>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14:paraId="0752AA5E" w14:textId="77777777" w:rsidR="007B47A8" w:rsidRDefault="007B47A8" w:rsidP="00985C06">
      <w:pPr>
        <w:pStyle w:val="Default"/>
        <w:spacing w:before="120" w:after="120" w:line="360" w:lineRule="auto"/>
        <w:ind w:left="720"/>
        <w:jc w:val="both"/>
        <w:rPr>
          <w:color w:val="auto"/>
          <w:sz w:val="22"/>
          <w:szCs w:val="22"/>
        </w:rPr>
      </w:pPr>
    </w:p>
    <w:p w14:paraId="3A58F3C3" w14:textId="77777777"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7" w:name="_Toc512510849"/>
      <w:bookmarkStart w:id="88" w:name="_Toc10542534"/>
      <w:bookmarkEnd w:id="87"/>
      <w:r w:rsidRPr="007E469E">
        <w:rPr>
          <w:rFonts w:ascii="Arial" w:hAnsi="Arial" w:cs="Arial"/>
          <w:i/>
          <w:color w:val="auto"/>
          <w:sz w:val="24"/>
          <w:szCs w:val="24"/>
        </w:rPr>
        <w:t>C</w:t>
      </w:r>
      <w:r w:rsidR="00903FFD" w:rsidRPr="007E469E">
        <w:rPr>
          <w:rFonts w:ascii="Arial" w:hAnsi="Arial" w:cs="Arial"/>
          <w:i/>
          <w:color w:val="auto"/>
          <w:sz w:val="24"/>
          <w:szCs w:val="24"/>
        </w:rPr>
        <w:t>ross-financing</w:t>
      </w:r>
      <w:bookmarkEnd w:id="88"/>
    </w:p>
    <w:p w14:paraId="018C47B3"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 xml:space="preserve">Zasady i warunki finansowania wydatków w ramach cross-financingu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14:paraId="7DA758EB"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cross-financingu może dotyczyć wyłącznie takich kategorii wydatków, których poniesienie wynika z potrzeby realizacji danej operacji w rozumieniu art. 2 pkt 9 rozporządzenia ogólnego i stanowi logiczne uzupełnienie zadań inwestycyjnych.</w:t>
      </w:r>
    </w:p>
    <w:p w14:paraId="180B26BC"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cross-financingu na poziomie projektu został określony w SZOOP POPC, zgodnie z którym wartość wydatków planowanych we wniosku o dofinansowanie projektu w ramach cross-financingu co do zasady nie może stanowić więcej niż 10% wszystkich wydatków kwalifikowalnych projektu. W indywidualnych, szczególnie uzasadnionych przypadkach, IP POPC może wyrazić zgodę na zwiększenie limitu dotyczącego cross-financingu w ramach wydatków kwalifikowalnych na poziomie projektu, pod warunkiem, że taka możliwość została przewidziana w SZOOP POPC.</w:t>
      </w:r>
    </w:p>
    <w:p w14:paraId="7ED9C6F2" w14:textId="77777777"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cross-financingu, wydatki przekraczające limit uznaje się za niekwalifikowalne na etapie końcowego rozliczenia projektu.</w:t>
      </w:r>
    </w:p>
    <w:p w14:paraId="03B22B27" w14:textId="77777777"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cross-financingu,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14:paraId="652E26BF" w14:textId="77777777"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14:paraId="36915457"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14:paraId="005D571D" w14:textId="77777777"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14:paraId="17E3AE48" w14:textId="77777777"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14:paraId="14A1C339"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14:paraId="1CCB12FE" w14:textId="77777777"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14:paraId="35A46988" w14:textId="77777777"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14:paraId="7F71487D" w14:textId="77777777" w:rsidR="00E06C27" w:rsidRPr="007E469E" w:rsidRDefault="00E06C27" w:rsidP="00285F07">
      <w:pPr>
        <w:pStyle w:val="Akapitzlist"/>
        <w:spacing w:after="0" w:line="360" w:lineRule="auto"/>
        <w:jc w:val="both"/>
        <w:rPr>
          <w:rFonts w:ascii="Arial" w:hAnsi="Arial" w:cs="Arial"/>
        </w:rPr>
      </w:pPr>
    </w:p>
    <w:p w14:paraId="37F6EB8E" w14:textId="77777777"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9" w:name="_Toc10542535"/>
      <w:r w:rsidRPr="007E469E">
        <w:rPr>
          <w:rFonts w:ascii="Arial" w:hAnsi="Arial" w:cs="Arial"/>
          <w:i/>
          <w:color w:val="auto"/>
          <w:sz w:val="24"/>
          <w:szCs w:val="24"/>
        </w:rPr>
        <w:t>Wykaz wydatków niekwalifikowalnych w ramach II osi priorytetowej</w:t>
      </w:r>
      <w:bookmarkEnd w:id="89"/>
      <w:r w:rsidRPr="007E469E">
        <w:rPr>
          <w:rFonts w:ascii="Arial" w:hAnsi="Arial" w:cs="Arial"/>
          <w:i/>
          <w:color w:val="auto"/>
          <w:sz w:val="24"/>
          <w:szCs w:val="24"/>
        </w:rPr>
        <w:t xml:space="preserve"> </w:t>
      </w:r>
    </w:p>
    <w:p w14:paraId="16B78214"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14:paraId="1905E46D"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14:paraId="1218F50E" w14:textId="77777777"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14:paraId="627DCA30" w14:textId="77777777"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14:paraId="0EC284CF" w14:textId="77777777"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14:paraId="576DA5DB" w14:textId="22ECF625"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E241C6">
        <w:rPr>
          <w:rFonts w:ascii="Arial" w:eastAsia="MS Mincho" w:hAnsi="Arial" w:cs="Arial"/>
          <w:lang w:eastAsia="ja-JP"/>
        </w:rPr>
        <w:t xml:space="preserve">. </w:t>
      </w:r>
    </w:p>
    <w:p w14:paraId="2480A64A" w14:textId="77777777"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14:paraId="767835A7" w14:textId="77777777"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14:paraId="7CAF4086" w14:textId="77777777"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14:paraId="6A4B546E"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14:paraId="66F2F49F"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14:paraId="119F70D9" w14:textId="77777777"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14:paraId="2CB8FCB1" w14:textId="77777777"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wydatki na rzecz wykupu praw autorskich do digitalizowanych/udostępnianych zasobów.</w:t>
      </w:r>
    </w:p>
    <w:p w14:paraId="2209EB36" w14:textId="77777777" w:rsidR="00B052AB" w:rsidRDefault="00B052AB">
      <w:pPr>
        <w:rPr>
          <w:rFonts w:ascii="Arial" w:eastAsia="MS Mincho" w:hAnsi="Arial" w:cs="Arial"/>
          <w:lang w:eastAsia="ja-JP"/>
        </w:rPr>
      </w:pPr>
    </w:p>
    <w:p w14:paraId="71914CA2" w14:textId="77777777" w:rsidR="00B052AB" w:rsidRDefault="00B052AB">
      <w:pPr>
        <w:rPr>
          <w:rFonts w:ascii="Arial" w:eastAsia="MS Mincho" w:hAnsi="Arial" w:cs="Arial"/>
          <w:lang w:eastAsia="ja-JP"/>
        </w:rPr>
      </w:pPr>
    </w:p>
    <w:p w14:paraId="53D6FE89" w14:textId="2289B370" w:rsidR="00B052AB" w:rsidRPr="00EB2C27" w:rsidRDefault="00944E2A" w:rsidP="00A805FF">
      <w:pPr>
        <w:pStyle w:val="Nagwek2"/>
        <w:numPr>
          <w:ilvl w:val="1"/>
          <w:numId w:val="1"/>
        </w:numPr>
        <w:spacing w:before="240" w:after="60" w:line="360" w:lineRule="auto"/>
        <w:jc w:val="center"/>
        <w:rPr>
          <w:rFonts w:ascii="Arial" w:hAnsi="Arial" w:cs="Arial"/>
          <w:i/>
          <w:color w:val="auto"/>
          <w:sz w:val="24"/>
          <w:szCs w:val="24"/>
        </w:rPr>
      </w:pPr>
      <w:bookmarkStart w:id="90" w:name="_Toc10542536"/>
      <w:bookmarkStart w:id="91" w:name="_Toc10542537"/>
      <w:bookmarkStart w:id="92" w:name="_Toc10542538"/>
      <w:bookmarkStart w:id="93" w:name="_Toc10542539"/>
      <w:bookmarkEnd w:id="90"/>
      <w:bookmarkEnd w:id="91"/>
      <w:bookmarkEnd w:id="92"/>
      <w:bookmarkEnd w:id="93"/>
      <w:r>
        <w:rPr>
          <w:rFonts w:ascii="Arial" w:hAnsi="Arial" w:cs="Arial"/>
        </w:rPr>
        <w:br w:type="page"/>
      </w:r>
      <w:bookmarkStart w:id="94" w:name="_Toc10542540"/>
      <w:r w:rsidR="00B052AB" w:rsidRPr="00EB2C27">
        <w:rPr>
          <w:rFonts w:ascii="Arial" w:hAnsi="Arial" w:cs="Arial"/>
          <w:i/>
          <w:color w:val="auto"/>
          <w:sz w:val="24"/>
          <w:szCs w:val="24"/>
        </w:rPr>
        <w:t>Wydatki kwalifikowalne w projektach realizowanych w działaniu 2.4 „Tworzenie usług i aplikacji wykorzystujących e-usługi publiczne i informacje sektora publicznego”</w:t>
      </w:r>
      <w:bookmarkEnd w:id="94"/>
    </w:p>
    <w:p w14:paraId="79EFB731" w14:textId="6EEC4E3E"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Wydatki wymienione w poniższej sekcji </w:t>
      </w:r>
      <w:r w:rsidR="00E22E9B">
        <w:rPr>
          <w:rFonts w:ascii="Arial" w:hAnsi="Arial" w:cs="Arial"/>
        </w:rPr>
        <w:t xml:space="preserve">stanowią zamknięty katalog wydatków możliwych do poniesienia w ramach działania 2.4, </w:t>
      </w:r>
      <w:r w:rsidRPr="00B052AB">
        <w:rPr>
          <w:rFonts w:ascii="Arial" w:hAnsi="Arial" w:cs="Arial"/>
        </w:rPr>
        <w:t xml:space="preserve">uznaje się </w:t>
      </w:r>
      <w:r w:rsidR="00F726BE">
        <w:rPr>
          <w:rFonts w:ascii="Arial" w:hAnsi="Arial" w:cs="Arial"/>
        </w:rPr>
        <w:t xml:space="preserve">je </w:t>
      </w:r>
      <w:r w:rsidRPr="00B052AB">
        <w:rPr>
          <w:rFonts w:ascii="Arial" w:hAnsi="Arial" w:cs="Arial"/>
        </w:rPr>
        <w:t xml:space="preserve">za kwalifikowalne, o ile poniesione zostały w okresie od 1 stycznia 2014 r. do 31 grudnia 2023 r., chyba że umowa o dofinansowanie projektu stanowi inaczej. </w:t>
      </w:r>
    </w:p>
    <w:p w14:paraId="7C53C271" w14:textId="77777777" w:rsidR="00B052AB" w:rsidRPr="00B052AB" w:rsidRDefault="00B052AB" w:rsidP="00B052AB">
      <w:pPr>
        <w:numPr>
          <w:ilvl w:val="0"/>
          <w:numId w:val="156"/>
        </w:numPr>
        <w:autoSpaceDE w:val="0"/>
        <w:autoSpaceDN w:val="0"/>
        <w:adjustRightInd w:val="0"/>
        <w:spacing w:before="120" w:after="120" w:line="360" w:lineRule="auto"/>
        <w:jc w:val="both"/>
        <w:rPr>
          <w:rFonts w:ascii="Arial" w:hAnsi="Arial" w:cs="Arial"/>
        </w:rPr>
      </w:pPr>
      <w:r w:rsidRPr="00B052AB">
        <w:rPr>
          <w:rFonts w:ascii="Arial" w:hAnsi="Arial" w:cs="Arial"/>
        </w:rPr>
        <w:t>Za kwalifikowalne uznaje się następujące wydatki w ramach poniższych kategorii i podkategorii:</w:t>
      </w:r>
    </w:p>
    <w:p w14:paraId="5DFD19A7" w14:textId="4FD27DC7" w:rsidR="0097284C" w:rsidRPr="0097284C" w:rsidRDefault="0097284C" w:rsidP="00B052AB">
      <w:pPr>
        <w:numPr>
          <w:ilvl w:val="1"/>
          <w:numId w:val="50"/>
        </w:numPr>
        <w:autoSpaceDE w:val="0"/>
        <w:autoSpaceDN w:val="0"/>
        <w:adjustRightInd w:val="0"/>
        <w:spacing w:before="120" w:after="120" w:line="360" w:lineRule="auto"/>
        <w:jc w:val="both"/>
        <w:rPr>
          <w:rFonts w:ascii="Arial" w:hAnsi="Arial" w:cs="Arial"/>
        </w:rPr>
      </w:pPr>
      <w:r w:rsidRPr="00A805FF">
        <w:rPr>
          <w:rFonts w:ascii="Arial" w:hAnsi="Arial" w:cs="Arial"/>
          <w:b/>
        </w:rPr>
        <w:t>Środki trwałe i wartości niematerialne i prawne</w:t>
      </w:r>
    </w:p>
    <w:p w14:paraId="34575BC4" w14:textId="77A836D8" w:rsidR="00B052AB" w:rsidRPr="00A805FF" w:rsidRDefault="00B052AB" w:rsidP="00A805FF">
      <w:pPr>
        <w:pStyle w:val="Akapitzlist"/>
        <w:numPr>
          <w:ilvl w:val="2"/>
          <w:numId w:val="50"/>
        </w:numPr>
        <w:autoSpaceDE w:val="0"/>
        <w:autoSpaceDN w:val="0"/>
        <w:adjustRightInd w:val="0"/>
        <w:spacing w:before="120" w:after="120" w:line="360" w:lineRule="auto"/>
        <w:jc w:val="both"/>
        <w:rPr>
          <w:rFonts w:ascii="Arial" w:hAnsi="Arial" w:cs="Arial"/>
          <w:b/>
        </w:rPr>
      </w:pPr>
      <w:r w:rsidRPr="00A805FF">
        <w:rPr>
          <w:rFonts w:ascii="Arial" w:hAnsi="Arial" w:cs="Arial"/>
          <w:b/>
        </w:rPr>
        <w:t>Oprogramowanie</w:t>
      </w:r>
    </w:p>
    <w:p w14:paraId="16684BA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 wydatki na pokrycie kosztów stworzenia, zakupu, leasingu, dzierżawy i najmu oprogramowania, wydatki na wdrożenie oprogramowania,</w:t>
      </w:r>
    </w:p>
    <w:p w14:paraId="3A2A9976"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rozbudowę i aktualizację istniejącego oprogramowania,</w:t>
      </w:r>
    </w:p>
    <w:p w14:paraId="0F4E174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prac instalacyjnych, konfiguracyjnych i optymalizacyjnych,</w:t>
      </w:r>
    </w:p>
    <w:p w14:paraId="41DF458C"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pokrycie kosztów przygotowania zawartości portali, w tym wydatki na rozbudowę portali,</w:t>
      </w:r>
    </w:p>
    <w:p w14:paraId="2D7BEE64"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budowę lub rozbudowę zabezpieczeń logicznych (firewall, systemy IDS, IPS),</w:t>
      </w:r>
    </w:p>
    <w:p w14:paraId="067546B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wydatki na zakup narzędzi warstwy programowej niezbędnych dla zapewnienia bezpieczeństwa przesyłanych informacji oraz identyfikacji (np. elektronicznego poświadczania tożsamości), </w:t>
      </w:r>
    </w:p>
    <w:p w14:paraId="5C2608BB"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amortyzacja wartości niematerialnych z zachowaniem zasad ogólnych dotyczących amortyzacji danego rodzaju wartości niematerialnych w zakresie i w czasie, w jakim są one wykorzystywane do realizacji projektu.</w:t>
      </w:r>
    </w:p>
    <w:p w14:paraId="3A29E79E"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Przy zakupie, modernizacji, aktualizacji bądź stworzeniu oprogramowania kwalifikowalne są wydatki  zakupu, rozszerzenia i aktualizacji licencji lub przejęcia autorskich praw majątkowych. </w:t>
      </w:r>
    </w:p>
    <w:p w14:paraId="74A771A3"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zewnętrzne</w:t>
      </w:r>
    </w:p>
    <w:p w14:paraId="56BF60DE" w14:textId="77777777" w:rsidR="00B052AB" w:rsidRPr="00B052AB" w:rsidRDefault="00B052AB" w:rsidP="00B052AB">
      <w:pPr>
        <w:numPr>
          <w:ilvl w:val="2"/>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informatyczne</w:t>
      </w:r>
    </w:p>
    <w:p w14:paraId="06F3F8CC" w14:textId="77777777" w:rsidR="00B052AB" w:rsidRPr="00B052AB" w:rsidRDefault="00B052AB" w:rsidP="00B052AB">
      <w:pPr>
        <w:numPr>
          <w:ilvl w:val="0"/>
          <w:numId w:val="27"/>
        </w:numPr>
        <w:contextualSpacing/>
        <w:rPr>
          <w:rFonts w:ascii="Arial" w:hAnsi="Arial" w:cs="Arial"/>
        </w:rPr>
      </w:pPr>
      <w:r w:rsidRPr="00B052AB">
        <w:rPr>
          <w:rFonts w:ascii="Arial" w:hAnsi="Arial" w:cs="Arial"/>
        </w:rPr>
        <w:t>wydatki na opiekę serwisową posprzedażową (maintenance) oprogramowania,</w:t>
      </w:r>
    </w:p>
    <w:p w14:paraId="589C5CE9"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utrzymania domen (platform) i portali,</w:t>
      </w:r>
    </w:p>
    <w:p w14:paraId="01A5365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usług: zapewnienia dostępu do sieci Internet, hostingu, kolokacji i innych,</w:t>
      </w:r>
    </w:p>
    <w:p w14:paraId="3A220CA2"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zakup usług przetwarzania w chmurze obliczeniowej typu IaaS, SaaS, PaaS,</w:t>
      </w:r>
    </w:p>
    <w:p w14:paraId="474B6DB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usługi audytu zewnętrznego w zakresie oprogramowania oraz audyty dostępności treści pod katem zgodności z WCAG 2.0.</w:t>
      </w:r>
    </w:p>
    <w:p w14:paraId="33BC894E" w14:textId="77777777" w:rsidR="00B052AB" w:rsidRPr="00B052AB" w:rsidRDefault="00B052AB" w:rsidP="00B052AB">
      <w:pPr>
        <w:numPr>
          <w:ilvl w:val="2"/>
          <w:numId w:val="50"/>
        </w:numPr>
        <w:spacing w:before="120" w:after="120" w:line="360" w:lineRule="auto"/>
        <w:contextualSpacing/>
        <w:jc w:val="both"/>
        <w:rPr>
          <w:rFonts w:ascii="Arial" w:eastAsia="Times New Roman" w:hAnsi="Arial" w:cs="Arial"/>
          <w:lang w:eastAsia="pl-PL"/>
        </w:rPr>
      </w:pPr>
      <w:r w:rsidRPr="00B052AB">
        <w:rPr>
          <w:rFonts w:ascii="Arial" w:eastAsia="Times New Roman" w:hAnsi="Arial" w:cs="Arial"/>
          <w:lang w:eastAsia="pl-PL"/>
        </w:rPr>
        <w:t xml:space="preserve">Usługi wspomagające realizację projektu </w:t>
      </w:r>
    </w:p>
    <w:p w14:paraId="62EC32ED"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doradcze w trakcie realizacji projektu, w tym zapewnienie wsparcia technicznego, </w:t>
      </w:r>
    </w:p>
    <w:p w14:paraId="1A6A93C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ekspertyzy prawne, badania i analizy techniczne, finansowe, ekonomiczne oraz w zakresie wdrażania krajowych i międzynarodowych standardów,</w:t>
      </w:r>
    </w:p>
    <w:p w14:paraId="05B3FF6E"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usługi prawne,</w:t>
      </w:r>
    </w:p>
    <w:p w14:paraId="685EE353"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tłumaczenia,</w:t>
      </w:r>
    </w:p>
    <w:p w14:paraId="1B43C5F0"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księgowe, </w:t>
      </w:r>
    </w:p>
    <w:p w14:paraId="120D596A"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audytu zewnętrznego , </w:t>
      </w:r>
    </w:p>
    <w:p w14:paraId="252BE71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zakup ogłoszeń prasowych (nie dotyczących promocji), </w:t>
      </w:r>
    </w:p>
    <w:p w14:paraId="4982966B"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przypadku, gdy dana usługa nie jest bezpośrednio związana z głównymi celami i produktami projektu wydatek powinien zostać wykazany w ramach kategorii </w:t>
      </w:r>
      <w:r w:rsidRPr="00B052AB">
        <w:rPr>
          <w:rFonts w:ascii="Arial" w:hAnsi="Arial" w:cs="Arial"/>
          <w:i/>
        </w:rPr>
        <w:t>Wydatki poniesione na pokrycie kosztów pośrednich</w:t>
      </w:r>
      <w:r w:rsidRPr="00B052AB">
        <w:rPr>
          <w:rFonts w:ascii="Arial" w:hAnsi="Arial" w:cs="Arial"/>
        </w:rPr>
        <w:t xml:space="preserve"> np. ogłoszenia w prasie dotyczące wyboru wykonawców, ekspertyzy i usługi prawne z zakresu pzp, usługi kopiowania dokumentów na potrzeby kontroli czy usługi doradcze z zakresu zarządzania projektem itp.</w:t>
      </w:r>
    </w:p>
    <w:p w14:paraId="31D167FB"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Wynagrodzenia pracowników wykonujących merytoryczne zadania bezpośrednio związane z głównymi celami i produktami projektu.</w:t>
      </w:r>
    </w:p>
    <w:p w14:paraId="498ECB3F"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ramach tej kategorii uwzględnia się także koszty wynagrodzeń koordynatora/kierownika projektu. </w:t>
      </w:r>
    </w:p>
    <w:p w14:paraId="0617F92C"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Informacja i promocja, w tym wydatki:</w:t>
      </w:r>
    </w:p>
    <w:p w14:paraId="60BEB2D2" w14:textId="77777777" w:rsidR="00B052AB" w:rsidRPr="00B052AB" w:rsidRDefault="00B052AB" w:rsidP="00B052AB">
      <w:pPr>
        <w:numPr>
          <w:ilvl w:val="0"/>
          <w:numId w:val="157"/>
        </w:numPr>
        <w:autoSpaceDE w:val="0"/>
        <w:autoSpaceDN w:val="0"/>
        <w:adjustRightInd w:val="0"/>
        <w:spacing w:after="0" w:line="360" w:lineRule="auto"/>
        <w:ind w:hanging="219"/>
        <w:jc w:val="both"/>
        <w:rPr>
          <w:rFonts w:ascii="Arial" w:hAnsi="Arial" w:cs="Arial"/>
        </w:rPr>
      </w:pPr>
      <w:r w:rsidRPr="00B052AB">
        <w:rPr>
          <w:rFonts w:ascii="Arial" w:hAnsi="Arial" w:cs="Arial"/>
        </w:rPr>
        <w:t>poniesione na tablice informacyjne i pamiątkowe,</w:t>
      </w:r>
    </w:p>
    <w:p w14:paraId="0EDF1814"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związane ze stworzeniem i prowadzeniem strony internetowej projektu, profili na portalach społecznościowych, blogów i innych form wykorzystujących komunikację internetową,</w:t>
      </w:r>
    </w:p>
    <w:p w14:paraId="1FAB7F6D"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organizacją konferencji promujących projekt,</w:t>
      </w:r>
    </w:p>
    <w:p w14:paraId="11442901"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color w:val="000000"/>
          <w:sz w:val="24"/>
          <w:szCs w:val="24"/>
        </w:rPr>
      </w:pPr>
      <w:r w:rsidRPr="00B052AB">
        <w:rPr>
          <w:rFonts w:ascii="Arial" w:hAnsi="Arial" w:cs="Arial"/>
        </w:rPr>
        <w:t>poniesione w związku z realizacją działań informacyjno-promocyjnych, w tym m.in. kampanii, promocji w mediach elektronicznych i tradycyjnych,</w:t>
      </w:r>
    </w:p>
    <w:p w14:paraId="7EE5CBDF"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organizowaniem spotkań informacyjnych i wydarzeń promocyjnych (w tym wynajem sali, catering),</w:t>
      </w:r>
    </w:p>
    <w:p w14:paraId="50CB3946"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 xml:space="preserve">poniesione na podstawowe materiały informacyjne i promocyjne. </w:t>
      </w:r>
    </w:p>
    <w:p w14:paraId="1F6117A9"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sidRPr="00B052AB">
        <w:rPr>
          <w:rFonts w:ascii="Arial" w:hAnsi="Arial" w:cs="Arial"/>
        </w:rPr>
        <w:br/>
        <w:t>w komunikacji FE.</w:t>
      </w:r>
    </w:p>
    <w:p w14:paraId="6AD57114"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195FFF6F"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Wydatki na informację i promocję nie mogą przekraczać 15% wydatków kwalifikowalnych projektu. </w:t>
      </w:r>
    </w:p>
    <w:p w14:paraId="12D6FFD9"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Wydatki poniesione na pokrycie kosztów pośrednich</w:t>
      </w:r>
    </w:p>
    <w:p w14:paraId="5D21D5FD"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W ramach osi II wydatkami kwalifikowalnymi w zakresie tej kategorii mogą być:</w:t>
      </w:r>
    </w:p>
    <w:p w14:paraId="761B208D" w14:textId="77777777" w:rsidR="00B052AB" w:rsidRPr="00B052AB" w:rsidRDefault="00B052AB" w:rsidP="00B052AB">
      <w:pPr>
        <w:numPr>
          <w:ilvl w:val="0"/>
          <w:numId w:val="158"/>
        </w:numPr>
        <w:autoSpaceDE w:val="0"/>
        <w:autoSpaceDN w:val="0"/>
        <w:adjustRightInd w:val="0"/>
        <w:spacing w:before="120" w:after="120" w:line="360" w:lineRule="auto"/>
        <w:ind w:left="993" w:hanging="426"/>
        <w:jc w:val="both"/>
        <w:rPr>
          <w:rFonts w:ascii="Arial" w:hAnsi="Arial" w:cs="Arial"/>
        </w:rPr>
      </w:pPr>
      <w:r w:rsidRPr="00B052AB">
        <w:rPr>
          <w:rFonts w:ascii="Arial" w:hAnsi="Arial" w:cs="Arial"/>
        </w:rPr>
        <w:t xml:space="preserve">wydatki związane z zaangażowaniem osób wykonujących czynności niezwiązane bezpośrednio z głównymi celami i produktami projektu, z zastrzeżeniem zapisów podrozdziału 6.15 </w:t>
      </w:r>
      <w:r w:rsidRPr="00B052AB">
        <w:rPr>
          <w:rFonts w:ascii="Arial" w:hAnsi="Arial" w:cs="Arial"/>
          <w:i/>
        </w:rPr>
        <w:t>Wytycznych</w:t>
      </w:r>
      <w:r w:rsidRPr="00B052AB">
        <w:rPr>
          <w:rFonts w:ascii="Arial" w:hAnsi="Arial" w:cs="Arial"/>
        </w:rPr>
        <w:t>. Można do nich zaliczyć wydatki poniesione na pokrycie kosztów wynagrodzeń osób zaliczających się do personelu wsparcia, czyli osób zaangażowanych w obsługę techniczną projektu, w tym obsługę kadrową, administracyjną, sekretariat i kancelarię, księgowość, obsługę w zakresie promocji, zamówień, prawnym i realizujące także inne działania niezwiązane z wdrażaniem konkretnych zadań wskazanych we wniosku o dofinansowanie projektu,</w:t>
      </w:r>
    </w:p>
    <w:p w14:paraId="09BCB2AB" w14:textId="77777777" w:rsidR="00B052AB" w:rsidRPr="00B052AB" w:rsidRDefault="00B052AB" w:rsidP="00B052AB">
      <w:pPr>
        <w:numPr>
          <w:ilvl w:val="0"/>
          <w:numId w:val="158"/>
        </w:numPr>
        <w:autoSpaceDE w:val="0"/>
        <w:autoSpaceDN w:val="0"/>
        <w:adjustRightInd w:val="0"/>
        <w:spacing w:before="120" w:after="120" w:line="360" w:lineRule="auto"/>
        <w:jc w:val="both"/>
        <w:rPr>
          <w:rFonts w:ascii="Arial" w:hAnsi="Arial" w:cs="Arial"/>
          <w:color w:val="000000"/>
        </w:rPr>
      </w:pPr>
      <w:r w:rsidRPr="00B052AB">
        <w:rPr>
          <w:rFonts w:ascii="Arial" w:hAnsi="Arial" w:cs="Arial"/>
          <w:color w:val="000000"/>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p>
    <w:p w14:paraId="271EFDE6"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Powyższe wydatki są kwalifikowalne w wysokości nie przekraczającej 10% całkowitych wydatków kwalifikowalnych projektu. W przypadku zmiany wysokości kosztów kwalifikowanych w projekcie należy ponownie przeliczyć limit określony dla kosztów pośrednich.</w:t>
      </w:r>
    </w:p>
    <w:p w14:paraId="707E20B1" w14:textId="641015E0" w:rsidR="00EB2C27" w:rsidRDefault="00EB2C27">
      <w:pPr>
        <w:rPr>
          <w:rFonts w:ascii="Arial" w:hAnsi="Arial" w:cs="Arial"/>
        </w:rPr>
      </w:pPr>
      <w:r>
        <w:rPr>
          <w:rFonts w:ascii="Arial" w:hAnsi="Arial" w:cs="Arial"/>
        </w:rPr>
        <w:br w:type="page"/>
      </w:r>
    </w:p>
    <w:p w14:paraId="582428C3" w14:textId="77777777" w:rsidR="00944E2A" w:rsidRDefault="00944E2A">
      <w:pPr>
        <w:rPr>
          <w:rFonts w:ascii="Arial" w:hAnsi="Arial" w:cs="Arial"/>
        </w:rPr>
      </w:pPr>
    </w:p>
    <w:p w14:paraId="31B911F9" w14:textId="77777777"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5" w:name="_Toc10542541"/>
      <w:r w:rsidRPr="00B81671">
        <w:rPr>
          <w:rFonts w:ascii="Arial" w:eastAsia="Times New Roman" w:hAnsi="Arial" w:cs="Times New Roman"/>
          <w:b/>
          <w:bCs/>
          <w:sz w:val="24"/>
          <w:szCs w:val="20"/>
          <w:lang w:eastAsia="pl-PL"/>
        </w:rPr>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Pzp</w:t>
      </w:r>
      <w:bookmarkEnd w:id="95"/>
    </w:p>
    <w:p w14:paraId="23F3580C" w14:textId="77777777" w:rsidR="005530C1" w:rsidRPr="00B81671" w:rsidRDefault="005530C1" w:rsidP="005530C1">
      <w:pPr>
        <w:spacing w:after="0" w:line="360" w:lineRule="auto"/>
        <w:ind w:left="426"/>
        <w:jc w:val="both"/>
        <w:rPr>
          <w:rFonts w:ascii="Arial" w:eastAsia="Times New Roman" w:hAnsi="Arial" w:cs="Arial"/>
          <w:lang w:eastAsia="pl-PL"/>
        </w:rPr>
      </w:pPr>
    </w:p>
    <w:p w14:paraId="49858EF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14:paraId="23CB5674"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14:paraId="4AC0721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14:paraId="53E6916F"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14:paraId="4F66336E" w14:textId="77777777"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14:paraId="1ECFD037" w14:textId="77777777"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14:paraId="25738BE0"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14:paraId="5CC9C533"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14:paraId="439F118A"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14:paraId="4870B71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14:paraId="272C028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14:paraId="5E690E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lub jakimkolwiek innym podmiotem/jakąkolwiek inną osobą sposobu poprawienia omyłek, które pojawiły się w ofercie, a o których mowa w przepisie art.  87 ust. 2 ustawy Pzp.</w:t>
      </w:r>
    </w:p>
    <w:p w14:paraId="7F571223"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14:paraId="4A5FCB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5807ACFA"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14:paraId="3983E8C2" w14:textId="77777777"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14:paraId="14853092" w14:textId="77777777" w:rsidR="005530C1" w:rsidRPr="00B81671" w:rsidRDefault="005530C1" w:rsidP="00903FFD">
      <w:pPr>
        <w:spacing w:after="0" w:line="360" w:lineRule="auto"/>
        <w:ind w:left="426"/>
        <w:jc w:val="both"/>
        <w:rPr>
          <w:rFonts w:ascii="Arial" w:eastAsia="Times New Roman" w:hAnsi="Arial" w:cs="Arial"/>
          <w:lang w:eastAsia="pl-PL"/>
        </w:rPr>
      </w:pPr>
    </w:p>
    <w:p w14:paraId="54A51F90" w14:textId="77777777" w:rsidR="005530C1" w:rsidRPr="00B81671" w:rsidRDefault="005530C1" w:rsidP="00903FFD">
      <w:pPr>
        <w:spacing w:after="0" w:line="360" w:lineRule="auto"/>
        <w:ind w:left="426"/>
        <w:jc w:val="both"/>
        <w:rPr>
          <w:rFonts w:ascii="Arial" w:eastAsia="Times New Roman" w:hAnsi="Arial" w:cs="Arial"/>
          <w:lang w:eastAsia="pl-PL"/>
        </w:rPr>
      </w:pPr>
    </w:p>
    <w:p w14:paraId="5DB8BEF0" w14:textId="77777777" w:rsidR="005530C1" w:rsidRPr="00B81671" w:rsidRDefault="005530C1" w:rsidP="00903FFD">
      <w:pPr>
        <w:spacing w:after="0" w:line="360" w:lineRule="auto"/>
        <w:ind w:left="426"/>
        <w:jc w:val="both"/>
        <w:rPr>
          <w:rFonts w:ascii="Arial" w:eastAsia="Times New Roman" w:hAnsi="Arial" w:cs="Arial"/>
          <w:lang w:eastAsia="pl-PL"/>
        </w:rPr>
      </w:pPr>
    </w:p>
    <w:p w14:paraId="1381DF0C" w14:textId="77777777" w:rsidR="005530C1" w:rsidRPr="00B81671" w:rsidRDefault="005530C1" w:rsidP="00903FFD">
      <w:pPr>
        <w:spacing w:after="0" w:line="360" w:lineRule="auto"/>
        <w:ind w:left="426"/>
        <w:jc w:val="both"/>
        <w:rPr>
          <w:rFonts w:ascii="Arial" w:eastAsia="Times New Roman" w:hAnsi="Arial" w:cs="Arial"/>
          <w:lang w:eastAsia="pl-PL"/>
        </w:rPr>
      </w:pPr>
    </w:p>
    <w:p w14:paraId="78568B60" w14:textId="77777777" w:rsidR="00AA41C9" w:rsidRPr="00B81671" w:rsidRDefault="00AA41C9" w:rsidP="001B27A2">
      <w:pPr>
        <w:spacing w:after="0" w:line="360" w:lineRule="auto"/>
        <w:jc w:val="both"/>
        <w:rPr>
          <w:rFonts w:ascii="Arial" w:eastAsia="Calibri" w:hAnsi="Arial" w:cs="Times New Roman"/>
          <w:szCs w:val="20"/>
        </w:rPr>
      </w:pPr>
    </w:p>
    <w:p w14:paraId="2B2DCEAC" w14:textId="77777777" w:rsidR="00AA41C9" w:rsidRPr="00B81671" w:rsidRDefault="00AA41C9" w:rsidP="001B27A2">
      <w:pPr>
        <w:spacing w:after="0" w:line="360" w:lineRule="auto"/>
        <w:jc w:val="both"/>
      </w:pPr>
    </w:p>
    <w:p w14:paraId="175E6C70" w14:textId="77777777" w:rsidR="007E0407" w:rsidRPr="00B81671" w:rsidRDefault="007E0407">
      <w:r w:rsidRPr="00B81671">
        <w:br w:type="page"/>
      </w:r>
    </w:p>
    <w:p w14:paraId="1C72B0E6" w14:textId="77777777"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14:paraId="76F92179" w14:textId="77777777"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6" w:name="_Toc10542542"/>
      <w:r w:rsidRPr="00B81671">
        <w:rPr>
          <w:rFonts w:ascii="Arial" w:eastAsia="Times New Roman" w:hAnsi="Arial" w:cs="Times New Roman"/>
          <w:b/>
          <w:bCs/>
          <w:sz w:val="24"/>
          <w:szCs w:val="20"/>
          <w:lang w:eastAsia="pl-PL"/>
        </w:rPr>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6"/>
    </w:p>
    <w:p w14:paraId="4E860875" w14:textId="77777777" w:rsidR="0065055F" w:rsidRPr="00B81671" w:rsidRDefault="0065055F" w:rsidP="0065055F">
      <w:pPr>
        <w:spacing w:before="120" w:after="120" w:line="360" w:lineRule="auto"/>
        <w:jc w:val="both"/>
        <w:rPr>
          <w:rFonts w:ascii="Arial" w:eastAsia="MS Mincho" w:hAnsi="Arial" w:cs="Arial"/>
          <w:lang w:eastAsia="ja-JP"/>
        </w:rPr>
      </w:pPr>
    </w:p>
    <w:p w14:paraId="06FF40C2" w14:textId="77777777"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14:paraId="2B9E555E" w14:textId="77777777" w:rsidTr="00773FC4">
        <w:tc>
          <w:tcPr>
            <w:tcW w:w="2835" w:type="dxa"/>
            <w:vMerge w:val="restart"/>
            <w:vAlign w:val="center"/>
          </w:tcPr>
          <w:p w14:paraId="0963F433" w14:textId="77777777"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14:paraId="5A9BF1F6" w14:textId="77777777"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14:paraId="6A07935F" w14:textId="77777777" w:rsidTr="00773FC4">
        <w:tc>
          <w:tcPr>
            <w:tcW w:w="2835" w:type="dxa"/>
            <w:vMerge/>
            <w:vAlign w:val="center"/>
          </w:tcPr>
          <w:p w14:paraId="743DB94F" w14:textId="77777777"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14:paraId="7EFAF472" w14:textId="77777777" w:rsidR="0065055F" w:rsidRPr="00B81671" w:rsidRDefault="0065055F" w:rsidP="00773FC4">
            <w:pPr>
              <w:jc w:val="center"/>
              <w:rPr>
                <w:rFonts w:ascii="Arial" w:hAnsi="Arial" w:cs="Arial"/>
                <w:b/>
              </w:rPr>
            </w:pPr>
            <w:r w:rsidRPr="00B81671">
              <w:rPr>
                <w:rFonts w:ascii="Arial" w:hAnsi="Arial" w:cs="Arial"/>
                <w:b/>
              </w:rPr>
              <w:t>Zamawiający zobligowani do stosowania Pzp (zgodnie z art. 3 Pzp)</w:t>
            </w:r>
          </w:p>
        </w:tc>
        <w:tc>
          <w:tcPr>
            <w:tcW w:w="3827" w:type="dxa"/>
            <w:vAlign w:val="center"/>
          </w:tcPr>
          <w:p w14:paraId="7C80B737" w14:textId="77777777"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14:paraId="7101B848" w14:textId="77777777" w:rsidR="0065055F" w:rsidRPr="00B81671" w:rsidRDefault="0065055F" w:rsidP="00FE6D5B">
            <w:pPr>
              <w:jc w:val="center"/>
              <w:rPr>
                <w:rFonts w:ascii="Arial" w:hAnsi="Arial" w:cs="Arial"/>
                <w:b/>
              </w:rPr>
            </w:pPr>
            <w:r w:rsidRPr="00B81671">
              <w:rPr>
                <w:rFonts w:ascii="Arial" w:hAnsi="Arial" w:cs="Arial"/>
                <w:b/>
              </w:rPr>
              <w:t>Zamawiający niezobowiązani do stosowania Pzp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14:paraId="4EED74A5" w14:textId="77777777" w:rsidTr="00773FC4">
        <w:trPr>
          <w:trHeight w:val="383"/>
        </w:trPr>
        <w:tc>
          <w:tcPr>
            <w:tcW w:w="2835" w:type="dxa"/>
          </w:tcPr>
          <w:p w14:paraId="3FAD8F09"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14:paraId="005518DA"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14:paraId="5BA708BC"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14:paraId="3206EE37"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14:paraId="289DA779" w14:textId="77777777" w:rsidTr="00773FC4">
        <w:tc>
          <w:tcPr>
            <w:tcW w:w="2835" w:type="dxa"/>
          </w:tcPr>
          <w:p w14:paraId="06A0AE6B" w14:textId="77777777" w:rsidR="0065055F" w:rsidRPr="00B81671" w:rsidRDefault="0065055F" w:rsidP="00773FC4">
            <w:pPr>
              <w:jc w:val="center"/>
              <w:rPr>
                <w:rFonts w:ascii="Arial" w:hAnsi="Arial" w:cs="Arial"/>
                <w:b/>
                <w:sz w:val="20"/>
                <w:szCs w:val="20"/>
              </w:rPr>
            </w:pPr>
          </w:p>
          <w:p w14:paraId="5D4FF57E"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14:paraId="5F89CC92"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4479E929"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14:paraId="13F2A7DC"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14:paraId="5F1E4DDB"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14:paraId="7482DC5B" w14:textId="77777777" w:rsidTr="00773FC4">
        <w:trPr>
          <w:trHeight w:val="1536"/>
        </w:trPr>
        <w:tc>
          <w:tcPr>
            <w:tcW w:w="2835" w:type="dxa"/>
          </w:tcPr>
          <w:p w14:paraId="432E896D" w14:textId="77777777" w:rsidR="0065055F" w:rsidRPr="00B81671" w:rsidRDefault="0065055F" w:rsidP="00773FC4">
            <w:pPr>
              <w:jc w:val="center"/>
              <w:rPr>
                <w:rFonts w:ascii="Arial" w:hAnsi="Arial" w:cs="Arial"/>
                <w:b/>
                <w:sz w:val="20"/>
                <w:szCs w:val="20"/>
              </w:rPr>
            </w:pPr>
          </w:p>
          <w:p w14:paraId="6B5AE47A"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Pzp tj. 30 ty</w:t>
            </w:r>
            <w:r w:rsidR="00DC366C">
              <w:rPr>
                <w:rFonts w:ascii="Arial" w:hAnsi="Arial" w:cs="Arial"/>
                <w:b/>
                <w:sz w:val="20"/>
                <w:szCs w:val="20"/>
              </w:rPr>
              <w:t>s.</w:t>
            </w:r>
            <w:r w:rsidRPr="00B81671">
              <w:rPr>
                <w:rFonts w:ascii="Arial" w:hAnsi="Arial" w:cs="Arial"/>
                <w:b/>
                <w:sz w:val="20"/>
                <w:szCs w:val="20"/>
              </w:rPr>
              <w:t xml:space="preserve"> euro netto</w:t>
            </w:r>
          </w:p>
          <w:p w14:paraId="18FBF9E9"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15AF0E2E" w14:textId="77777777" w:rsidR="0065055F" w:rsidRPr="00B81671" w:rsidRDefault="0065055F" w:rsidP="00773FC4">
            <w:pPr>
              <w:rPr>
                <w:rFonts w:ascii="Arial" w:hAnsi="Arial" w:cs="Arial"/>
                <w:b/>
                <w:sz w:val="20"/>
                <w:szCs w:val="20"/>
              </w:rPr>
            </w:pPr>
          </w:p>
          <w:p w14:paraId="77BFA677"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14:paraId="0E62266F" w14:textId="77777777" w:rsidR="0065055F" w:rsidRPr="00B81671" w:rsidRDefault="0065055F" w:rsidP="00773FC4">
            <w:pPr>
              <w:rPr>
                <w:rFonts w:ascii="Arial" w:hAnsi="Arial" w:cs="Arial"/>
                <w:b/>
                <w:sz w:val="20"/>
                <w:szCs w:val="20"/>
              </w:rPr>
            </w:pPr>
          </w:p>
          <w:p w14:paraId="666925E5" w14:textId="77777777"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14:paraId="6ADFBD85" w14:textId="77777777" w:rsidR="0065055F" w:rsidRPr="00B81671" w:rsidRDefault="0065055F" w:rsidP="00773FC4">
            <w:pPr>
              <w:rPr>
                <w:rFonts w:ascii="Arial" w:hAnsi="Arial" w:cs="Arial"/>
                <w:b/>
                <w:sz w:val="20"/>
                <w:szCs w:val="20"/>
              </w:rPr>
            </w:pPr>
          </w:p>
          <w:p w14:paraId="247696C5"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14:paraId="076AF469" w14:textId="77777777" w:rsidTr="00773FC4">
        <w:tc>
          <w:tcPr>
            <w:tcW w:w="2835" w:type="dxa"/>
          </w:tcPr>
          <w:p w14:paraId="5B4C7243" w14:textId="77777777" w:rsidR="0065055F" w:rsidRPr="00B81671" w:rsidRDefault="0065055F" w:rsidP="00773FC4">
            <w:pPr>
              <w:jc w:val="center"/>
              <w:rPr>
                <w:rFonts w:ascii="Arial" w:hAnsi="Arial" w:cs="Arial"/>
                <w:b/>
                <w:sz w:val="20"/>
                <w:szCs w:val="20"/>
              </w:rPr>
            </w:pPr>
          </w:p>
          <w:p w14:paraId="1EC86110"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14:paraId="08406BCC"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2A742171" w14:textId="77777777" w:rsidR="0065055F" w:rsidRPr="00B81671" w:rsidRDefault="0065055F" w:rsidP="00773FC4">
            <w:pPr>
              <w:rPr>
                <w:rFonts w:ascii="Arial" w:hAnsi="Arial" w:cs="Arial"/>
                <w:b/>
                <w:sz w:val="20"/>
                <w:szCs w:val="20"/>
              </w:rPr>
            </w:pPr>
          </w:p>
          <w:p w14:paraId="4433A599" w14:textId="77777777" w:rsidR="0065055F" w:rsidRPr="00B81671" w:rsidRDefault="0065055F" w:rsidP="00773FC4">
            <w:pPr>
              <w:spacing w:before="120" w:after="120" w:line="360" w:lineRule="auto"/>
              <w:rPr>
                <w:rFonts w:ascii="Arial" w:eastAsia="MS Mincho" w:hAnsi="Arial" w:cs="Arial"/>
                <w:i/>
                <w:lang w:eastAsia="ja-JP"/>
              </w:rPr>
            </w:pPr>
            <w:r w:rsidRPr="00B81671">
              <w:rPr>
                <w:rFonts w:ascii="Arial" w:hAnsi="Arial" w:cs="Arial"/>
                <w:b/>
                <w:sz w:val="20"/>
                <w:szCs w:val="20"/>
              </w:rPr>
              <w:t>Pzp</w:t>
            </w:r>
          </w:p>
        </w:tc>
        <w:tc>
          <w:tcPr>
            <w:tcW w:w="3827" w:type="dxa"/>
          </w:tcPr>
          <w:p w14:paraId="0C64A53E" w14:textId="77777777" w:rsidR="0065055F" w:rsidRPr="00B81671" w:rsidRDefault="0065055F" w:rsidP="00773FC4">
            <w:pPr>
              <w:rPr>
                <w:rFonts w:ascii="Arial" w:hAnsi="Arial" w:cs="Arial"/>
                <w:b/>
                <w:sz w:val="20"/>
                <w:szCs w:val="20"/>
              </w:rPr>
            </w:pPr>
          </w:p>
          <w:p w14:paraId="0C23FA04"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14:paraId="5B3B31A9" w14:textId="77777777" w:rsidR="0065055F" w:rsidRPr="00B81671" w:rsidRDefault="0065055F" w:rsidP="00773FC4">
            <w:pPr>
              <w:rPr>
                <w:rFonts w:ascii="Arial" w:hAnsi="Arial" w:cs="Arial"/>
                <w:b/>
                <w:sz w:val="20"/>
                <w:szCs w:val="20"/>
              </w:rPr>
            </w:pPr>
          </w:p>
          <w:p w14:paraId="08ED01CE" w14:textId="77777777"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14:paraId="2D2F18F1" w14:textId="77777777" w:rsidR="007E0407" w:rsidRPr="007E469E" w:rsidRDefault="007E0407" w:rsidP="007E0407">
      <w:pPr>
        <w:spacing w:after="0" w:line="240" w:lineRule="auto"/>
      </w:pPr>
    </w:p>
    <w:p w14:paraId="02DCA341" w14:textId="77777777"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E52C" w14:textId="77777777" w:rsidR="00FC3EBF" w:rsidRDefault="00FC3EBF" w:rsidP="00045401">
      <w:pPr>
        <w:spacing w:after="0" w:line="240" w:lineRule="auto"/>
      </w:pPr>
      <w:r>
        <w:separator/>
      </w:r>
    </w:p>
  </w:endnote>
  <w:endnote w:type="continuationSeparator" w:id="0">
    <w:p w14:paraId="28F437A6" w14:textId="77777777" w:rsidR="00FC3EBF" w:rsidRDefault="00FC3EBF"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14:paraId="06280B6C" w14:textId="67A8C204" w:rsidR="00482115" w:rsidRDefault="00482115">
        <w:pPr>
          <w:pStyle w:val="Stopka"/>
          <w:jc w:val="right"/>
        </w:pPr>
        <w:r>
          <w:fldChar w:fldCharType="begin"/>
        </w:r>
        <w:r>
          <w:instrText>PAGE   \* MERGEFORMAT</w:instrText>
        </w:r>
        <w:r>
          <w:fldChar w:fldCharType="separate"/>
        </w:r>
        <w:r w:rsidR="00E0403C">
          <w:rPr>
            <w:noProof/>
          </w:rPr>
          <w:t>2</w:t>
        </w:r>
        <w:r>
          <w:fldChar w:fldCharType="end"/>
        </w:r>
      </w:p>
    </w:sdtContent>
  </w:sdt>
  <w:p w14:paraId="494AD619" w14:textId="77777777" w:rsidR="00482115" w:rsidRDefault="00482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9E29" w14:textId="77777777" w:rsidR="00FC3EBF" w:rsidRDefault="00FC3EBF" w:rsidP="00045401">
      <w:pPr>
        <w:spacing w:after="0" w:line="240" w:lineRule="auto"/>
      </w:pPr>
      <w:r>
        <w:separator/>
      </w:r>
    </w:p>
  </w:footnote>
  <w:footnote w:type="continuationSeparator" w:id="0">
    <w:p w14:paraId="469187F0" w14:textId="77777777" w:rsidR="00FC3EBF" w:rsidRDefault="00FC3EBF" w:rsidP="00045401">
      <w:pPr>
        <w:spacing w:after="0" w:line="240" w:lineRule="auto"/>
      </w:pPr>
      <w:r>
        <w:continuationSeparator/>
      </w:r>
    </w:p>
  </w:footnote>
  <w:footnote w:id="1">
    <w:p w14:paraId="56C744BA" w14:textId="77777777" w:rsidR="00482115" w:rsidRPr="00395C47" w:rsidRDefault="00482115"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14:paraId="35A46817" w14:textId="77777777" w:rsidR="00482115" w:rsidRPr="000E3E65" w:rsidRDefault="00482115"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14:paraId="7F3A0FFF" w14:textId="77777777" w:rsidR="00482115" w:rsidRPr="00C55C98" w:rsidRDefault="00482115"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14:paraId="71849B13" w14:textId="77777777" w:rsidR="00482115" w:rsidRPr="00C55C98" w:rsidRDefault="00482115"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14:paraId="073E2868" w14:textId="77777777" w:rsidR="00482115" w:rsidRPr="00C55C98" w:rsidRDefault="00482115"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14:paraId="76A0E509" w14:textId="77777777" w:rsidR="00482115" w:rsidRPr="00250FF7" w:rsidRDefault="00482115"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14:paraId="157F8082" w14:textId="77777777" w:rsidR="00482115" w:rsidRPr="00D61F73" w:rsidRDefault="00482115">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14:paraId="5771C6FA" w14:textId="77777777" w:rsidR="00482115" w:rsidRPr="006E7156" w:rsidRDefault="00482115"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14:paraId="42EB5729" w14:textId="77777777" w:rsidR="00482115" w:rsidRPr="006E7156" w:rsidRDefault="00482115"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14:paraId="597BA0C7" w14:textId="77777777" w:rsidR="00482115" w:rsidRPr="003217B9" w:rsidRDefault="00482115"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long-term evolution) lub LTEAdvanced,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14:paraId="76D3C6CF" w14:textId="77777777" w:rsidR="00482115" w:rsidRPr="00AA2E60" w:rsidRDefault="00482115"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14:paraId="357EEF35" w14:textId="77777777" w:rsidR="00482115" w:rsidRPr="00F80636" w:rsidRDefault="00482115"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późn. zm.</w:t>
      </w:r>
    </w:p>
  </w:footnote>
  <w:footnote w:id="13">
    <w:p w14:paraId="61AB8F68" w14:textId="77777777" w:rsidR="00482115" w:rsidRPr="006803C1" w:rsidRDefault="00482115"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DDO-52-93(3)/11/MGr</w:t>
      </w:r>
      <w:r>
        <w:rPr>
          <w:rFonts w:ascii="Arial" w:hAnsi="Arial" w:cs="Arial"/>
          <w:sz w:val="16"/>
          <w:szCs w:val="16"/>
          <w:lang w:val="pl-PL"/>
        </w:rPr>
        <w:t>.</w:t>
      </w:r>
      <w:r w:rsidRPr="006803C1">
        <w:rPr>
          <w:rFonts w:ascii="Arial" w:hAnsi="Arial" w:cs="Arial"/>
          <w:sz w:val="16"/>
          <w:szCs w:val="16"/>
          <w:lang w:val="pl-PL"/>
        </w:rPr>
        <w:t xml:space="preserve"> </w:t>
      </w:r>
    </w:p>
  </w:footnote>
  <w:footnote w:id="14">
    <w:p w14:paraId="0DA969BE" w14:textId="77777777" w:rsidR="00482115" w:rsidRPr="00AA2E60" w:rsidRDefault="00482115"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14:paraId="374A5326" w14:textId="77777777" w:rsidR="00482115" w:rsidRPr="006E7156" w:rsidRDefault="00482115">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14:paraId="3964AA54" w14:textId="77777777" w:rsidR="00482115" w:rsidRPr="00136638" w:rsidRDefault="00482115"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14:paraId="65E723F7" w14:textId="77777777" w:rsidR="00482115" w:rsidRPr="006E7156" w:rsidRDefault="00482115">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14:paraId="6F5BB78F" w14:textId="77777777" w:rsidR="00482115" w:rsidRPr="006E7156" w:rsidRDefault="00482115"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DED78D3"/>
    <w:multiLevelType w:val="hybridMultilevel"/>
    <w:tmpl w:val="BB68377A"/>
    <w:lvl w:ilvl="0" w:tplc="61CC2F4C">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30"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1E0B4CB7"/>
    <w:multiLevelType w:val="hybridMultilevel"/>
    <w:tmpl w:val="4DB0B432"/>
    <w:lvl w:ilvl="0" w:tplc="5FD039D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9"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26C3FAB"/>
    <w:multiLevelType w:val="hybridMultilevel"/>
    <w:tmpl w:val="442A6B88"/>
    <w:lvl w:ilvl="0" w:tplc="64AA4FEE">
      <w:start w:val="1"/>
      <w:numFmt w:val="lowerRoman"/>
      <w:lvlText w:val="%1)"/>
      <w:lvlJc w:val="left"/>
      <w:pPr>
        <w:ind w:left="928" w:hanging="360"/>
      </w:pPr>
      <w:rPr>
        <w:rFonts w:asciiTheme="minorHAnsi" w:eastAsiaTheme="minorHAnsi" w:hAnsiTheme="minorHAnsi" w:cstheme="minorBidi"/>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60"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7"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9"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5"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4"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5"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00"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15:restartNumberingAfterBreak="0">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4"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8"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0"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862"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7" w15:restartNumberingAfterBreak="0">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0"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31"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3"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9"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6" w15:restartNumberingAfterBreak="0">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9"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51"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1"/>
  </w:num>
  <w:num w:numId="2">
    <w:abstractNumId w:val="82"/>
  </w:num>
  <w:num w:numId="3">
    <w:abstractNumId w:val="134"/>
  </w:num>
  <w:num w:numId="4">
    <w:abstractNumId w:val="130"/>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142"/>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6"/>
  </w:num>
  <w:num w:numId="12">
    <w:abstractNumId w:val="9"/>
  </w:num>
  <w:num w:numId="13">
    <w:abstractNumId w:val="126"/>
  </w:num>
  <w:num w:numId="14">
    <w:abstractNumId w:val="104"/>
  </w:num>
  <w:num w:numId="15">
    <w:abstractNumId w:val="57"/>
  </w:num>
  <w:num w:numId="16">
    <w:abstractNumId w:val="124"/>
  </w:num>
  <w:num w:numId="17">
    <w:abstractNumId w:val="115"/>
  </w:num>
  <w:num w:numId="18">
    <w:abstractNumId w:val="98"/>
  </w:num>
  <w:num w:numId="19">
    <w:abstractNumId w:val="95"/>
  </w:num>
  <w:num w:numId="20">
    <w:abstractNumId w:val="149"/>
  </w:num>
  <w:num w:numId="21">
    <w:abstractNumId w:val="4"/>
  </w:num>
  <w:num w:numId="22">
    <w:abstractNumId w:val="46"/>
  </w:num>
  <w:num w:numId="23">
    <w:abstractNumId w:val="108"/>
  </w:num>
  <w:num w:numId="24">
    <w:abstractNumId w:val="54"/>
  </w:num>
  <w:num w:numId="25">
    <w:abstractNumId w:val="127"/>
  </w:num>
  <w:num w:numId="26">
    <w:abstractNumId w:val="141"/>
  </w:num>
  <w:num w:numId="27">
    <w:abstractNumId w:val="50"/>
  </w:num>
  <w:num w:numId="28">
    <w:abstractNumId w:val="89"/>
  </w:num>
  <w:num w:numId="29">
    <w:abstractNumId w:val="55"/>
  </w:num>
  <w:num w:numId="30">
    <w:abstractNumId w:val="31"/>
  </w:num>
  <w:num w:numId="31">
    <w:abstractNumId w:val="8"/>
  </w:num>
  <w:num w:numId="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121"/>
  </w:num>
  <w:num w:numId="35">
    <w:abstractNumId w:val="74"/>
  </w:num>
  <w:num w:numId="36">
    <w:abstractNumId w:val="81"/>
  </w:num>
  <w:num w:numId="37">
    <w:abstractNumId w:val="102"/>
  </w:num>
  <w:num w:numId="38">
    <w:abstractNumId w:val="96"/>
  </w:num>
  <w:num w:numId="39">
    <w:abstractNumId w:val="65"/>
  </w:num>
  <w:num w:numId="40">
    <w:abstractNumId w:val="112"/>
  </w:num>
  <w:num w:numId="41">
    <w:abstractNumId w:val="28"/>
  </w:num>
  <w:num w:numId="42">
    <w:abstractNumId w:val="79"/>
  </w:num>
  <w:num w:numId="43">
    <w:abstractNumId w:val="51"/>
  </w:num>
  <w:num w:numId="44">
    <w:abstractNumId w:val="118"/>
  </w:num>
  <w:num w:numId="45">
    <w:abstractNumId w:val="138"/>
  </w:num>
  <w:num w:numId="46">
    <w:abstractNumId w:val="133"/>
  </w:num>
  <w:num w:numId="47">
    <w:abstractNumId w:val="80"/>
  </w:num>
  <w:num w:numId="48">
    <w:abstractNumId w:val="25"/>
  </w:num>
  <w:num w:numId="49">
    <w:abstractNumId w:val="5"/>
  </w:num>
  <w:num w:numId="50">
    <w:abstractNumId w:val="110"/>
  </w:num>
  <w:num w:numId="51">
    <w:abstractNumId w:val="40"/>
  </w:num>
  <w:num w:numId="52">
    <w:abstractNumId w:val="139"/>
  </w:num>
  <w:num w:numId="53">
    <w:abstractNumId w:val="26"/>
  </w:num>
  <w:num w:numId="54">
    <w:abstractNumId w:val="67"/>
  </w:num>
  <w:num w:numId="55">
    <w:abstractNumId w:val="19"/>
  </w:num>
  <w:num w:numId="56">
    <w:abstractNumId w:val="56"/>
  </w:num>
  <w:num w:numId="57">
    <w:abstractNumId w:val="91"/>
  </w:num>
  <w:num w:numId="58">
    <w:abstractNumId w:val="147"/>
  </w:num>
  <w:num w:numId="59">
    <w:abstractNumId w:val="63"/>
  </w:num>
  <w:num w:numId="60">
    <w:abstractNumId w:val="6"/>
  </w:num>
  <w:num w:numId="61">
    <w:abstractNumId w:val="151"/>
  </w:num>
  <w:num w:numId="62">
    <w:abstractNumId w:val="33"/>
  </w:num>
  <w:num w:numId="63">
    <w:abstractNumId w:val="99"/>
  </w:num>
  <w:num w:numId="64">
    <w:abstractNumId w:val="93"/>
  </w:num>
  <w:num w:numId="65">
    <w:abstractNumId w:val="38"/>
  </w:num>
  <w:num w:numId="66">
    <w:abstractNumId w:val="144"/>
  </w:num>
  <w:num w:numId="67">
    <w:abstractNumId w:val="128"/>
  </w:num>
  <w:num w:numId="68">
    <w:abstractNumId w:val="3"/>
  </w:num>
  <w:num w:numId="69">
    <w:abstractNumId w:val="135"/>
  </w:num>
  <w:num w:numId="70">
    <w:abstractNumId w:val="42"/>
  </w:num>
  <w:num w:numId="71">
    <w:abstractNumId w:val="88"/>
  </w:num>
  <w:num w:numId="72">
    <w:abstractNumId w:val="86"/>
  </w:num>
  <w:num w:numId="73">
    <w:abstractNumId w:val="137"/>
  </w:num>
  <w:num w:numId="74">
    <w:abstractNumId w:val="30"/>
  </w:num>
  <w:num w:numId="75">
    <w:abstractNumId w:val="24"/>
  </w:num>
  <w:num w:numId="76">
    <w:abstractNumId w:val="32"/>
  </w:num>
  <w:num w:numId="77">
    <w:abstractNumId w:val="90"/>
  </w:num>
  <w:num w:numId="78">
    <w:abstractNumId w:val="117"/>
  </w:num>
  <w:num w:numId="79">
    <w:abstractNumId w:val="61"/>
  </w:num>
  <w:num w:numId="80">
    <w:abstractNumId w:val="13"/>
  </w:num>
  <w:num w:numId="81">
    <w:abstractNumId w:val="58"/>
  </w:num>
  <w:num w:numId="82">
    <w:abstractNumId w:val="97"/>
  </w:num>
  <w:num w:numId="83">
    <w:abstractNumId w:val="69"/>
  </w:num>
  <w:num w:numId="84">
    <w:abstractNumId w:val="20"/>
  </w:num>
  <w:num w:numId="85">
    <w:abstractNumId w:val="44"/>
  </w:num>
  <w:num w:numId="86">
    <w:abstractNumId w:val="103"/>
  </w:num>
  <w:num w:numId="87">
    <w:abstractNumId w:val="18"/>
  </w:num>
  <w:num w:numId="88">
    <w:abstractNumId w:val="109"/>
  </w:num>
  <w:num w:numId="89">
    <w:abstractNumId w:val="123"/>
  </w:num>
  <w:num w:numId="90">
    <w:abstractNumId w:val="100"/>
  </w:num>
  <w:num w:numId="91">
    <w:abstractNumId w:val="145"/>
  </w:num>
  <w:num w:numId="92">
    <w:abstractNumId w:val="114"/>
  </w:num>
  <w:num w:numId="93">
    <w:abstractNumId w:val="70"/>
  </w:num>
  <w:num w:numId="94">
    <w:abstractNumId w:val="23"/>
  </w:num>
  <w:num w:numId="95">
    <w:abstractNumId w:val="73"/>
  </w:num>
  <w:num w:numId="96">
    <w:abstractNumId w:val="105"/>
  </w:num>
  <w:num w:numId="97">
    <w:abstractNumId w:val="92"/>
  </w:num>
  <w:num w:numId="98">
    <w:abstractNumId w:val="0"/>
  </w:num>
  <w:num w:numId="99">
    <w:abstractNumId w:val="37"/>
  </w:num>
  <w:num w:numId="100">
    <w:abstractNumId w:val="72"/>
  </w:num>
  <w:num w:numId="101">
    <w:abstractNumId w:val="71"/>
  </w:num>
  <w:num w:numId="102">
    <w:abstractNumId w:val="134"/>
  </w:num>
  <w:num w:numId="103">
    <w:abstractNumId w:val="134"/>
  </w:num>
  <w:num w:numId="104">
    <w:abstractNumId w:val="134"/>
  </w:num>
  <w:num w:numId="105">
    <w:abstractNumId w:val="11"/>
  </w:num>
  <w:num w:numId="106">
    <w:abstractNumId w:val="134"/>
  </w:num>
  <w:num w:numId="107">
    <w:abstractNumId w:val="60"/>
  </w:num>
  <w:num w:numId="108">
    <w:abstractNumId w:val="49"/>
  </w:num>
  <w:num w:numId="109">
    <w:abstractNumId w:val="62"/>
  </w:num>
  <w:num w:numId="110">
    <w:abstractNumId w:val="34"/>
  </w:num>
  <w:num w:numId="111">
    <w:abstractNumId w:val="1"/>
  </w:num>
  <w:num w:numId="112">
    <w:abstractNumId w:val="10"/>
  </w:num>
  <w:num w:numId="113">
    <w:abstractNumId w:val="131"/>
  </w:num>
  <w:num w:numId="114">
    <w:abstractNumId w:val="122"/>
  </w:num>
  <w:num w:numId="115">
    <w:abstractNumId w:val="77"/>
  </w:num>
  <w:num w:numId="116">
    <w:abstractNumId w:val="59"/>
  </w:num>
  <w:num w:numId="117">
    <w:abstractNumId w:val="7"/>
  </w:num>
  <w:num w:numId="118">
    <w:abstractNumId w:val="75"/>
  </w:num>
  <w:num w:numId="119">
    <w:abstractNumId w:val="39"/>
  </w:num>
  <w:num w:numId="120">
    <w:abstractNumId w:val="150"/>
  </w:num>
  <w:num w:numId="121">
    <w:abstractNumId w:val="85"/>
  </w:num>
  <w:num w:numId="122">
    <w:abstractNumId w:val="14"/>
  </w:num>
  <w:num w:numId="123">
    <w:abstractNumId w:val="17"/>
  </w:num>
  <w:num w:numId="124">
    <w:abstractNumId w:val="120"/>
  </w:num>
  <w:num w:numId="125">
    <w:abstractNumId w:val="140"/>
  </w:num>
  <w:num w:numId="126">
    <w:abstractNumId w:val="68"/>
  </w:num>
  <w:num w:numId="127">
    <w:abstractNumId w:val="94"/>
  </w:num>
  <w:num w:numId="128">
    <w:abstractNumId w:val="106"/>
  </w:num>
  <w:num w:numId="129">
    <w:abstractNumId w:val="47"/>
  </w:num>
  <w:num w:numId="130">
    <w:abstractNumId w:val="52"/>
  </w:num>
  <w:num w:numId="131">
    <w:abstractNumId w:val="64"/>
  </w:num>
  <w:num w:numId="132">
    <w:abstractNumId w:val="148"/>
  </w:num>
  <w:num w:numId="133">
    <w:abstractNumId w:val="87"/>
  </w:num>
  <w:num w:numId="134">
    <w:abstractNumId w:val="134"/>
  </w:num>
  <w:num w:numId="135">
    <w:abstractNumId w:val="134"/>
  </w:num>
  <w:num w:numId="136">
    <w:abstractNumId w:val="119"/>
  </w:num>
  <w:num w:numId="137">
    <w:abstractNumId w:val="41"/>
  </w:num>
  <w:num w:numId="138">
    <w:abstractNumId w:val="48"/>
  </w:num>
  <w:num w:numId="139">
    <w:abstractNumId w:val="2"/>
  </w:num>
  <w:num w:numId="140">
    <w:abstractNumId w:val="101"/>
  </w:num>
  <w:num w:numId="141">
    <w:abstractNumId w:val="45"/>
  </w:num>
  <w:num w:numId="142">
    <w:abstractNumId w:val="27"/>
  </w:num>
  <w:num w:numId="143">
    <w:abstractNumId w:val="12"/>
  </w:num>
  <w:num w:numId="144">
    <w:abstractNumId w:val="21"/>
  </w:num>
  <w:num w:numId="145">
    <w:abstractNumId w:val="146"/>
  </w:num>
  <w:num w:numId="146">
    <w:abstractNumId w:val="143"/>
  </w:num>
  <w:num w:numId="147">
    <w:abstractNumId w:val="129"/>
  </w:num>
  <w:num w:numId="148">
    <w:abstractNumId w:val="132"/>
  </w:num>
  <w:num w:numId="149">
    <w:abstractNumId w:val="29"/>
  </w:num>
  <w:num w:numId="150">
    <w:abstractNumId w:val="53"/>
  </w:num>
  <w:num w:numId="151">
    <w:abstractNumId w:val="84"/>
  </w:num>
  <w:num w:numId="152">
    <w:abstractNumId w:val="107"/>
  </w:num>
  <w:num w:numId="153">
    <w:abstractNumId w:val="78"/>
  </w:num>
  <w:num w:numId="154">
    <w:abstractNumId w:val="35"/>
  </w:num>
  <w:num w:numId="155">
    <w:abstractNumId w:val="15"/>
  </w:num>
  <w:num w:numId="156">
    <w:abstractNumId w:val="36"/>
  </w:num>
  <w:num w:numId="157">
    <w:abstractNumId w:val="43"/>
  </w:num>
  <w:num w:numId="158">
    <w:abstractNumId w:val="1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0B6"/>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1CC"/>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14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0F47"/>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01D8"/>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444"/>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0CC"/>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115"/>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1F14"/>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568"/>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54C"/>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060"/>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7A8"/>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40E"/>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68"/>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27CE9"/>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84C"/>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5C06"/>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5688"/>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38C2"/>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53E"/>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5FF"/>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064"/>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A6E"/>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2AB"/>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386"/>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5F33"/>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57"/>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03C"/>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4E2F"/>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6"/>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24D"/>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03C"/>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2E9B"/>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C27"/>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21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0FD7"/>
    <w:rsid w:val="00F71A5D"/>
    <w:rsid w:val="00F726BE"/>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AA0"/>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3EBF"/>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450"/>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5415AE"/>
  <w15:docId w15:val="{03B47707-F0D6-4160-A010-791C363C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52AB"/>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D687-A421-40D8-ACD3-A1A000C9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14197</Words>
  <Characters>85185</Characters>
  <Application>Microsoft Office Word</Application>
  <DocSecurity>4</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Slawomir Zubiak</dc:creator>
  <cp:lastModifiedBy>Slawomir Zubiak</cp:lastModifiedBy>
  <cp:revision>2</cp:revision>
  <cp:lastPrinted>2019-06-18T07:39:00Z</cp:lastPrinted>
  <dcterms:created xsi:type="dcterms:W3CDTF">2019-07-05T09:52:00Z</dcterms:created>
  <dcterms:modified xsi:type="dcterms:W3CDTF">2019-07-05T09:52:00Z</dcterms:modified>
</cp:coreProperties>
</file>