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EB9A3" w14:textId="77777777" w:rsidR="00D86214" w:rsidRPr="00BB76F6" w:rsidRDefault="00D86214" w:rsidP="00D86214">
      <w:pPr>
        <w:jc w:val="center"/>
        <w:rPr>
          <w:rFonts w:ascii="Lato" w:hAnsi="Lato"/>
          <w:b/>
          <w:bCs/>
          <w:color w:val="00B0F0"/>
          <w:sz w:val="36"/>
          <w:szCs w:val="36"/>
          <w:u w:val="single"/>
        </w:rPr>
      </w:pPr>
      <w:r w:rsidRPr="001A28EB">
        <w:rPr>
          <w:rFonts w:ascii="Lato" w:hAnsi="Lato"/>
          <w:b/>
          <w:bCs/>
          <w:color w:val="00B0F0"/>
          <w:sz w:val="36"/>
          <w:szCs w:val="36"/>
          <w:u w:val="single"/>
        </w:rPr>
        <w:t>OBWIESZCZENI</w:t>
      </w:r>
      <w:r>
        <w:rPr>
          <w:rFonts w:ascii="Lato" w:hAnsi="Lato"/>
          <w:b/>
          <w:bCs/>
          <w:color w:val="00B0F0"/>
          <w:sz w:val="36"/>
          <w:szCs w:val="36"/>
          <w:u w:val="single"/>
        </w:rPr>
        <w:t>E</w:t>
      </w:r>
      <w:r w:rsidRPr="001A28E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REFUNDACYJNE NR 7</w:t>
      </w:r>
      <w:r>
        <w:rPr>
          <w:rFonts w:ascii="Lato" w:hAnsi="Lato"/>
          <w:b/>
          <w:bCs/>
          <w:color w:val="00B0F0"/>
          <w:sz w:val="36"/>
          <w:szCs w:val="36"/>
          <w:u w:val="single"/>
        </w:rPr>
        <w:t>7</w:t>
      </w:r>
      <w:r w:rsidRPr="001A28E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(1 STYCZNIA 202</w:t>
      </w:r>
      <w:r>
        <w:rPr>
          <w:rFonts w:ascii="Lato" w:hAnsi="Lato"/>
          <w:b/>
          <w:bCs/>
          <w:color w:val="00B0F0"/>
          <w:sz w:val="36"/>
          <w:szCs w:val="36"/>
          <w:u w:val="single"/>
        </w:rPr>
        <w:t>5</w:t>
      </w:r>
      <w:r w:rsidRPr="001A28E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r.)</w:t>
      </w:r>
    </w:p>
    <w:p w14:paraId="2B646B7F" w14:textId="77777777" w:rsidR="00D86214" w:rsidRDefault="00D86214" w:rsidP="00D86214">
      <w:pPr>
        <w:spacing w:after="120" w:line="276" w:lineRule="auto"/>
        <w:jc w:val="both"/>
        <w:rPr>
          <w:rFonts w:ascii="Lato" w:hAnsi="Lato"/>
        </w:rPr>
      </w:pPr>
    </w:p>
    <w:p w14:paraId="467CB357" w14:textId="77777777" w:rsidR="00D86214" w:rsidRPr="00BB76F6" w:rsidRDefault="00D86214" w:rsidP="00D86214">
      <w:pPr>
        <w:spacing w:after="120" w:line="276" w:lineRule="auto"/>
        <w:jc w:val="both"/>
        <w:rPr>
          <w:rFonts w:ascii="Lato" w:hAnsi="Lato"/>
        </w:rPr>
      </w:pPr>
      <w:r w:rsidRPr="00BB76F6">
        <w:rPr>
          <w:rFonts w:ascii="Lato" w:hAnsi="Lato"/>
        </w:rPr>
        <w:t xml:space="preserve">W pierwszym wykazie </w:t>
      </w:r>
      <w:r>
        <w:rPr>
          <w:rFonts w:ascii="Lato" w:hAnsi="Lato"/>
        </w:rPr>
        <w:t>obowiązującym</w:t>
      </w:r>
      <w:r w:rsidRPr="00BB76F6">
        <w:rPr>
          <w:rFonts w:ascii="Lato" w:hAnsi="Lato"/>
        </w:rPr>
        <w:t xml:space="preserve"> w roku 202</w:t>
      </w:r>
      <w:r>
        <w:rPr>
          <w:rFonts w:ascii="Lato" w:hAnsi="Lato"/>
        </w:rPr>
        <w:t>5</w:t>
      </w:r>
      <w:r w:rsidRPr="00BB76F6">
        <w:rPr>
          <w:rFonts w:ascii="Lato" w:hAnsi="Lato"/>
        </w:rPr>
        <w:t xml:space="preserve">, finansowaniem ze środków publicznych zostało objętych </w:t>
      </w:r>
      <w:r>
        <w:rPr>
          <w:rFonts w:ascii="Lato" w:hAnsi="Lato"/>
          <w:b/>
          <w:bCs/>
        </w:rPr>
        <w:t>31</w:t>
      </w:r>
      <w:r w:rsidRPr="00BB76F6">
        <w:rPr>
          <w:rFonts w:ascii="Lato" w:hAnsi="Lato"/>
          <w:b/>
          <w:bCs/>
        </w:rPr>
        <w:t xml:space="preserve"> nowych </w:t>
      </w:r>
      <w:r w:rsidRPr="00BB76F6">
        <w:rPr>
          <w:rFonts w:ascii="Lato" w:hAnsi="Lato"/>
          <w:b/>
          <w:bCs/>
        </w:rPr>
        <w:br/>
        <w:t>cząsteczko – wskazań</w:t>
      </w:r>
      <w:r w:rsidRPr="00BB76F6">
        <w:rPr>
          <w:rFonts w:ascii="Lato" w:hAnsi="Lato"/>
        </w:rPr>
        <w:t>, w tym:</w:t>
      </w:r>
    </w:p>
    <w:p w14:paraId="38F8E008" w14:textId="77777777" w:rsidR="00D86214" w:rsidRPr="00107618" w:rsidRDefault="00D86214" w:rsidP="00D86214">
      <w:pPr>
        <w:pStyle w:val="Akapitzlist"/>
        <w:numPr>
          <w:ilvl w:val="0"/>
          <w:numId w:val="25"/>
        </w:numPr>
        <w:spacing w:after="120" w:line="360" w:lineRule="auto"/>
        <w:jc w:val="both"/>
        <w:textAlignment w:val="auto"/>
        <w:rPr>
          <w:rFonts w:ascii="Lato" w:hAnsi="Lato"/>
        </w:rPr>
      </w:pPr>
      <w:r w:rsidRPr="00107618">
        <w:rPr>
          <w:rFonts w:ascii="Lato" w:hAnsi="Lato"/>
        </w:rPr>
        <w:t>13 cząsteczko – wskazań onkologicznych,</w:t>
      </w:r>
    </w:p>
    <w:p w14:paraId="3EB75B10" w14:textId="77777777" w:rsidR="00D86214" w:rsidRPr="00107618" w:rsidRDefault="00D86214" w:rsidP="00D86214">
      <w:pPr>
        <w:pStyle w:val="Akapitzlist"/>
        <w:numPr>
          <w:ilvl w:val="0"/>
          <w:numId w:val="25"/>
        </w:numPr>
        <w:spacing w:after="120" w:line="360" w:lineRule="auto"/>
        <w:jc w:val="both"/>
        <w:textAlignment w:val="auto"/>
        <w:rPr>
          <w:rFonts w:ascii="Lato" w:hAnsi="Lato"/>
        </w:rPr>
      </w:pPr>
      <w:r w:rsidRPr="00107618">
        <w:rPr>
          <w:rFonts w:ascii="Lato" w:hAnsi="Lato"/>
        </w:rPr>
        <w:t>18 cząsteczko - wskazania nieonkologicznych,</w:t>
      </w:r>
    </w:p>
    <w:p w14:paraId="1B2D4B95" w14:textId="77777777" w:rsidR="00D86214" w:rsidRPr="00107618" w:rsidRDefault="00D86214" w:rsidP="00D86214">
      <w:pPr>
        <w:pStyle w:val="Akapitzlist"/>
        <w:numPr>
          <w:ilvl w:val="0"/>
          <w:numId w:val="25"/>
        </w:numPr>
        <w:spacing w:after="120" w:line="360" w:lineRule="auto"/>
        <w:jc w:val="both"/>
        <w:textAlignment w:val="auto"/>
        <w:rPr>
          <w:rFonts w:ascii="Lato" w:hAnsi="Lato"/>
        </w:rPr>
      </w:pPr>
      <w:r w:rsidRPr="00107618">
        <w:rPr>
          <w:rFonts w:ascii="Lato" w:hAnsi="Lato"/>
        </w:rPr>
        <w:t>12 cząsteczko - wskazania dedykowanych chorobom rzadkim.</w:t>
      </w:r>
    </w:p>
    <w:p w14:paraId="33B953A5" w14:textId="77777777" w:rsidR="00D86214" w:rsidRPr="00BB76F6" w:rsidRDefault="00D86214" w:rsidP="00D86214">
      <w:pPr>
        <w:spacing w:line="276" w:lineRule="auto"/>
        <w:jc w:val="both"/>
        <w:rPr>
          <w:rFonts w:ascii="Lato" w:hAnsi="Lato"/>
          <w:color w:val="000000" w:themeColor="text1"/>
        </w:rPr>
      </w:pPr>
      <w:r w:rsidRPr="00BB76F6">
        <w:rPr>
          <w:rFonts w:ascii="Lato" w:hAnsi="Lato"/>
          <w:color w:val="000000" w:themeColor="text1"/>
        </w:rPr>
        <w:t>Obwieszczenie refundacyjne obowiązujące od 1 stycznia 202</w:t>
      </w:r>
      <w:r>
        <w:rPr>
          <w:rFonts w:ascii="Lato" w:hAnsi="Lato"/>
          <w:color w:val="000000" w:themeColor="text1"/>
        </w:rPr>
        <w:t>5</w:t>
      </w:r>
      <w:r w:rsidRPr="00BB76F6">
        <w:rPr>
          <w:rFonts w:ascii="Lato" w:hAnsi="Lato"/>
          <w:color w:val="000000" w:themeColor="text1"/>
        </w:rPr>
        <w:t xml:space="preserve"> r. (nr 7</w:t>
      </w:r>
      <w:r>
        <w:rPr>
          <w:rFonts w:ascii="Lato" w:hAnsi="Lato"/>
          <w:color w:val="000000" w:themeColor="text1"/>
        </w:rPr>
        <w:t>7</w:t>
      </w:r>
      <w:r w:rsidRPr="00BB76F6">
        <w:rPr>
          <w:rFonts w:ascii="Lato" w:hAnsi="Lato"/>
          <w:color w:val="000000" w:themeColor="text1"/>
        </w:rPr>
        <w:t>), w porównaniu do obwieszczenia 7</w:t>
      </w:r>
      <w:r>
        <w:rPr>
          <w:rFonts w:ascii="Lato" w:hAnsi="Lato"/>
          <w:color w:val="000000" w:themeColor="text1"/>
        </w:rPr>
        <w:t>6</w:t>
      </w:r>
      <w:r w:rsidRPr="00BB76F6">
        <w:rPr>
          <w:rFonts w:ascii="Lato" w:hAnsi="Lato"/>
          <w:color w:val="000000" w:themeColor="text1"/>
        </w:rPr>
        <w:t xml:space="preserve"> zawiera następujące zmiany:</w:t>
      </w:r>
    </w:p>
    <w:p w14:paraId="67CAA37A" w14:textId="649E76B5" w:rsidR="00D86214" w:rsidRPr="00020DA9" w:rsidRDefault="00D86214" w:rsidP="00D86214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020DA9">
        <w:rPr>
          <w:rFonts w:ascii="Lato" w:hAnsi="Lato"/>
        </w:rPr>
        <w:t xml:space="preserve">W związku z wydaniem pozytywnych decyzji o objęciu refundacją ogółem do wykazu zostało dodanych </w:t>
      </w:r>
      <w:r w:rsidR="00A16F0D" w:rsidRPr="00020DA9">
        <w:rPr>
          <w:rFonts w:ascii="Lato" w:hAnsi="Lato"/>
        </w:rPr>
        <w:t>191</w:t>
      </w:r>
      <w:r w:rsidRPr="00020DA9">
        <w:rPr>
          <w:rFonts w:ascii="Lato" w:hAnsi="Lato"/>
        </w:rPr>
        <w:t xml:space="preserve"> produktów bądź nowych wskazań.</w:t>
      </w:r>
    </w:p>
    <w:p w14:paraId="63EE648C" w14:textId="5C8914EF" w:rsidR="00D86214" w:rsidRPr="00020DA9" w:rsidRDefault="00D86214" w:rsidP="00D86214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020DA9">
        <w:rPr>
          <w:rFonts w:ascii="Lato" w:hAnsi="Lato"/>
        </w:rPr>
        <w:t xml:space="preserve">Dla </w:t>
      </w:r>
      <w:r w:rsidR="00A16F0D" w:rsidRPr="00020DA9">
        <w:rPr>
          <w:rFonts w:ascii="Lato" w:hAnsi="Lato"/>
        </w:rPr>
        <w:t>640</w:t>
      </w:r>
      <w:r w:rsidRPr="00020DA9">
        <w:rPr>
          <w:rFonts w:ascii="Lato" w:hAnsi="Lato"/>
        </w:rPr>
        <w:t xml:space="preserve"> produktów wprowadzono obniżki cen zbytu </w:t>
      </w:r>
      <w:r w:rsidR="00A16F0D" w:rsidRPr="00020DA9">
        <w:rPr>
          <w:rFonts w:ascii="Lato" w:hAnsi="Lato"/>
        </w:rPr>
        <w:t xml:space="preserve">netto </w:t>
      </w:r>
      <w:r w:rsidRPr="00020DA9">
        <w:rPr>
          <w:rFonts w:ascii="Lato" w:hAnsi="Lato"/>
        </w:rPr>
        <w:t>(od 0,0</w:t>
      </w:r>
      <w:r w:rsidR="00A16F0D" w:rsidRPr="00020DA9">
        <w:rPr>
          <w:rFonts w:ascii="Lato" w:hAnsi="Lato"/>
        </w:rPr>
        <w:t xml:space="preserve">1 </w:t>
      </w:r>
      <w:r w:rsidRPr="00020DA9">
        <w:rPr>
          <w:rFonts w:ascii="Lato" w:hAnsi="Lato"/>
        </w:rPr>
        <w:t xml:space="preserve">zł do </w:t>
      </w:r>
      <w:r w:rsidR="00A16F0D" w:rsidRPr="00020DA9">
        <w:rPr>
          <w:rFonts w:ascii="Lato" w:hAnsi="Lato"/>
        </w:rPr>
        <w:t>5 191</w:t>
      </w:r>
      <w:r w:rsidRPr="00020DA9">
        <w:rPr>
          <w:rFonts w:ascii="Lato" w:hAnsi="Lato"/>
        </w:rPr>
        <w:t>,</w:t>
      </w:r>
      <w:r w:rsidR="00A16F0D" w:rsidRPr="00020DA9">
        <w:rPr>
          <w:rFonts w:ascii="Lato" w:hAnsi="Lato"/>
        </w:rPr>
        <w:t>8</w:t>
      </w:r>
      <w:r w:rsidRPr="00020DA9">
        <w:rPr>
          <w:rFonts w:ascii="Lato" w:hAnsi="Lato"/>
        </w:rPr>
        <w:t>0 zł).</w:t>
      </w:r>
    </w:p>
    <w:p w14:paraId="4B9437E9" w14:textId="0B5DF935" w:rsidR="00D86214" w:rsidRPr="00020DA9" w:rsidRDefault="00A16F0D" w:rsidP="00D86214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020DA9">
        <w:rPr>
          <w:rFonts w:ascii="Lato" w:hAnsi="Lato"/>
        </w:rPr>
        <w:t>Nie podwyższono ceny zbytu netto dla żadnego produktu.</w:t>
      </w:r>
    </w:p>
    <w:p w14:paraId="1031B273" w14:textId="1F1CCCA0" w:rsidR="00D86214" w:rsidRPr="00020DA9" w:rsidRDefault="00D86214" w:rsidP="00D86214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020DA9">
        <w:rPr>
          <w:rFonts w:ascii="Lato" w:hAnsi="Lato"/>
        </w:rPr>
        <w:t xml:space="preserve">Dla </w:t>
      </w:r>
      <w:r w:rsidR="00A16F0D" w:rsidRPr="00020DA9">
        <w:rPr>
          <w:rFonts w:ascii="Lato" w:hAnsi="Lato"/>
        </w:rPr>
        <w:t>1072</w:t>
      </w:r>
      <w:r w:rsidRPr="00020DA9">
        <w:rPr>
          <w:rFonts w:ascii="Lato" w:hAnsi="Lato"/>
        </w:rPr>
        <w:t xml:space="preserve"> pozycji w obwieszczeniu spadnie dopłata pacjenta (od 0,01 zł do </w:t>
      </w:r>
      <w:r w:rsidR="00A16F0D" w:rsidRPr="00020DA9">
        <w:rPr>
          <w:rFonts w:ascii="Lato" w:hAnsi="Lato"/>
        </w:rPr>
        <w:t>198,84</w:t>
      </w:r>
      <w:r w:rsidRPr="00020DA9">
        <w:rPr>
          <w:rFonts w:ascii="Lato" w:hAnsi="Lato"/>
        </w:rPr>
        <w:t xml:space="preserve"> zł).</w:t>
      </w:r>
    </w:p>
    <w:p w14:paraId="5D97A038" w14:textId="4188A383" w:rsidR="00D86214" w:rsidRPr="00020DA9" w:rsidRDefault="00D86214" w:rsidP="00D86214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020DA9">
        <w:rPr>
          <w:rFonts w:ascii="Lato" w:hAnsi="Lato"/>
        </w:rPr>
        <w:t xml:space="preserve">Dla </w:t>
      </w:r>
      <w:r w:rsidR="00A16F0D" w:rsidRPr="00020DA9">
        <w:rPr>
          <w:rFonts w:ascii="Lato" w:hAnsi="Lato"/>
        </w:rPr>
        <w:t>2406</w:t>
      </w:r>
      <w:r w:rsidRPr="00020DA9">
        <w:rPr>
          <w:rFonts w:ascii="Lato" w:hAnsi="Lato"/>
        </w:rPr>
        <w:t xml:space="preserve"> pozycji w obwieszczeniu wzrośnie dopłata pacjenta (od 0,01 zł do </w:t>
      </w:r>
      <w:r w:rsidR="00A16F0D" w:rsidRPr="00020DA9">
        <w:rPr>
          <w:rFonts w:ascii="Lato" w:hAnsi="Lato"/>
        </w:rPr>
        <w:t>456,55</w:t>
      </w:r>
      <w:r w:rsidRPr="00020DA9">
        <w:rPr>
          <w:rFonts w:ascii="Lato" w:hAnsi="Lato"/>
        </w:rPr>
        <w:t xml:space="preserve"> zł).</w:t>
      </w:r>
    </w:p>
    <w:p w14:paraId="1CEA7843" w14:textId="6E4484A5" w:rsidR="00D86214" w:rsidRPr="00020DA9" w:rsidRDefault="00D86214" w:rsidP="00D86214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020DA9">
        <w:rPr>
          <w:rFonts w:ascii="Lato" w:hAnsi="Lato"/>
        </w:rPr>
        <w:t xml:space="preserve">Dla </w:t>
      </w:r>
      <w:r w:rsidR="00A16F0D" w:rsidRPr="00020DA9">
        <w:rPr>
          <w:rFonts w:ascii="Lato" w:hAnsi="Lato"/>
        </w:rPr>
        <w:t>816</w:t>
      </w:r>
      <w:r w:rsidRPr="00020DA9">
        <w:rPr>
          <w:rFonts w:ascii="Lato" w:hAnsi="Lato"/>
        </w:rPr>
        <w:t xml:space="preserve"> produktów ulegną obniżeniu ceny detaliczne brutto (od 0,01 zł do </w:t>
      </w:r>
      <w:r w:rsidR="00A16F0D" w:rsidRPr="00020DA9">
        <w:rPr>
          <w:rFonts w:ascii="Lato" w:hAnsi="Lato"/>
        </w:rPr>
        <w:t>157,31</w:t>
      </w:r>
      <w:r w:rsidRPr="00020DA9">
        <w:rPr>
          <w:rFonts w:ascii="Lato" w:hAnsi="Lato"/>
        </w:rPr>
        <w:t xml:space="preserve"> zł).</w:t>
      </w:r>
    </w:p>
    <w:p w14:paraId="6A1455BD" w14:textId="24C568A1" w:rsidR="00D86214" w:rsidRPr="00020DA9" w:rsidRDefault="00D86214" w:rsidP="00D86214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020DA9">
        <w:rPr>
          <w:rFonts w:ascii="Lato" w:hAnsi="Lato"/>
        </w:rPr>
        <w:t xml:space="preserve">Dla </w:t>
      </w:r>
      <w:r w:rsidR="00A16F0D" w:rsidRPr="00020DA9">
        <w:rPr>
          <w:rFonts w:ascii="Lato" w:hAnsi="Lato"/>
        </w:rPr>
        <w:t>3745</w:t>
      </w:r>
      <w:r w:rsidRPr="00020DA9">
        <w:rPr>
          <w:rFonts w:ascii="Lato" w:hAnsi="Lato"/>
        </w:rPr>
        <w:t xml:space="preserve"> produktów wzrosną ceny detaliczne brutto (od 0,01 zł do </w:t>
      </w:r>
      <w:r w:rsidR="00A16F0D" w:rsidRPr="00020DA9">
        <w:rPr>
          <w:rFonts w:ascii="Lato" w:hAnsi="Lato"/>
        </w:rPr>
        <w:t>5,93</w:t>
      </w:r>
      <w:r w:rsidRPr="00020DA9">
        <w:rPr>
          <w:rFonts w:ascii="Lato" w:hAnsi="Lato"/>
        </w:rPr>
        <w:t xml:space="preserve"> zł).</w:t>
      </w:r>
    </w:p>
    <w:p w14:paraId="292A24BB" w14:textId="488DED3B" w:rsidR="00D86214" w:rsidRPr="00020DA9" w:rsidRDefault="00D86214" w:rsidP="00D86214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020DA9">
        <w:rPr>
          <w:rFonts w:ascii="Lato" w:hAnsi="Lato"/>
        </w:rPr>
        <w:t xml:space="preserve">W związku z wpłynięciem wniosków o skrócenie terminu obowiązywania decyzji refundacyjnych lub upłynięciem terminu obowiązywania decyzji refundacyjnych lub odmową refundacji na kolejny okres w obwieszczeniu nie znajdzie się </w:t>
      </w:r>
      <w:r w:rsidR="00A16F0D" w:rsidRPr="00020DA9">
        <w:rPr>
          <w:rFonts w:ascii="Lato" w:hAnsi="Lato"/>
        </w:rPr>
        <w:t>234</w:t>
      </w:r>
      <w:r w:rsidRPr="00020DA9">
        <w:rPr>
          <w:rFonts w:ascii="Lato" w:hAnsi="Lato"/>
        </w:rPr>
        <w:t xml:space="preserve"> produktów bądź wskazań figurujących w poprzednim obwieszczeniu.</w:t>
      </w:r>
    </w:p>
    <w:p w14:paraId="48A7AEA0" w14:textId="1987BACA" w:rsidR="00387421" w:rsidRPr="00387421" w:rsidRDefault="00885CAE" w:rsidP="00387421">
      <w:pPr>
        <w:suppressAutoHyphens w:val="0"/>
        <w:autoSpaceDE w:val="0"/>
        <w:spacing w:after="0" w:line="360" w:lineRule="auto"/>
        <w:rPr>
          <w:rFonts w:ascii="Lato" w:hAnsi="Lato"/>
          <w:sz w:val="24"/>
          <w:szCs w:val="24"/>
          <w:highlight w:val="yellow"/>
        </w:rPr>
      </w:pPr>
      <w:r>
        <w:rPr>
          <w:noProof/>
        </w:rPr>
        <w:lastRenderedPageBreak/>
        <w:drawing>
          <wp:inline distT="0" distB="0" distL="0" distR="0" wp14:anchorId="4C927E81" wp14:editId="0C3C6166">
            <wp:extent cx="4352925" cy="2803492"/>
            <wp:effectExtent l="0" t="0" r="9525" b="16510"/>
            <wp:docPr id="472536265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C0D5CA79-D76A-46E2-96FB-49E66CAE0D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Lato" w:hAnsi="Lato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A0BECC9" wp14:editId="75D2621A">
            <wp:extent cx="4232910" cy="2802511"/>
            <wp:effectExtent l="0" t="0" r="15240" b="17145"/>
            <wp:docPr id="1436803819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9104527A-4B7B-4B3E-B490-148695C593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B466A0C" w14:textId="5590EF5E" w:rsidR="004D093B" w:rsidRDefault="00885CAE" w:rsidP="00387421">
      <w:pPr>
        <w:suppressAutoHyphens w:val="0"/>
        <w:rPr>
          <w:rFonts w:ascii="Lato" w:hAnsi="Lato"/>
          <w:sz w:val="24"/>
          <w:szCs w:val="24"/>
        </w:rPr>
      </w:pPr>
      <w:r>
        <w:rPr>
          <w:noProof/>
        </w:rPr>
        <w:drawing>
          <wp:inline distT="0" distB="0" distL="0" distR="0" wp14:anchorId="562A7213" wp14:editId="7177CF9A">
            <wp:extent cx="4333875" cy="2796639"/>
            <wp:effectExtent l="0" t="0" r="9525" b="3810"/>
            <wp:docPr id="1902922237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19C8C64-7E08-4BD1-B749-283AD55A8E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387421">
        <w:rPr>
          <w:noProof/>
        </w:rPr>
        <w:t xml:space="preserve"> </w:t>
      </w:r>
      <w:r>
        <w:rPr>
          <w:noProof/>
        </w:rPr>
        <w:drawing>
          <wp:inline distT="0" distB="0" distL="0" distR="0" wp14:anchorId="343BC529" wp14:editId="573C95FF">
            <wp:extent cx="4251366" cy="2795905"/>
            <wp:effectExtent l="0" t="0" r="15875" b="4445"/>
            <wp:docPr id="170436023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9C9CAC52-56A2-4432-8150-D06BD397DF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4D093B">
        <w:rPr>
          <w:rFonts w:ascii="Lato" w:hAnsi="Lato"/>
          <w:sz w:val="24"/>
          <w:szCs w:val="24"/>
        </w:rPr>
        <w:br w:type="page"/>
      </w:r>
    </w:p>
    <w:p w14:paraId="06A06678" w14:textId="7D136BFD" w:rsidR="00AD08C5" w:rsidRPr="004D093B" w:rsidRDefault="006A7DCE" w:rsidP="005058F2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4D093B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PROGRA</w:t>
      </w:r>
      <w:bookmarkStart w:id="0" w:name="_Hlk95686308"/>
      <w:r w:rsidRPr="004D093B">
        <w:rPr>
          <w:rFonts w:ascii="Lato" w:hAnsi="Lato"/>
          <w:b/>
          <w:bCs/>
          <w:color w:val="00B0F0"/>
          <w:sz w:val="28"/>
          <w:szCs w:val="28"/>
        </w:rPr>
        <w:t>M</w:t>
      </w:r>
      <w:bookmarkEnd w:id="0"/>
      <w:r w:rsidRPr="004D093B">
        <w:rPr>
          <w:rFonts w:ascii="Lato" w:hAnsi="Lato"/>
          <w:b/>
          <w:bCs/>
          <w:color w:val="00B0F0"/>
          <w:sz w:val="28"/>
          <w:szCs w:val="28"/>
        </w:rPr>
        <w:t>ACH LEKOWYCH</w:t>
      </w:r>
      <w:r w:rsidR="0056748F" w:rsidRPr="004D093B">
        <w:rPr>
          <w:rFonts w:ascii="Lato" w:hAnsi="Lato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1701"/>
        <w:gridCol w:w="1701"/>
        <w:gridCol w:w="1983"/>
        <w:gridCol w:w="3262"/>
        <w:gridCol w:w="4781"/>
      </w:tblGrid>
      <w:tr w:rsidR="005058F2" w:rsidRPr="004D093B" w14:paraId="7E2E9B6A" w14:textId="77777777" w:rsidTr="004D093B">
        <w:trPr>
          <w:cantSplit/>
          <w:trHeight w:val="18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4D093B" w14:paraId="1C096482" w14:textId="77777777" w:rsidTr="004D093B">
        <w:trPr>
          <w:cantSplit/>
          <w:trHeight w:val="206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6D7964" w:rsidRPr="004D093B" w14:paraId="60CDF2D4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FF7111" w:rsidRPr="004D093B" w14:paraId="57D9CCB7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E345" w14:textId="74CACBF9" w:rsidR="004448D7" w:rsidRPr="004D093B" w:rsidRDefault="004448D7" w:rsidP="004448D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F9CF6" w14:textId="04016958" w:rsidR="00FF7111" w:rsidRDefault="00FF7111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Lonsurf</w:t>
            </w:r>
            <w:proofErr w:type="spellEnd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F79B9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+</w:t>
            </w:r>
            <w:proofErr w:type="gramEnd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BF7A4C2" w14:textId="3EDB10A6" w:rsidR="00FF7111" w:rsidRDefault="002E7482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</w:t>
            </w:r>
            <w:r w:rsidR="00FF7111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óżne produkty handlowe z </w:t>
            </w:r>
            <w:proofErr w:type="spellStart"/>
            <w:r w:rsidR="00FF7111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bewacyzumabem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88663" w14:textId="6F471F97" w:rsidR="00FF7111" w:rsidRDefault="002E7482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triflurydyna</w:t>
            </w:r>
            <w:proofErr w:type="spellEnd"/>
            <w:r w:rsidR="00FF7111" w:rsidRPr="003D51FE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typiracyl</w:t>
            </w:r>
            <w:proofErr w:type="spellEnd"/>
            <w:r w:rsidR="00FF7111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bewacyzumab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84AA0" w14:textId="695BCA54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9A9E" w14:textId="6629C5CF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D51FE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JELITA GRUBEGO (ICD-10: C18 – C20)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659C" w14:textId="7A3F7931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Rozszerzenie obecnie finansowanej opcji terapeutycznej o leczenie</w:t>
            </w:r>
            <w:r w:rsidR="002E748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II</w:t>
            </w:r>
            <w:r w:rsidR="002E7482" w:rsidRPr="003D51FE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albo kolejnych liniach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chorych </w:t>
            </w:r>
            <w:r w:rsidRPr="003D51FE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 zaawansowanym rakiem jelita grubego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triflurydyną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typiracylem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bewacyzumabem</w:t>
            </w:r>
            <w:proofErr w:type="spellEnd"/>
            <w:r w:rsidR="002E7482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FF7111" w:rsidRPr="004D093B" w14:paraId="1B09D198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D7C9" w14:textId="55234F9B" w:rsidR="00FF7111" w:rsidRPr="004D093B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2.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F24A" w14:textId="67F578F4" w:rsidR="00FF7111" w:rsidRP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FF7111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Libtayo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EA88" w14:textId="4F2E24A5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c</w:t>
            </w:r>
            <w:r w:rsidRPr="00CC2A2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emiplimab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4197" w14:textId="016DEDA2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240E" w14:textId="26FAEC98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2400" w14:textId="58B9E6BC" w:rsidR="00FF7111" w:rsidRDefault="002E7482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I linii</w:t>
            </w:r>
            <w:r w:rsidR="00FF7111"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F7111"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cemiplimabem</w:t>
            </w:r>
            <w:proofErr w:type="spellEnd"/>
            <w:r w:rsidR="00FF7111"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chemioterapią opartą na związkach platyny </w:t>
            </w:r>
            <w:r w:rsidR="00FF711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u </w:t>
            </w:r>
            <w:r w:rsidR="00FF7111"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chorych na niedrobnokomórkowego raka płuca z ekspresją PD-L1 ≥1%, bez mutacji w genie EGFR oraz </w:t>
            </w:r>
            <w:proofErr w:type="spellStart"/>
            <w:r w:rsidR="00FF7111"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rearanżacji</w:t>
            </w:r>
            <w:proofErr w:type="spellEnd"/>
            <w:r w:rsidR="00FF7111"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genów ALK i ROS1</w:t>
            </w:r>
            <w:r w:rsidR="00FF7111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FF7111" w:rsidRPr="004D093B" w14:paraId="55BB30CE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161D" w14:textId="2DA7A92D" w:rsidR="00FF7111" w:rsidRPr="00E64860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sz w:val="18"/>
                <w:szCs w:val="18"/>
              </w:rPr>
              <w:t>3.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BEB3" w14:textId="77777777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Tecentriq</w:t>
            </w:r>
            <w:proofErr w:type="spellEnd"/>
          </w:p>
          <w:p w14:paraId="28BB06CA" w14:textId="71612FD1" w:rsidR="002E7482" w:rsidRPr="00E64860" w:rsidRDefault="002E7482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b/>
                <w:bCs/>
                <w:sz w:val="18"/>
                <w:szCs w:val="18"/>
              </w:rPr>
              <w:t>(forma podskórna)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8FAA" w14:textId="77777777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atezolizumab</w:t>
            </w:r>
            <w:proofErr w:type="spellEnd"/>
          </w:p>
          <w:p w14:paraId="2A004C53" w14:textId="3F8D43D3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s.c.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D6EE" w14:textId="71420FA7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4CF1" w14:textId="41D9A20C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A8349" w14:textId="0A79A68C" w:rsidR="00FF7111" w:rsidRPr="00E64860" w:rsidRDefault="002E7482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="00FF7111"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atezolizumab</w:t>
            </w: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em</w:t>
            </w:r>
            <w:proofErr w:type="spellEnd"/>
            <w:r w:rsidR="00FF7111"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w formie</w:t>
            </w:r>
            <w:r w:rsidR="00FF7111"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podań podskórnych we wszystkich refundowanych wskazaniach </w:t>
            </w: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tej cząsteczki w aktualnym programie lekowym.</w:t>
            </w:r>
          </w:p>
        </w:tc>
      </w:tr>
      <w:tr w:rsidR="007F79B9" w:rsidRPr="004D093B" w14:paraId="2F304C7B" w14:textId="77777777" w:rsidTr="00D85772">
        <w:trPr>
          <w:cantSplit/>
          <w:trHeight w:val="888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EF10" w14:textId="1595AC31" w:rsidR="007F79B9" w:rsidRPr="00E64860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sz w:val="18"/>
                <w:szCs w:val="18"/>
              </w:rPr>
              <w:t>4.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FC19" w14:textId="38DCF496" w:rsidR="007F79B9" w:rsidRPr="00E64860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b/>
                <w:bCs/>
                <w:sz w:val="18"/>
                <w:szCs w:val="18"/>
              </w:rPr>
              <w:t>Cabometyx</w:t>
            </w:r>
            <w:proofErr w:type="spellEnd"/>
            <w:r w:rsidRPr="00E64860">
              <w:rPr>
                <w:rFonts w:ascii="Lato" w:hAnsi="Lato" w:cstheme="majorHAnsi"/>
                <w:b/>
                <w:bCs/>
                <w:sz w:val="18"/>
                <w:szCs w:val="18"/>
              </w:rPr>
              <w:t xml:space="preserve"> +</w:t>
            </w:r>
          </w:p>
          <w:p w14:paraId="51270B9C" w14:textId="54262FAB" w:rsidR="007F79B9" w:rsidRPr="00E64860" w:rsidRDefault="007F79B9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Opdivo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24585" w14:textId="6E67EC80" w:rsidR="007F79B9" w:rsidRPr="00E64860" w:rsidRDefault="007F79B9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i/>
                <w:iCs/>
                <w:sz w:val="18"/>
                <w:szCs w:val="18"/>
              </w:rPr>
              <w:t>Kabozantynib</w:t>
            </w:r>
            <w:proofErr w:type="spellEnd"/>
            <w:r w:rsidRPr="00E64860"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+</w:t>
            </w:r>
          </w:p>
          <w:p w14:paraId="61F52E7F" w14:textId="5B51C646" w:rsidR="007F79B9" w:rsidRPr="00E64860" w:rsidRDefault="007F79B9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niwolumab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9B47" w14:textId="1FAAF8BE" w:rsidR="007F79B9" w:rsidRPr="00E64860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sz w:val="18"/>
                <w:szCs w:val="18"/>
              </w:rPr>
              <w:t>B.10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9DCD" w14:textId="39670D0E" w:rsidR="007F79B9" w:rsidRPr="00E64860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sz w:val="18"/>
                <w:szCs w:val="18"/>
              </w:rPr>
              <w:t>LECZENIE CHORYCH NA RAKA NERKI (ICD-10 C64)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A559" w14:textId="5220F671" w:rsidR="007F79B9" w:rsidRPr="00E64860" w:rsidRDefault="007F79B9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kabozantynibem</w:t>
            </w:r>
            <w:proofErr w:type="spellEnd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</w:t>
            </w:r>
            <w:proofErr w:type="spellStart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niwolumabem</w:t>
            </w:r>
            <w:proofErr w:type="spellEnd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I linii terapii raka nerki w populacji pacjentów z pośrednim lub niekorzystnym rokowaniem wg IMDC. </w:t>
            </w:r>
          </w:p>
        </w:tc>
      </w:tr>
      <w:tr w:rsidR="00FF7111" w:rsidRPr="004D093B" w14:paraId="33D5AA32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3632" w14:textId="19E14F08" w:rsidR="00FF7111" w:rsidRPr="00E64860" w:rsidRDefault="007F79B9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EE333" w14:textId="5DE516BB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Brukinsa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D67E" w14:textId="38A5DE99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zanubrutynib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9E1A" w14:textId="4E59652E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B.12.FM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2EE0" w14:textId="568B6822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CHŁONIAKI B-KOMÓRKOWE (ICD-10: C82, C83, C85)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B2B3" w14:textId="77777777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od II linii </w:t>
            </w:r>
            <w:proofErr w:type="spellStart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zanubrutynibem</w:t>
            </w:r>
            <w:proofErr w:type="spellEnd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monoterapii</w:t>
            </w:r>
            <w:proofErr w:type="spellEnd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chorych na opornego lub nawrotowego </w:t>
            </w:r>
            <w:proofErr w:type="spellStart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chłoniaka</w:t>
            </w:r>
            <w:proofErr w:type="spellEnd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strefy brzeżnej (MZL), po wcześniejszym zastosowaniu co najmniej 1 linii leczenia systemowego, w tym zawierającej przeciwciało anty-CD20.</w:t>
            </w:r>
          </w:p>
          <w:p w14:paraId="787822A2" w14:textId="10A24869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7F79B9" w:rsidRPr="004D093B" w14:paraId="35D585A5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C3DE" w14:textId="73DF7EC5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F08C" w14:textId="6498A852" w:rsidR="007F79B9" w:rsidRPr="00CC2A27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Zynlonta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8D69E" w14:textId="4F7E4BB2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lonkastuksymab</w:t>
            </w:r>
            <w:proofErr w:type="spellEnd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tezyryny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E483B" w14:textId="3B2AD9CF" w:rsidR="007F79B9" w:rsidRPr="00CC2A27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B.12.FM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01AA" w14:textId="75F2B47C" w:rsidR="007F79B9" w:rsidRPr="00CC2A27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CHŁONIAKI B-KOMÓRKOWE (ICD-10: C82, C83, C85)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F487" w14:textId="77777777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od III linii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lonkastuksymabem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tezyryny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monoterapii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chorych </w:t>
            </w:r>
            <w:r w:rsidRPr="002C6E3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na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opornego lub nawrotowego </w:t>
            </w:r>
            <w:proofErr w:type="spellStart"/>
            <w:r w:rsidRPr="002C6E30">
              <w:rPr>
                <w:rFonts w:ascii="Lato" w:hAnsi="Lato" w:cstheme="majorHAnsi"/>
                <w:color w:val="000000"/>
                <w:sz w:val="18"/>
                <w:szCs w:val="18"/>
              </w:rPr>
              <w:t>chłoniaka</w:t>
            </w:r>
            <w:proofErr w:type="spellEnd"/>
            <w:r w:rsidRPr="002C6E3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rozlanego z dużych komórek B (DLBCL) lub </w:t>
            </w:r>
            <w:proofErr w:type="spellStart"/>
            <w:r w:rsidRPr="002C6E30">
              <w:rPr>
                <w:rFonts w:ascii="Lato" w:hAnsi="Lato" w:cstheme="majorHAnsi"/>
                <w:color w:val="000000"/>
                <w:sz w:val="18"/>
                <w:szCs w:val="18"/>
              </w:rPr>
              <w:t>chłoniaka</w:t>
            </w:r>
            <w:proofErr w:type="spellEnd"/>
            <w:r w:rsidRPr="002C6E3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komórek B o wysokim stopniu złośliwości (HGBCL)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45FA7E8B" w14:textId="3B6BC612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7F79B9" w:rsidRPr="004D093B" w14:paraId="4193F70D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FFFD" w14:textId="570F8CD8" w:rsidR="007F79B9" w:rsidRPr="004D093B" w:rsidRDefault="002A56D5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7</w:t>
            </w:r>
            <w:r w:rsidR="007F79B9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7AD5" w14:textId="6AE0317A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E7482">
              <w:rPr>
                <w:rFonts w:ascii="Lato" w:hAnsi="Lato" w:cstheme="majorHAnsi"/>
                <w:b/>
                <w:bCs/>
                <w:sz w:val="18"/>
                <w:szCs w:val="18"/>
              </w:rPr>
              <w:t>Akeega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2D7" w14:textId="35D711ED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n</w:t>
            </w:r>
            <w:r w:rsidRPr="00CC2A27">
              <w:rPr>
                <w:rFonts w:ascii="Lato" w:hAnsi="Lato" w:cstheme="majorHAnsi"/>
                <w:i/>
                <w:iCs/>
                <w:sz w:val="18"/>
                <w:szCs w:val="18"/>
              </w:rPr>
              <w:t>iraparyb</w:t>
            </w:r>
            <w:proofErr w:type="spellEnd"/>
            <w:r w:rsidRPr="00CC2A27"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a</w:t>
            </w:r>
            <w:r w:rsidRPr="00CC2A27">
              <w:rPr>
                <w:rFonts w:ascii="Lato" w:hAnsi="Lato" w:cstheme="majorHAnsi"/>
                <w:i/>
                <w:iCs/>
                <w:sz w:val="18"/>
                <w:szCs w:val="18"/>
              </w:rPr>
              <w:t>birateron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B432" w14:textId="7F2C84CB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2A27">
              <w:rPr>
                <w:rFonts w:ascii="Lato" w:hAnsi="Lato" w:cstheme="majorHAnsi"/>
                <w:sz w:val="18"/>
                <w:szCs w:val="18"/>
              </w:rPr>
              <w:t>B.56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9D95" w14:textId="66616634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2A27">
              <w:rPr>
                <w:rFonts w:ascii="Lato" w:hAnsi="Lato" w:cstheme="majorHAnsi"/>
                <w:sz w:val="18"/>
                <w:szCs w:val="18"/>
              </w:rPr>
              <w:t>LECZENIE CHORYCH NA RAKA GRUCZOŁU KROKOWEGO (ICD-10: C61)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388A" w14:textId="537681D8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w</w:t>
            </w:r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skojarzeniu z </w:t>
            </w:r>
            <w:proofErr w:type="spellStart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prednizonem</w:t>
            </w:r>
            <w:proofErr w:type="spellEnd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prednizolonem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u dorosłych pacjentów z opornym na kastrację rakiem gruczołu krokowego z przerzutami (</w:t>
            </w:r>
            <w:proofErr w:type="spellStart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mCRPC</w:t>
            </w:r>
            <w:proofErr w:type="spellEnd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) i mutacjami genów BRCA 1/2 (</w:t>
            </w:r>
            <w:proofErr w:type="spellStart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germinalną</w:t>
            </w:r>
            <w:proofErr w:type="spellEnd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i/lub somatyczną),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u których nie jest wskazana chemioterapia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7F79B9" w:rsidRPr="004D093B" w14:paraId="79F6918C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9E07" w14:textId="7E0482BA" w:rsidR="007F79B9" w:rsidRPr="004D093B" w:rsidRDefault="002A56D5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8</w:t>
            </w:r>
            <w:r w:rsidR="007F79B9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6304" w14:textId="24C10BC3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Tibsovo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3638" w14:textId="1CECFC2D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iwosydenib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CACC" w14:textId="4A931700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B.114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E6BF" w14:textId="07E62DE0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OSTRĄ BIAŁACZKĘ SZPIKOWĄ (ICD-10: C92.0)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A99CE" w14:textId="77777777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I linii </w:t>
            </w:r>
            <w:proofErr w:type="spellStart"/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iwosydenibem</w:t>
            </w:r>
            <w:proofErr w:type="spellEnd"/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</w:t>
            </w:r>
            <w:proofErr w:type="spellStart"/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azacytydyn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ą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chorych na nowo rozpoznaną 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ostrą białaczk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ę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szpikową z mutacją w genie kodującym dehydrogenazę </w:t>
            </w:r>
            <w:proofErr w:type="spellStart"/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izocytrynianu</w:t>
            </w:r>
            <w:proofErr w:type="spellEnd"/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1 (IDH1) R132,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niekwalifikujących się do 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standardow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ej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chemioterapi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induk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ującej.</w:t>
            </w:r>
          </w:p>
          <w:p w14:paraId="4B78C48F" w14:textId="77777777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(TLI</w:t>
            </w: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- Technologia lekowa o wysokim stopniu innowacyjności</w:t>
            </w: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5F6D2A24" w14:textId="457018F1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7F79B9" w:rsidRPr="004D093B" w14:paraId="59AF2A0C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B34E" w14:textId="4A2C3A82" w:rsidR="007F79B9" w:rsidRPr="004D093B" w:rsidRDefault="002A56D5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9</w:t>
            </w:r>
            <w:r w:rsidR="007F79B9"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AD20" w14:textId="7879B5E8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Ayvakyt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3C8" w14:textId="704475BF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awaprytynib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83B9" w14:textId="0D6612F5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B.115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118B" w14:textId="1FF1EA24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LECZENIE AGRESYWNEJ MASTOCYTOZY UKŁADOWEJ, MASTOCYTOZY UKŁADOWEJ Z WSPÓŁISTNIEJĄCYM NOWOTWOREM UKŁADU KRWIOTWÓRCZEGO ORAZ BIAŁACZKI MASTOCYTARNEJ (ICD-10: C96.2, C94.3, D47.9)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3634" w14:textId="77777777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od II linii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awaprytynibem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chorych na 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agresywn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ą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mastocyto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zę</w:t>
            </w:r>
            <w:proofErr w:type="spellEnd"/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układow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ą (ASM)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mastocytoz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ę</w:t>
            </w:r>
            <w:proofErr w:type="spellEnd"/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układow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ą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współistniejącym nowotworem układu krwiotwórczego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(SM-AHN)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lub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białaczk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ę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mastocytarn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ą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(MCL), po wcześniejszym zastosowaniu co najmniej 1 linii leczenia ogólnoustrojowego.</w:t>
            </w:r>
          </w:p>
          <w:p w14:paraId="2749EA53" w14:textId="6352A7F5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7F79B9" w:rsidRPr="004D093B" w14:paraId="2EAEEA58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4B85" w14:textId="6D7057E7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</w:t>
            </w:r>
            <w:r w:rsidR="002A56D5">
              <w:rPr>
                <w:rFonts w:ascii="Lato" w:hAnsi="Lato" w:cstheme="majorHAnsi"/>
                <w:sz w:val="18"/>
                <w:szCs w:val="18"/>
              </w:rPr>
              <w:t>0</w:t>
            </w:r>
            <w:r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EC7B" w14:textId="6A194A2E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2E748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Libtayo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093F" w14:textId="673FBFA5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c</w:t>
            </w:r>
            <w:r w:rsidRPr="00CC2A2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emiplimab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7235" w14:textId="69EF6E42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B.159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1733" w14:textId="2EAA5D35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SZYJKI MACICY (ICD-10: C53)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BEFD" w14:textId="58C68A80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cemiplimab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em</w:t>
            </w:r>
            <w:proofErr w:type="spellEnd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monoterapii</w:t>
            </w:r>
            <w:proofErr w:type="spellEnd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pacjentek z nawrotowym lub przerzutowym rakiem szyjki macicy i progresją choroby w trakcie lub po chemioterapii opartej na związkach platyny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7F79B9" w:rsidRPr="004D093B" w14:paraId="47236D55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5971" w14:textId="52C5917E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lastRenderedPageBreak/>
              <w:t>1</w:t>
            </w:r>
            <w:r w:rsidR="002A56D5">
              <w:rPr>
                <w:rFonts w:ascii="Lato" w:hAnsi="Lato" w:cstheme="majorHAnsi"/>
                <w:sz w:val="18"/>
                <w:szCs w:val="18"/>
              </w:rPr>
              <w:t>1</w:t>
            </w:r>
            <w:r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00AB" w14:textId="35A2EAF8" w:rsidR="007F79B9" w:rsidRPr="00CC2A27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C4A7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77EF" w14:textId="461D0509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pomalidomid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0787" w14:textId="6256F50C" w:rsidR="007F79B9" w:rsidRPr="00CC2A27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C.101.a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C20C" w14:textId="3D03B1D7" w:rsidR="007F79B9" w:rsidRPr="00CC2A27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POMALIDOMID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4ED6" w14:textId="77777777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wskazania refundacyjnego w leczeniu dorosłych pacjentów na opornego lub nawrotowego szpiczaka plazmocytowego o leczenie od V linii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pomalidomidem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bortezomibem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deksametazonem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(schemat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PVd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), po wcześniejszym zastosowaniu leczenia zawierającego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lenalidomid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</w:t>
            </w:r>
          </w:p>
          <w:p w14:paraId="292337E1" w14:textId="593F3764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7F79B9" w:rsidRPr="004D093B" w14:paraId="527B1708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36844" w14:textId="3717187D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</w:t>
            </w:r>
            <w:r w:rsidR="002A56D5">
              <w:rPr>
                <w:rFonts w:ascii="Lato" w:hAnsi="Lato" w:cstheme="majorHAnsi"/>
                <w:sz w:val="18"/>
                <w:szCs w:val="18"/>
              </w:rPr>
              <w:t>2</w:t>
            </w:r>
            <w:r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C641" w14:textId="693CD463" w:rsidR="007F79B9" w:rsidRPr="00CC2A27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C4A7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98561" w14:textId="5DACCABB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pomalidomid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EA4F2" w14:textId="48EA4FEF" w:rsidR="007F79B9" w:rsidRPr="00CC2A27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C.101.b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8F0F" w14:textId="60096228" w:rsidR="007F79B9" w:rsidRPr="00CC2A27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POMALIDOMID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8CAB" w14:textId="77777777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od II linii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pomalidomidem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</w:t>
            </w:r>
            <w:r w:rsidRPr="000E5F9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skojarzeniu z </w:t>
            </w:r>
            <w:proofErr w:type="spellStart"/>
            <w:r w:rsidRPr="000E5F94">
              <w:rPr>
                <w:rFonts w:ascii="Lato" w:hAnsi="Lato" w:cstheme="majorHAnsi"/>
                <w:color w:val="000000"/>
                <w:sz w:val="18"/>
                <w:szCs w:val="18"/>
              </w:rPr>
              <w:t>cyklofosfamidem</w:t>
            </w:r>
            <w:proofErr w:type="spellEnd"/>
            <w:r w:rsidRPr="000E5F9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0E5F94">
              <w:rPr>
                <w:rFonts w:ascii="Lato" w:hAnsi="Lato" w:cstheme="majorHAnsi"/>
                <w:color w:val="000000"/>
                <w:sz w:val="18"/>
                <w:szCs w:val="18"/>
              </w:rPr>
              <w:t>deksametazonem</w:t>
            </w:r>
            <w:proofErr w:type="spellEnd"/>
            <w:r w:rsidRPr="000E5F9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(schemat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PCd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</w:t>
            </w:r>
            <w:r w:rsidRPr="000E5F9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dorosłych pacjentów ze szpiczakiem </w:t>
            </w:r>
            <w:proofErr w:type="spellStart"/>
            <w:r w:rsidRPr="000E5F94">
              <w:rPr>
                <w:rFonts w:ascii="Lato" w:hAnsi="Lato" w:cstheme="majorHAnsi"/>
                <w:color w:val="000000"/>
                <w:sz w:val="18"/>
                <w:szCs w:val="18"/>
              </w:rPr>
              <w:t>plazmocytowym</w:t>
            </w:r>
            <w:proofErr w:type="spellEnd"/>
            <w:r w:rsidRPr="000E5F9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u których stosowano uprzednio co najmniej jedną linię leczenia, w tym zawierającą </w:t>
            </w:r>
            <w:proofErr w:type="spellStart"/>
            <w:r w:rsidRPr="000E5F94">
              <w:rPr>
                <w:rFonts w:ascii="Lato" w:hAnsi="Lato" w:cstheme="majorHAnsi"/>
                <w:color w:val="000000"/>
                <w:sz w:val="18"/>
                <w:szCs w:val="18"/>
              </w:rPr>
              <w:t>lenalidomid</w:t>
            </w:r>
            <w:proofErr w:type="spellEnd"/>
          </w:p>
          <w:p w14:paraId="33AC6ACB" w14:textId="77777777" w:rsidR="007F79B9" w:rsidRPr="000E5F94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E5F9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0E5F9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0E5F9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37FF26AA" w14:textId="7889AC15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E5F9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7F79B9" w:rsidRPr="004D093B" w14:paraId="189EA4B0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43F4" w14:textId="591D6931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</w:t>
            </w:r>
            <w:r w:rsidR="002A56D5">
              <w:rPr>
                <w:rFonts w:ascii="Lato" w:hAnsi="Lato" w:cstheme="majorHAnsi"/>
                <w:sz w:val="18"/>
                <w:szCs w:val="18"/>
              </w:rPr>
              <w:t>3</w:t>
            </w:r>
            <w:r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A83A" w14:textId="549BA6A0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C4A7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A8F1" w14:textId="725431D9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pomalidomid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E05E" w14:textId="230936FD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C.101.b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668A" w14:textId="338F43C7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POMALIDOMID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D985D" w14:textId="77777777" w:rsidR="007F79B9" w:rsidRPr="00F64053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</w:t>
            </w:r>
            <w:r w:rsidRPr="00F64053">
              <w:rPr>
                <w:rFonts w:ascii="Lato" w:hAnsi="Lato" w:cstheme="majorHAnsi"/>
                <w:color w:val="000000"/>
                <w:sz w:val="18"/>
                <w:szCs w:val="18"/>
              </w:rPr>
              <w:t>eczeni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e od II linii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pomalidomidem</w:t>
            </w:r>
            <w:proofErr w:type="spellEnd"/>
            <w:r w:rsidRPr="00F6405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</w:t>
            </w:r>
            <w:proofErr w:type="spellStart"/>
            <w:r w:rsidRPr="00F64053">
              <w:rPr>
                <w:rFonts w:ascii="Lato" w:hAnsi="Lato" w:cstheme="majorHAnsi"/>
                <w:color w:val="000000"/>
                <w:sz w:val="18"/>
                <w:szCs w:val="18"/>
              </w:rPr>
              <w:t>deksametazonem</w:t>
            </w:r>
            <w:proofErr w:type="spellEnd"/>
            <w:r w:rsidRPr="00F6405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(schemat Pd) </w:t>
            </w:r>
            <w:r w:rsidRPr="00F6405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dorosłych pacjentów ze szpiczakiem </w:t>
            </w:r>
            <w:proofErr w:type="spellStart"/>
            <w:r w:rsidRPr="00F64053">
              <w:rPr>
                <w:rFonts w:ascii="Lato" w:hAnsi="Lato" w:cstheme="majorHAnsi"/>
                <w:color w:val="000000"/>
                <w:sz w:val="18"/>
                <w:szCs w:val="18"/>
              </w:rPr>
              <w:t>plazmocytowym</w:t>
            </w:r>
            <w:proofErr w:type="spellEnd"/>
            <w:r w:rsidRPr="00F6405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u których stosowano uprzednio co najmniej jedną linię leczenia, w tym zawierającą </w:t>
            </w:r>
            <w:proofErr w:type="spellStart"/>
            <w:r w:rsidRPr="00F64053">
              <w:rPr>
                <w:rFonts w:ascii="Lato" w:hAnsi="Lato" w:cstheme="majorHAnsi"/>
                <w:color w:val="000000"/>
                <w:sz w:val="18"/>
                <w:szCs w:val="18"/>
              </w:rPr>
              <w:t>lenalidomid</w:t>
            </w:r>
            <w:proofErr w:type="spellEnd"/>
          </w:p>
          <w:p w14:paraId="465AD33E" w14:textId="77777777" w:rsidR="007F79B9" w:rsidRPr="000E5F94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E5F9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0E5F9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0E5F9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0B1AA7A9" w14:textId="2566D8DA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F6405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</w:tbl>
    <w:p w14:paraId="7F9CCF36" w14:textId="51B74B46" w:rsidR="004D093B" w:rsidRDefault="004D093B"/>
    <w:p w14:paraId="7FCF9A29" w14:textId="61C65501" w:rsidR="00E530B9" w:rsidRDefault="00E530B9">
      <w:pPr>
        <w:suppressAutoHyphens w:val="0"/>
      </w:pPr>
      <w: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586"/>
        <w:gridCol w:w="1807"/>
        <w:gridCol w:w="1872"/>
        <w:gridCol w:w="3335"/>
        <w:gridCol w:w="4781"/>
      </w:tblGrid>
      <w:tr w:rsidR="002D6ED9" w:rsidRPr="004D093B" w14:paraId="4C9C4901" w14:textId="77777777" w:rsidTr="004D093B">
        <w:trPr>
          <w:cantSplit/>
          <w:trHeight w:val="18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lastRenderedPageBreak/>
              <w:t>Nowe wskazania nieonkologiczne</w:t>
            </w:r>
          </w:p>
        </w:tc>
      </w:tr>
      <w:tr w:rsidR="002D6ED9" w:rsidRPr="004D093B" w14:paraId="1394CD71" w14:textId="77777777" w:rsidTr="004D093B">
        <w:trPr>
          <w:cantSplit/>
          <w:trHeight w:val="628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387421" w:rsidRPr="004D093B" w14:paraId="7522F87A" w14:textId="77777777" w:rsidTr="002A56D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592E" w14:textId="7C7375EE" w:rsidR="00387421" w:rsidRPr="004D093B" w:rsidRDefault="004448D7" w:rsidP="0038742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FB93" w14:textId="250BE3BF" w:rsidR="00387421" w:rsidRPr="004D093B" w:rsidRDefault="00387421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A56D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Ilaris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0348" w14:textId="5CDF494E" w:rsidR="00387421" w:rsidRPr="004D093B" w:rsidRDefault="00387421" w:rsidP="002A56D5">
            <w:pPr>
              <w:spacing w:after="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44689">
              <w:rPr>
                <w:rFonts w:ascii="Lato" w:hAnsi="Lato"/>
                <w:i/>
                <w:iCs/>
                <w:sz w:val="18"/>
                <w:szCs w:val="18"/>
              </w:rPr>
              <w:t>kanakinumab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A292" w14:textId="076733C5" w:rsidR="00387421" w:rsidRPr="004D093B" w:rsidRDefault="00387421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4689">
              <w:rPr>
                <w:rFonts w:ascii="Lato" w:hAnsi="Lato"/>
                <w:sz w:val="18"/>
                <w:szCs w:val="18"/>
              </w:rPr>
              <w:t>B.33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8478" w14:textId="1D39C404" w:rsidR="00387421" w:rsidRPr="004D093B" w:rsidRDefault="00387421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4689">
              <w:rPr>
                <w:rFonts w:ascii="Lato" w:hAnsi="Lato"/>
                <w:sz w:val="18"/>
                <w:szCs w:val="18"/>
              </w:rPr>
              <w:t>LECZENIE CHORYCH Z AKTYWNĄ POSTACIĄ REUMATOIDALNEGO ZAPALENIA STAWÓW I MŁODZIEŃCZEGO IDIOPATYCZNEGO ZAPALENIA STAWÓW (ICD-10: M05, M06, M08)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90D0" w14:textId="3638BBB4" w:rsidR="00387421" w:rsidRDefault="00387421" w:rsidP="002A56D5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Leczenie</w:t>
            </w:r>
            <w:r w:rsidRPr="004D35D9">
              <w:rPr>
                <w:rFonts w:ascii="Lato" w:hAnsi="Lato"/>
                <w:sz w:val="18"/>
                <w:szCs w:val="18"/>
              </w:rPr>
              <w:t xml:space="preserve"> pacjentów dorosłych z rozpoznaniem choroby </w:t>
            </w:r>
            <w:proofErr w:type="spellStart"/>
            <w:r w:rsidRPr="004D35D9">
              <w:rPr>
                <w:rFonts w:ascii="Lato" w:hAnsi="Lato"/>
                <w:sz w:val="18"/>
                <w:szCs w:val="18"/>
              </w:rPr>
              <w:t>Stilla</w:t>
            </w:r>
            <w:proofErr w:type="spellEnd"/>
            <w:r w:rsidRPr="004D35D9">
              <w:rPr>
                <w:rFonts w:ascii="Lato" w:hAnsi="Lato"/>
                <w:sz w:val="18"/>
                <w:szCs w:val="18"/>
              </w:rPr>
              <w:t xml:space="preserve"> </w:t>
            </w:r>
            <w:r w:rsidR="005C1412">
              <w:rPr>
                <w:rFonts w:ascii="Lato" w:hAnsi="Lato"/>
                <w:sz w:val="18"/>
                <w:szCs w:val="18"/>
              </w:rPr>
              <w:t>(</w:t>
            </w:r>
            <w:r w:rsidRPr="004D35D9">
              <w:rPr>
                <w:rFonts w:ascii="Lato" w:hAnsi="Lato"/>
                <w:sz w:val="18"/>
                <w:szCs w:val="18"/>
              </w:rPr>
              <w:t>AOSD</w:t>
            </w:r>
            <w:r w:rsidR="005C1412">
              <w:rPr>
                <w:rFonts w:ascii="Lato" w:hAnsi="Lato"/>
                <w:sz w:val="18"/>
                <w:szCs w:val="18"/>
              </w:rPr>
              <w:t>)</w:t>
            </w:r>
            <w:r w:rsidRPr="004D35D9">
              <w:rPr>
                <w:rFonts w:ascii="Lato" w:hAnsi="Lato"/>
                <w:sz w:val="18"/>
                <w:szCs w:val="18"/>
              </w:rPr>
              <w:t xml:space="preserve"> z dużą aktywnością choroby lub ze współistniejącym reumatoidalnym zapaleniem stawów oraz w populacji od 2 r.ż. z młodzieńczym idiopatycznym zapaleniem stawów </w:t>
            </w:r>
            <w:r w:rsidR="005C1412">
              <w:rPr>
                <w:rFonts w:ascii="Lato" w:hAnsi="Lato"/>
                <w:sz w:val="18"/>
                <w:szCs w:val="18"/>
              </w:rPr>
              <w:t>(</w:t>
            </w:r>
            <w:r w:rsidRPr="004D35D9">
              <w:rPr>
                <w:rFonts w:ascii="Lato" w:hAnsi="Lato"/>
                <w:sz w:val="18"/>
                <w:szCs w:val="18"/>
              </w:rPr>
              <w:t>MIZS</w:t>
            </w:r>
            <w:r w:rsidR="005C1412">
              <w:rPr>
                <w:rFonts w:ascii="Lato" w:hAnsi="Lato"/>
                <w:sz w:val="18"/>
                <w:szCs w:val="18"/>
              </w:rPr>
              <w:t>)</w:t>
            </w:r>
            <w:r>
              <w:rPr>
                <w:rFonts w:ascii="Lato" w:hAnsi="Lato"/>
                <w:sz w:val="18"/>
                <w:szCs w:val="18"/>
              </w:rPr>
              <w:t>.</w:t>
            </w:r>
          </w:p>
          <w:p w14:paraId="5797C9BB" w14:textId="72CBA6A2" w:rsidR="00387421" w:rsidRPr="004D093B" w:rsidRDefault="00387421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Nowy l</w:t>
            </w:r>
            <w:r w:rsidRPr="00944689">
              <w:rPr>
                <w:rFonts w:ascii="Lato" w:hAnsi="Lato"/>
                <w:sz w:val="18"/>
                <w:szCs w:val="18"/>
              </w:rPr>
              <w:t>ek biologiczny, inhibitor interleukiny -1 beta (IL-1 beta)</w:t>
            </w:r>
            <w:r>
              <w:rPr>
                <w:rFonts w:ascii="Lato" w:hAnsi="Lato"/>
                <w:sz w:val="18"/>
                <w:szCs w:val="18"/>
              </w:rPr>
              <w:t>.</w:t>
            </w:r>
          </w:p>
        </w:tc>
      </w:tr>
      <w:tr w:rsidR="002A56D5" w:rsidRPr="004D093B" w14:paraId="61217492" w14:textId="77777777" w:rsidTr="002A56D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2EBC" w14:textId="010625C1" w:rsidR="002A56D5" w:rsidRPr="002A56D5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4818C" w14:textId="6EBC20F7" w:rsidR="002A56D5" w:rsidRPr="002A56D5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2A56D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8186" w14:textId="424985BD" w:rsidR="002A56D5" w:rsidRPr="002A56D5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2A56D5">
              <w:rPr>
                <w:rFonts w:ascii="Lato" w:hAnsi="Lato" w:cstheme="majorHAnsi"/>
                <w:i/>
                <w:iCs/>
                <w:sz w:val="18"/>
                <w:szCs w:val="18"/>
              </w:rPr>
              <w:t>toksyna botulinowa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7A4DB" w14:textId="199C6D9E" w:rsidR="002A56D5" w:rsidRPr="002A56D5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A56D5">
              <w:rPr>
                <w:rFonts w:ascii="Lato" w:hAnsi="Lato" w:cstheme="majorHAnsi"/>
                <w:color w:val="000000"/>
                <w:sz w:val="18"/>
                <w:szCs w:val="18"/>
              </w:rPr>
              <w:t>B.30.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41B8" w14:textId="21260497" w:rsidR="002A56D5" w:rsidRPr="002A56D5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A56D5">
              <w:rPr>
                <w:rFonts w:ascii="Lato" w:hAnsi="Lato"/>
                <w:bCs/>
                <w:sz w:val="18"/>
                <w:szCs w:val="18"/>
              </w:rPr>
              <w:t>LECZENIE PACJENTÓW PEDIATRYCZNYCH ZE SPASTYCZNOŚCIĄ KOŃCZYN Z UŻYCIEM TOKSYNY BOTULINOWEJ TYPU A (ICD–10: I61, I63, I69, G35, G80, G82, G83, T90, T91)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AE58E" w14:textId="77777777" w:rsidR="002A56D5" w:rsidRPr="002A56D5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A56D5">
              <w:rPr>
                <w:rFonts w:ascii="Lato" w:hAnsi="Lato" w:cstheme="majorHAnsi"/>
                <w:color w:val="000000"/>
                <w:sz w:val="18"/>
                <w:szCs w:val="18"/>
              </w:rPr>
              <w:t>Rozszerzeni zakresu wskazań klinicznych dla toksyny botulinowej o pacjentów pediatrycznych ze spastycznością o etiologii innej niż w wyniku mózgowego porażenia dziecięcego, tj.: po przebytym niedokrwiennym lub krwotocznym udarze mózgu, po przebytym urazie OUN, z rozpoznaniem stwardnienia rozsianego, z rozpoznaniem paraplegii spastycznej.</w:t>
            </w:r>
          </w:p>
          <w:p w14:paraId="738219B7" w14:textId="4D95441D" w:rsidR="002A56D5" w:rsidRPr="002A56D5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A56D5">
              <w:rPr>
                <w:rFonts w:ascii="Lato" w:hAnsi="Lato" w:cstheme="majorHAnsi"/>
                <w:b/>
                <w:bCs/>
                <w:sz w:val="18"/>
                <w:szCs w:val="18"/>
              </w:rPr>
              <w:t>(Wskazanie off-</w:t>
            </w:r>
            <w:proofErr w:type="spellStart"/>
            <w:r w:rsidRPr="002A56D5">
              <w:rPr>
                <w:rFonts w:ascii="Lato" w:hAnsi="Lato" w:cstheme="majorHAnsi"/>
                <w:b/>
                <w:bCs/>
                <w:sz w:val="18"/>
                <w:szCs w:val="18"/>
              </w:rPr>
              <w:t>label</w:t>
            </w:r>
            <w:proofErr w:type="spellEnd"/>
            <w:r w:rsidRPr="002A56D5">
              <w:rPr>
                <w:rFonts w:ascii="Lato" w:hAnsi="Lato" w:cstheme="majorHAnsi"/>
                <w:b/>
                <w:bCs/>
                <w:sz w:val="18"/>
                <w:szCs w:val="18"/>
              </w:rPr>
              <w:t>)</w:t>
            </w:r>
          </w:p>
        </w:tc>
      </w:tr>
      <w:tr w:rsidR="00FF7111" w:rsidRPr="004D093B" w14:paraId="3308228E" w14:textId="77777777" w:rsidTr="00E64860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06609" w14:textId="1A02F6E4" w:rsidR="00FF7111" w:rsidRPr="004D093B" w:rsidRDefault="002A56D5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</w:t>
            </w:r>
            <w:r w:rsidR="004448D7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551E" w14:textId="4945E8EF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Omvoh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1E77" w14:textId="1A05F942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mirikizumab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8867" w14:textId="1D39B416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B.55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7DB11" w14:textId="6FB1FCBA" w:rsidR="00FF7111" w:rsidRPr="008120BF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27364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WRZODZIEJĄCYM ZAPALENIEM JELITA GRUBEGO (WZJG) (ICD-10: K51)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42206" w14:textId="77777777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</w:t>
            </w:r>
            <w:r w:rsidRPr="00227364">
              <w:rPr>
                <w:rFonts w:ascii="Lato" w:hAnsi="Lato" w:cstheme="majorHAnsi"/>
                <w:color w:val="000000"/>
                <w:sz w:val="18"/>
                <w:szCs w:val="18"/>
              </w:rPr>
              <w:t>w wieku od 18 lat z rozpoznaną ciężką lub umiarkowaną postacią WZJG</w:t>
            </w:r>
            <w:r w:rsidR="005C1412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573BFA8F" w14:textId="469D2A2D" w:rsidR="005C1412" w:rsidRDefault="005C1412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616BE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Kolejna opcja terapeutyczna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dla pacjentów z WZJG.</w:t>
            </w:r>
          </w:p>
        </w:tc>
      </w:tr>
      <w:tr w:rsidR="00FF7111" w:rsidRPr="004D093B" w14:paraId="5ED86F3E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B444" w14:textId="19938504" w:rsidR="00FF7111" w:rsidRPr="004D093B" w:rsidRDefault="002A56D5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4</w:t>
            </w:r>
            <w:r w:rsidR="004448D7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5631" w14:textId="24DC3939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sz w:val="18"/>
                <w:szCs w:val="18"/>
              </w:rPr>
              <w:t>Vesoxx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6633" w14:textId="08F13BB5" w:rsidR="00FF7111" w:rsidRPr="004D093B" w:rsidRDefault="005C1412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o</w:t>
            </w:r>
            <w:r w:rsidRPr="005C1412">
              <w:rPr>
                <w:rFonts w:ascii="Lato" w:hAnsi="Lato" w:cstheme="majorHAnsi"/>
                <w:i/>
                <w:iCs/>
                <w:sz w:val="18"/>
                <w:szCs w:val="18"/>
              </w:rPr>
              <w:t>ksybutyniny</w:t>
            </w:r>
            <w:proofErr w:type="spellEnd"/>
            <w:r w:rsidRPr="005C1412"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chlorowodorek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888C" w14:textId="2ACB97E8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B.73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2A6A" w14:textId="5F8F68B6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120BF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NEUROGENNĄ NADREAKTYWNOŚCIĄ WYPIERACZA (ICD-10: N31)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1040" w14:textId="4DF96C45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neurogennej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nadreaktywności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wypieracza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wynikającej z uszkodzenia rdzenia kręgowego lub z rozszczepienia kręgosłupa, u dzieci i młodzieży w wieku 6-18 lat.</w:t>
            </w:r>
          </w:p>
        </w:tc>
      </w:tr>
      <w:tr w:rsidR="00FF7111" w:rsidRPr="004D093B" w14:paraId="5CE97390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F555" w14:textId="20F58946" w:rsidR="00FF7111" w:rsidRPr="004D093B" w:rsidRDefault="002A56D5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5</w:t>
            </w:r>
            <w:r w:rsidR="004448D7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89EF" w14:textId="4404955A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Takhzyro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5750" w14:textId="7EE27DC0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lanadelumab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6876" w14:textId="51FF29B5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B.122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4CE2" w14:textId="44EFE171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C75C1">
              <w:rPr>
                <w:rFonts w:ascii="Lato" w:hAnsi="Lato" w:cstheme="majorHAnsi"/>
                <w:color w:val="000000"/>
                <w:sz w:val="18"/>
                <w:szCs w:val="18"/>
              </w:rPr>
              <w:t>LECZENIE ZAPOBIEGAWCZE CHORYCH Z NAWRACAJĄCYMI NAPADAMI DZIEDZICZNEGO OBRZĘKU NACZYNIORUCHOWEGO O CIĘŻKIM PRZEBIEGU (ICD-10: D 84.1)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76881" w14:textId="77777777" w:rsidR="005C1412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Poszerzenie populacji pacjentów z dziedzicznym obrzękiem naczynioruchowym leczonych profilaktycznie w programie poprzez zmniejszenie liczny ataków w okresie 6 miesięcy (z 12 na 6) oraz usunięcie lokalizacji ataków branych pod uwagę</w:t>
            </w:r>
            <w:r w:rsidR="005C1412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0AFE6806" w14:textId="7C8F3334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5C1412" w:rsidRPr="000E5F9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FF7111" w:rsidRPr="004D093B" w14:paraId="6D899FDB" w14:textId="77777777" w:rsidTr="002A56D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10F3" w14:textId="441C3AC3" w:rsidR="00FF7111" w:rsidRPr="00E64860" w:rsidRDefault="002A56D5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6</w:t>
            </w:r>
            <w:r w:rsidR="004448D7"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0F3F" w14:textId="5EDA7EA3" w:rsidR="00FF7111" w:rsidRPr="00E64860" w:rsidRDefault="00FF7111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/>
                <w:b/>
                <w:bCs/>
                <w:sz w:val="18"/>
                <w:szCs w:val="18"/>
              </w:rPr>
              <w:t>Dupixent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BCFA" w14:textId="4D180857" w:rsidR="00FF7111" w:rsidRPr="00E64860" w:rsidRDefault="00FF7111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/>
                <w:i/>
                <w:iCs/>
                <w:sz w:val="18"/>
                <w:szCs w:val="18"/>
              </w:rPr>
              <w:t>dupilumab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9B8A" w14:textId="0A3F979B" w:rsidR="00FF7111" w:rsidRPr="00E64860" w:rsidRDefault="00FF7111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/>
                <w:sz w:val="18"/>
                <w:szCs w:val="18"/>
              </w:rPr>
              <w:t>B.124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6B302" w14:textId="44A7C723" w:rsidR="00FF7111" w:rsidRPr="00E64860" w:rsidRDefault="00FF7111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/>
                <w:sz w:val="18"/>
                <w:szCs w:val="18"/>
              </w:rPr>
              <w:t>LECZENIE CHORYCH Z CIĘŻKĄ POSTACIĄ ATOPOWEGO ZAPALENIA SKÓRY (ICD-10: L20)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1E34" w14:textId="6057F7B5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/>
                <w:sz w:val="18"/>
                <w:szCs w:val="18"/>
              </w:rPr>
              <w:t xml:space="preserve">Rozszerzenie </w:t>
            </w:r>
            <w:r w:rsidR="0012601A" w:rsidRPr="00E64860">
              <w:rPr>
                <w:rFonts w:ascii="Lato" w:hAnsi="Lato"/>
                <w:sz w:val="18"/>
                <w:szCs w:val="18"/>
              </w:rPr>
              <w:t>wskazań refundacyjnych</w:t>
            </w:r>
            <w:r w:rsidRPr="00E64860">
              <w:rPr>
                <w:rFonts w:ascii="Lato" w:hAnsi="Lato"/>
                <w:sz w:val="18"/>
                <w:szCs w:val="18"/>
              </w:rPr>
              <w:t xml:space="preserve"> </w:t>
            </w:r>
            <w:proofErr w:type="spellStart"/>
            <w:r w:rsidRPr="00E64860">
              <w:rPr>
                <w:rFonts w:ascii="Lato" w:hAnsi="Lato"/>
                <w:sz w:val="18"/>
                <w:szCs w:val="18"/>
              </w:rPr>
              <w:t>dupilumabu</w:t>
            </w:r>
            <w:proofErr w:type="spellEnd"/>
            <w:r w:rsidRPr="00E64860">
              <w:rPr>
                <w:rFonts w:ascii="Lato" w:hAnsi="Lato"/>
                <w:sz w:val="18"/>
                <w:szCs w:val="18"/>
              </w:rPr>
              <w:t xml:space="preserve"> </w:t>
            </w:r>
            <w:r w:rsidR="0012601A" w:rsidRPr="00E64860">
              <w:rPr>
                <w:rFonts w:ascii="Lato" w:hAnsi="Lato"/>
                <w:sz w:val="18"/>
                <w:szCs w:val="18"/>
              </w:rPr>
              <w:t>w programie lekowym dedykowanym pacjentom z ciężkim atopowym zapaleniem skóry poprzez redukcję minimalnego progu wiekowego z 6 lat na 6 miesięcy.</w:t>
            </w:r>
          </w:p>
        </w:tc>
      </w:tr>
      <w:tr w:rsidR="00FF7111" w:rsidRPr="004D093B" w14:paraId="1AF8AB98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C320" w14:textId="4C9E9556" w:rsidR="00FF7111" w:rsidRPr="00E64860" w:rsidRDefault="002A56D5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7</w:t>
            </w:r>
            <w:r w:rsidR="004448D7"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5C18" w14:textId="66517AFA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Fintepla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EAC5" w14:textId="5EE7ACFF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fenfluramina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708A" w14:textId="1CAC431C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B.154.FM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4A55" w14:textId="77D61D79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ZESPOŁEM LENNOXA-GASTAUTA LUB Z ZESPOŁEM DRAVET (ICD-10: G40.4)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5ACF5" w14:textId="77777777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pacjentów z zespołem </w:t>
            </w:r>
            <w:proofErr w:type="spellStart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Lennoxa-Gastauta</w:t>
            </w:r>
            <w:proofErr w:type="spellEnd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z zespołem </w:t>
            </w:r>
            <w:proofErr w:type="spellStart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Dravet</w:t>
            </w:r>
            <w:proofErr w:type="spellEnd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wieku 2 lat i powyżej, u których napady padaczkowe nie są w pełni kontrolowane pomimo zastosowania co najmniej trzech leków przeciwpadaczkowych.</w:t>
            </w:r>
          </w:p>
          <w:p w14:paraId="62391289" w14:textId="77777777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Kolejna opcja terapeutyczna dla pacjentów z rzadkimi zespołami padaczkowymi.</w:t>
            </w:r>
          </w:p>
          <w:p w14:paraId="64E75D71" w14:textId="42890263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FF7111" w:rsidRPr="004D093B" w14:paraId="550257DA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4F64" w14:textId="2ACDF664" w:rsidR="00FF7111" w:rsidRPr="004D093B" w:rsidRDefault="002A56D5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8</w:t>
            </w:r>
            <w:r w:rsidR="004448D7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7AC7" w14:textId="1D2D6A08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sz w:val="18"/>
                <w:szCs w:val="18"/>
              </w:rPr>
              <w:t>Ultomiris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2120" w14:textId="7249751E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rawulizumab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E93A1" w14:textId="17974E55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B.157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5A82" w14:textId="49682D3B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616BE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UOGÓLNIONĄ POSTACIĄ MIASTENII (G.70.0)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C17FC" w14:textId="77777777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616BE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Kolejna opcja terapeutyczna dla pacjentów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seropozytywnych -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rawulizumab</w:t>
            </w:r>
            <w:proofErr w:type="spellEnd"/>
            <w:r w:rsidRPr="007616BE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jest wskazany do stosowania jako terapia dodatkowa do standardowego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7616BE">
              <w:rPr>
                <w:rFonts w:ascii="Lato" w:hAnsi="Lato" w:cstheme="majorHAnsi"/>
                <w:color w:val="000000"/>
                <w:sz w:val="18"/>
                <w:szCs w:val="18"/>
              </w:rPr>
              <w:t>leczenia dorosłych pacjentów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chorych na miastenię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gravis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686710F4" w14:textId="4B50F96F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616BE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FF7111" w:rsidRPr="004D093B" w14:paraId="1BF7A7CF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A1AB3" w14:textId="494B32AC" w:rsidR="00FF7111" w:rsidRPr="004D093B" w:rsidRDefault="002A56D5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9</w:t>
            </w:r>
            <w:r w:rsidR="004448D7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3BB8" w14:textId="62E8BFB5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Voxzogo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2AA89" w14:textId="160F6CEE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wosorytyd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EF15" w14:textId="49FDE25E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B.</w:t>
            </w:r>
            <w:r w:rsidR="00E64860"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E401" w14:textId="749EA461" w:rsidR="00FF7111" w:rsidRPr="007616BE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5534C">
              <w:rPr>
                <w:rFonts w:ascii="Lato" w:hAnsi="Lato" w:cstheme="majorHAnsi"/>
                <w:color w:val="000000"/>
                <w:sz w:val="18"/>
                <w:szCs w:val="18"/>
              </w:rPr>
              <w:t>LECZENIE PACJETÓW Z ACHONDROPLAZJĄ (ICD-10: Q77.4)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16C7" w14:textId="77777777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</w:t>
            </w:r>
            <w:r w:rsidRPr="00643C5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achondroplazji u pacjentów w wieku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643C52">
              <w:rPr>
                <w:rFonts w:ascii="Lato" w:hAnsi="Lato" w:cstheme="majorHAnsi"/>
                <w:color w:val="000000"/>
                <w:sz w:val="18"/>
                <w:szCs w:val="18"/>
              </w:rPr>
              <w:t>4 miesięcy lub starszych, których nasady kości długiej nie są zamknięte.</w:t>
            </w:r>
          </w:p>
          <w:p w14:paraId="6ECBD001" w14:textId="15177563" w:rsidR="00FF7111" w:rsidRPr="007616BE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052C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FF7111" w:rsidRPr="004D093B" w14:paraId="286708CA" w14:textId="77777777" w:rsidTr="007F79B9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E1E8" w14:textId="26242A55" w:rsidR="00FF7111" w:rsidRPr="004D093B" w:rsidRDefault="002A56D5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10</w:t>
            </w:r>
            <w:r w:rsidR="004448D7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065C3" w14:textId="63A14FE3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Luxturna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CB3A6" w14:textId="256A1C47" w:rsidR="00FF7111" w:rsidRDefault="005C1412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</w:t>
            </w:r>
            <w:r w:rsidR="00FF7111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oretygen</w:t>
            </w:r>
            <w:proofErr w:type="spellEnd"/>
            <w:r w:rsidR="00FF7111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F7111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neparwowek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4978F" w14:textId="44012F32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B.</w:t>
            </w:r>
            <w:r w:rsidR="00E64860"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21E3" w14:textId="5FA2D2A1" w:rsidR="00FF7111" w:rsidRPr="00D96CA5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NA WRODZONĄ ŚLEPOTĘ LEBERA (LCA) Z BIALLELICZNĄ MUTACJĄ GENU 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RPE65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(ICD-10: H35.5)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E1A7" w14:textId="77777777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pacjentów w wieku od 4 do 35 lat chorujących na wrodzoną ślepotę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Lebera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wywołaną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bialleliczną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mutacją genu 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RPE65</w:t>
            </w:r>
            <w:r w:rsidR="004448D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.</w:t>
            </w:r>
          </w:p>
          <w:p w14:paraId="1F0BF29C" w14:textId="60F62E86" w:rsidR="004448D7" w:rsidRPr="004448D7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052C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</w:tbl>
    <w:p w14:paraId="17160E61" w14:textId="45061D3C" w:rsidR="004D093B" w:rsidRDefault="004D093B">
      <w:pPr>
        <w:rPr>
          <w:rFonts w:ascii="Lato" w:hAnsi="Lato"/>
        </w:rPr>
      </w:pPr>
    </w:p>
    <w:p w14:paraId="169C5300" w14:textId="77777777" w:rsidR="004D093B" w:rsidRDefault="004D093B">
      <w:pPr>
        <w:suppressAutoHyphens w:val="0"/>
        <w:rPr>
          <w:rFonts w:ascii="Lato" w:hAnsi="Lato"/>
        </w:rPr>
      </w:pPr>
      <w:r>
        <w:rPr>
          <w:rFonts w:ascii="Lato" w:hAnsi="Lato"/>
        </w:rP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1195"/>
        <w:gridCol w:w="3545"/>
        <w:gridCol w:w="8608"/>
      </w:tblGrid>
      <w:tr w:rsidR="00A434EB" w:rsidRPr="004D093B" w14:paraId="0B833808" w14:textId="77777777" w:rsidTr="004D093B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lastRenderedPageBreak/>
              <w:t>Zmiany w programach lekowych i chemioterapii</w:t>
            </w:r>
          </w:p>
        </w:tc>
      </w:tr>
      <w:tr w:rsidR="00A434EB" w:rsidRPr="004D093B" w14:paraId="2BCC5E80" w14:textId="77777777" w:rsidTr="00B907C0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 lub numeru załącznika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 lub załącznika chemioterapii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Krótki opis zmian dokonanych w obrębie programu lekowego / załącznika chemioterapii</w:t>
            </w:r>
          </w:p>
        </w:tc>
      </w:tr>
      <w:tr w:rsidR="00FF7111" w:rsidRPr="004D093B" w14:paraId="7E3371E2" w14:textId="77777777" w:rsidTr="00B907C0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8BB3" w14:textId="449E0277" w:rsidR="00FF7111" w:rsidRPr="004D093B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1.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2FEA" w14:textId="3C6232BC" w:rsidR="00FF7111" w:rsidRPr="004448D7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448D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B.9.FM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EE57" w14:textId="2FDB8D06" w:rsidR="00FF7111" w:rsidRPr="00387421" w:rsidRDefault="00FF7111" w:rsidP="00FF7111">
            <w:pPr>
              <w:spacing w:before="60" w:after="6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PIERSI (ICD-10: C50)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73A46" w14:textId="533684B5" w:rsidR="00FF7111" w:rsidRDefault="00FF7111" w:rsidP="00FF7111">
            <w:p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6D2E0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Zmiany w programie lekowym o charakterze porządkującym. W części badania diagnostyczne wykonywane w ramach programu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dokonano</w:t>
            </w:r>
            <w:r w:rsidRPr="006D2E0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modyfikacji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zapisów </w:t>
            </w:r>
            <w:r w:rsidRPr="006D2E0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związanych z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częstotliwością</w:t>
            </w:r>
            <w:r w:rsidRPr="006D2E0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wykonywania badań diagnostycznych w ramach monitorowania leczenia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Dodano </w:t>
            </w:r>
            <w:r w:rsidRPr="006D2E09">
              <w:rPr>
                <w:rFonts w:ascii="Lato" w:hAnsi="Lato" w:cstheme="majorHAnsi"/>
                <w:color w:val="000000"/>
                <w:sz w:val="18"/>
                <w:szCs w:val="18"/>
              </w:rPr>
              <w:t>również wskaźnik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</w:t>
            </w:r>
            <w:r w:rsidRPr="006D2E0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oceny skuteczności terapii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FF7111" w:rsidRPr="004D093B" w14:paraId="50DA02B0" w14:textId="77777777" w:rsidTr="00B907C0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7C88" w14:textId="09A73E7B" w:rsidR="00FF7111" w:rsidRPr="004D093B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bookmarkStart w:id="1" w:name="_Hlk184723454"/>
            <w:r>
              <w:rPr>
                <w:rFonts w:ascii="Lato" w:hAnsi="Lato" w:cstheme="majorHAnsi"/>
                <w:sz w:val="18"/>
                <w:szCs w:val="18"/>
              </w:rPr>
              <w:t>2.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2DB2" w14:textId="1E411FF4" w:rsidR="00FF7111" w:rsidRPr="004448D7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448D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B.30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D9A8" w14:textId="6574A330" w:rsidR="00FF7111" w:rsidRPr="00387421" w:rsidRDefault="00FF7111" w:rsidP="00FF7111">
            <w:pPr>
              <w:spacing w:before="60" w:after="6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387421">
              <w:rPr>
                <w:rFonts w:ascii="Lato" w:hAnsi="Lato"/>
                <w:bCs/>
                <w:sz w:val="18"/>
                <w:szCs w:val="18"/>
              </w:rPr>
              <w:t>LECZENIE PACJENTÓW PEDIATRYCZNYCH ZE SPASTYCZNOŚCIĄ KOŃCZYN Z UŻYCIEM TOKSYNY BOTULINOWEJ TYPU A (ICD–10: I61, I63, I69, G35, G80, G82, G83, T90, T91)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5E2D4" w14:textId="69A21933" w:rsidR="004448D7" w:rsidRPr="004448D7" w:rsidRDefault="00FF7111" w:rsidP="004448D7">
            <w:p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Odpowi</w:t>
            </w:r>
            <w:r w:rsidR="004448D7">
              <w:rPr>
                <w:rFonts w:ascii="Lato" w:hAnsi="Lato" w:cstheme="majorHAnsi"/>
                <w:sz w:val="18"/>
                <w:szCs w:val="18"/>
              </w:rPr>
              <w:t xml:space="preserve">adając </w:t>
            </w:r>
            <w:r>
              <w:rPr>
                <w:rFonts w:ascii="Lato" w:hAnsi="Lato" w:cstheme="majorHAnsi"/>
                <w:sz w:val="18"/>
                <w:szCs w:val="18"/>
              </w:rPr>
              <w:t>na niezaspokojoną dotychczas potrzebę terapeutyczną</w:t>
            </w:r>
            <w:r w:rsidR="004448D7">
              <w:rPr>
                <w:rFonts w:ascii="Lato" w:hAnsi="Lato" w:cstheme="majorHAnsi"/>
                <w:sz w:val="18"/>
                <w:szCs w:val="18"/>
              </w:rPr>
              <w:t xml:space="preserve">, dokonano kompleksowej </w:t>
            </w:r>
            <w:r w:rsidR="004448D7" w:rsidRPr="004448D7">
              <w:rPr>
                <w:rFonts w:ascii="Lato" w:hAnsi="Lato" w:cstheme="majorHAnsi"/>
                <w:sz w:val="18"/>
                <w:szCs w:val="18"/>
              </w:rPr>
              <w:t>zmian</w:t>
            </w:r>
            <w:r w:rsidR="004448D7">
              <w:rPr>
                <w:rFonts w:ascii="Lato" w:hAnsi="Lato" w:cstheme="majorHAnsi"/>
                <w:sz w:val="18"/>
                <w:szCs w:val="18"/>
              </w:rPr>
              <w:t>y</w:t>
            </w:r>
            <w:r w:rsidR="004448D7" w:rsidRPr="004448D7">
              <w:rPr>
                <w:rFonts w:ascii="Lato" w:hAnsi="Lato" w:cstheme="majorHAnsi"/>
                <w:sz w:val="18"/>
                <w:szCs w:val="18"/>
              </w:rPr>
              <w:t xml:space="preserve"> programu lekowego, który został wprowadzony </w:t>
            </w:r>
            <w:r w:rsidR="004448D7">
              <w:rPr>
                <w:rFonts w:ascii="Lato" w:hAnsi="Lato" w:cstheme="majorHAnsi"/>
                <w:sz w:val="18"/>
                <w:szCs w:val="18"/>
              </w:rPr>
              <w:t>ponad dekadę temu</w:t>
            </w:r>
            <w:r w:rsidR="004448D7" w:rsidRPr="004448D7">
              <w:rPr>
                <w:rFonts w:ascii="Lato" w:hAnsi="Lato" w:cstheme="majorHAnsi"/>
                <w:sz w:val="18"/>
                <w:szCs w:val="18"/>
              </w:rPr>
              <w:t xml:space="preserve"> wraz z rozszerzeniem wskazań dla pacjentów pediatrycznych ze spastycznością o etiologii innej niż w wyniku mózgowego porażenia dziecięcego, tj.:</w:t>
            </w:r>
          </w:p>
          <w:p w14:paraId="6DBBC524" w14:textId="77777777" w:rsidR="004448D7" w:rsidRPr="004448D7" w:rsidRDefault="004448D7" w:rsidP="004448D7">
            <w:pPr>
              <w:numPr>
                <w:ilvl w:val="0"/>
                <w:numId w:val="30"/>
              </w:num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4448D7">
              <w:rPr>
                <w:rFonts w:ascii="Lato" w:hAnsi="Lato" w:cstheme="majorHAnsi"/>
                <w:sz w:val="18"/>
                <w:szCs w:val="18"/>
              </w:rPr>
              <w:t>po przebytym niedokrwiennym lub krwotocznym udarze mózgu,</w:t>
            </w:r>
          </w:p>
          <w:p w14:paraId="5786E605" w14:textId="77777777" w:rsidR="004448D7" w:rsidRPr="004448D7" w:rsidRDefault="004448D7" w:rsidP="004448D7">
            <w:pPr>
              <w:numPr>
                <w:ilvl w:val="0"/>
                <w:numId w:val="30"/>
              </w:num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4448D7">
              <w:rPr>
                <w:rFonts w:ascii="Lato" w:hAnsi="Lato" w:cstheme="majorHAnsi"/>
                <w:sz w:val="18"/>
                <w:szCs w:val="18"/>
              </w:rPr>
              <w:t>po przebytym urazie OUN,</w:t>
            </w:r>
          </w:p>
          <w:p w14:paraId="6D33360A" w14:textId="77777777" w:rsidR="004448D7" w:rsidRPr="004448D7" w:rsidRDefault="004448D7" w:rsidP="004448D7">
            <w:pPr>
              <w:numPr>
                <w:ilvl w:val="0"/>
                <w:numId w:val="30"/>
              </w:num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4448D7">
              <w:rPr>
                <w:rFonts w:ascii="Lato" w:hAnsi="Lato" w:cstheme="majorHAnsi"/>
                <w:sz w:val="18"/>
                <w:szCs w:val="18"/>
              </w:rPr>
              <w:t>z rozpoznaniem stwardnienia rozsianego,</w:t>
            </w:r>
          </w:p>
          <w:p w14:paraId="4BC7F39F" w14:textId="7EE323E5" w:rsidR="00FF7111" w:rsidRPr="004448D7" w:rsidRDefault="004448D7" w:rsidP="00FF7111">
            <w:pPr>
              <w:numPr>
                <w:ilvl w:val="0"/>
                <w:numId w:val="30"/>
              </w:num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4448D7">
              <w:rPr>
                <w:rFonts w:ascii="Lato" w:hAnsi="Lato" w:cstheme="majorHAnsi"/>
                <w:sz w:val="18"/>
                <w:szCs w:val="18"/>
              </w:rPr>
              <w:t>z rozpoznaniem paraplegii spastycznej.</w:t>
            </w:r>
          </w:p>
        </w:tc>
      </w:tr>
      <w:bookmarkEnd w:id="1"/>
      <w:tr w:rsidR="00FF7111" w:rsidRPr="004D093B" w14:paraId="557463F1" w14:textId="77777777" w:rsidTr="00B907C0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E056" w14:textId="63F139A6" w:rsidR="00FF7111" w:rsidRPr="004D093B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3.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70AF4" w14:textId="1247300D" w:rsidR="00FF7111" w:rsidRPr="004448D7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448D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B.54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BDF9A" w14:textId="500B0FC1" w:rsidR="00FF7111" w:rsidRPr="00387421" w:rsidRDefault="00FF7111" w:rsidP="00FF7111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9E36F4">
              <w:rPr>
                <w:rFonts w:ascii="Lato" w:hAnsi="Lato"/>
                <w:bCs/>
                <w:sz w:val="18"/>
                <w:szCs w:val="18"/>
              </w:rPr>
              <w:t>LECZENIE CHORYCH NA SZPICZAKA PLAZMOCYTOWEGO (ICD-10: C90.0)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3F52" w14:textId="77777777" w:rsidR="00FF7111" w:rsidRDefault="00FF7111" w:rsidP="00FF7111">
            <w:p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Zmiany techniczne w programie lekowym polegające na:</w:t>
            </w:r>
          </w:p>
          <w:p w14:paraId="61520F51" w14:textId="77777777" w:rsidR="00FF7111" w:rsidRPr="009E36F4" w:rsidRDefault="00FF7111" w:rsidP="00FF7111">
            <w:pPr>
              <w:pStyle w:val="Akapitzlist"/>
              <w:numPr>
                <w:ilvl w:val="0"/>
                <w:numId w:val="28"/>
              </w:num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wykreśleniu zapisów dotyczących terapii Pd i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PVd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w związku ze z</w:t>
            </w:r>
            <w:r w:rsidRPr="00FF7111">
              <w:rPr>
                <w:rFonts w:ascii="Lato" w:hAnsi="Lato" w:cstheme="majorHAnsi"/>
                <w:sz w:val="18"/>
                <w:szCs w:val="18"/>
              </w:rPr>
              <w:t xml:space="preserve">mianą kategorii dostępności refundacyjnej dla </w:t>
            </w:r>
            <w:proofErr w:type="spellStart"/>
            <w:r w:rsidRPr="00FF7111">
              <w:rPr>
                <w:rFonts w:ascii="Lato" w:hAnsi="Lato" w:cstheme="majorHAnsi"/>
                <w:sz w:val="18"/>
                <w:szCs w:val="18"/>
              </w:rPr>
              <w:t>pomalidomidu</w:t>
            </w:r>
            <w:proofErr w:type="spellEnd"/>
            <w:r w:rsidRPr="00FF7111">
              <w:rPr>
                <w:rFonts w:ascii="Lato" w:hAnsi="Lato" w:cstheme="majorHAnsi"/>
                <w:sz w:val="18"/>
                <w:szCs w:val="18"/>
              </w:rPr>
              <w:t xml:space="preserve"> do katalogu chemioterapii C.101.a,</w:t>
            </w:r>
          </w:p>
          <w:p w14:paraId="17E0AA2C" w14:textId="77777777" w:rsidR="00FF7111" w:rsidRDefault="00FF7111" w:rsidP="00FF7111">
            <w:pPr>
              <w:pStyle w:val="Akapitzlist"/>
              <w:numPr>
                <w:ilvl w:val="0"/>
                <w:numId w:val="28"/>
              </w:num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wykreśleniu zapisów dotyczących dawkowania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daratumumabu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w formie do podania dożylnego w związku z niezłożeniem przez Wnioskodawcę</w:t>
            </w:r>
            <w:r w:rsidRPr="00561987">
              <w:rPr>
                <w:rFonts w:ascii="Lato" w:hAnsi="Lato" w:cstheme="majorHAnsi"/>
                <w:sz w:val="18"/>
                <w:szCs w:val="18"/>
              </w:rPr>
              <w:t xml:space="preserve"> wniosk</w:t>
            </w:r>
            <w:r>
              <w:rPr>
                <w:rFonts w:ascii="Lato" w:hAnsi="Lato" w:cstheme="majorHAnsi"/>
                <w:sz w:val="18"/>
                <w:szCs w:val="18"/>
              </w:rPr>
              <w:t>u</w:t>
            </w:r>
            <w:r w:rsidRPr="00561987">
              <w:rPr>
                <w:rFonts w:ascii="Lato" w:hAnsi="Lato" w:cstheme="majorHAnsi"/>
                <w:sz w:val="18"/>
                <w:szCs w:val="18"/>
              </w:rPr>
              <w:t xml:space="preserve"> o objęcie refundacją na kolejny okres</w:t>
            </w:r>
            <w:r>
              <w:rPr>
                <w:rFonts w:ascii="Lato" w:hAnsi="Lato" w:cstheme="majorHAnsi"/>
                <w:sz w:val="18"/>
                <w:szCs w:val="18"/>
              </w:rPr>
              <w:t xml:space="preserve"> dla leku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Darzalex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daratumumab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>) w formie dożylnej (</w:t>
            </w:r>
            <w:r w:rsidRPr="00561987">
              <w:rPr>
                <w:rFonts w:ascii="Lato" w:hAnsi="Lato" w:cstheme="majorHAnsi"/>
                <w:sz w:val="18"/>
                <w:szCs w:val="18"/>
              </w:rPr>
              <w:t xml:space="preserve">od </w:t>
            </w:r>
            <w:r>
              <w:rPr>
                <w:rFonts w:ascii="Lato" w:hAnsi="Lato" w:cstheme="majorHAnsi"/>
                <w:sz w:val="18"/>
                <w:szCs w:val="18"/>
              </w:rPr>
              <w:t xml:space="preserve">1 </w:t>
            </w:r>
            <w:r w:rsidRPr="00561987">
              <w:rPr>
                <w:rFonts w:ascii="Lato" w:hAnsi="Lato" w:cstheme="majorHAnsi"/>
                <w:sz w:val="18"/>
                <w:szCs w:val="18"/>
              </w:rPr>
              <w:t xml:space="preserve">stycznia 2025 r. </w:t>
            </w:r>
            <w:r>
              <w:rPr>
                <w:rFonts w:ascii="Lato" w:hAnsi="Lato" w:cstheme="majorHAnsi"/>
                <w:sz w:val="18"/>
                <w:szCs w:val="18"/>
              </w:rPr>
              <w:t xml:space="preserve">w ramach programu lekowego B.54. refundowany będzie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daratumumab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jedynie w formie do podania podskórnego),</w:t>
            </w:r>
          </w:p>
          <w:p w14:paraId="583DC9D2" w14:textId="4BA1C3C8" w:rsidR="00FF7111" w:rsidRPr="00FF7111" w:rsidRDefault="00FF7111" w:rsidP="00FF7111">
            <w:pPr>
              <w:pStyle w:val="Akapitzlist"/>
              <w:numPr>
                <w:ilvl w:val="0"/>
                <w:numId w:val="28"/>
              </w:num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FF7111">
              <w:rPr>
                <w:rFonts w:ascii="Lato" w:hAnsi="Lato" w:cstheme="majorHAnsi"/>
                <w:sz w:val="18"/>
                <w:szCs w:val="18"/>
              </w:rPr>
              <w:t xml:space="preserve">dodaniu zapisu doprecyzowującego, iż obecne zapisy w programie dotyczące CRS i ICANS dotyczą leczenia </w:t>
            </w:r>
            <w:proofErr w:type="spellStart"/>
            <w:r w:rsidRPr="00FF7111">
              <w:rPr>
                <w:rFonts w:ascii="Lato" w:hAnsi="Lato" w:cstheme="majorHAnsi"/>
                <w:sz w:val="18"/>
                <w:szCs w:val="18"/>
              </w:rPr>
              <w:t>teklistamabem</w:t>
            </w:r>
            <w:proofErr w:type="spellEnd"/>
            <w:r w:rsidRPr="00FF7111"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</w:tr>
      <w:tr w:rsidR="00FF7111" w:rsidRPr="004D093B" w14:paraId="571B0832" w14:textId="77777777" w:rsidTr="00B907C0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0F3C" w14:textId="2D13741C" w:rsidR="00FF7111" w:rsidRPr="004D093B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4.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38BA" w14:textId="43739C52" w:rsidR="00FF7111" w:rsidRPr="004448D7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448D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B.57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1FCD" w14:textId="5E37215C" w:rsidR="00FF7111" w:rsidRPr="00387421" w:rsidRDefault="00FF7111" w:rsidP="00FF7111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bCs/>
                <w:sz w:val="18"/>
                <w:szCs w:val="18"/>
                <w:lang w:eastAsia="en-US"/>
              </w:rPr>
            </w:pPr>
            <w:r w:rsidRPr="00387421">
              <w:rPr>
                <w:rFonts w:ascii="Lato" w:hAnsi="Lato"/>
                <w:bCs/>
                <w:sz w:val="18"/>
                <w:szCs w:val="18"/>
              </w:rPr>
              <w:t>LECZENIE PACJENTÓW ZE SPASTYCZNOŚCIĄ KOŃCZYN Z UŻYCIEM TOKSYNY BOTULINOWEJ TYPU A (ICD–10: I61, I63, I69, G35, G80, G82, G83, T90, T91)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BA6A" w14:textId="77777777" w:rsidR="00FF7111" w:rsidRDefault="00FF7111" w:rsidP="00FF7111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Ujednolicenie wskazań dla wszystkich produktów leczniczych zawierających toksynę botulinową typu A.</w:t>
            </w:r>
          </w:p>
          <w:p w14:paraId="37872EE1" w14:textId="77777777" w:rsidR="00FF7111" w:rsidRDefault="00FF7111" w:rsidP="00FF7111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Usunięcie wymogu przyjęcia pozycji stojącej przy kwalifikacji do leczenia chorych ze spastycznością kończyn dolnych.</w:t>
            </w:r>
          </w:p>
          <w:p w14:paraId="4C89A20F" w14:textId="581E3452" w:rsidR="00FF7111" w:rsidRPr="004D093B" w:rsidRDefault="00FF7111" w:rsidP="00FF7111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Możliwość k</w:t>
            </w:r>
            <w:r w:rsidRPr="00DE0AEC">
              <w:rPr>
                <w:rFonts w:ascii="Lato" w:hAnsi="Lato" w:cstheme="majorHAnsi"/>
                <w:color w:val="000000"/>
                <w:sz w:val="18"/>
                <w:szCs w:val="18"/>
              </w:rPr>
              <w:t>ontynuacj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</w:t>
            </w:r>
            <w:r w:rsidRPr="00DE0AE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leczenia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dla pełnoletnich pacjentów, </w:t>
            </w:r>
            <w:r w:rsidRPr="00DE0AEC">
              <w:rPr>
                <w:rFonts w:ascii="Lato" w:hAnsi="Lato" w:cstheme="majorHAnsi"/>
                <w:color w:val="000000"/>
                <w:sz w:val="18"/>
                <w:szCs w:val="18"/>
              </w:rPr>
              <w:t>którzy byli dotychczas leczeni w ramach programu lekowego B.30.</w:t>
            </w:r>
          </w:p>
        </w:tc>
      </w:tr>
      <w:tr w:rsidR="002A56D5" w:rsidRPr="004D093B" w14:paraId="6C56CD14" w14:textId="77777777" w:rsidTr="002A56D5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EAA5" w14:textId="081AEDA3" w:rsidR="002A56D5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lastRenderedPageBreak/>
              <w:t>5.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AA345" w14:textId="3B9985C5" w:rsidR="002A56D5" w:rsidRPr="004448D7" w:rsidRDefault="002A56D5" w:rsidP="002A56D5">
            <w:pPr>
              <w:spacing w:after="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B.77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6540C" w14:textId="0BADB069" w:rsidR="002A56D5" w:rsidRPr="00E64860" w:rsidRDefault="002A56D5" w:rsidP="002A56D5">
            <w:pPr>
              <w:pStyle w:val="Style2"/>
              <w:widowControl/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KLASYCZNEGO CHŁONIAKA HODGKINA (ICD-10: C81)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433A" w14:textId="21555775" w:rsidR="002A56D5" w:rsidRPr="00E64860" w:rsidRDefault="002A56D5" w:rsidP="002A56D5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sz w:val="18"/>
                <w:szCs w:val="18"/>
              </w:rPr>
              <w:t xml:space="preserve">Rozszerzenie możliwości leczenia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brentuksymabem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vedotin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 w nowych schemacie skojarzonym w I linii leczenia, tj.: leczenie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brentuksymabem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vedotin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 w skojarzeniu z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etopozydem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,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cyklofosfamidem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,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doksorubicyną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,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dakarbazyną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 i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deksametazonem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 (schemat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BrECADD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) w I linii leczenia dorosłych pacjentów w wieku do 60 lat włącznie z uprzednio nieleczonym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chłoniakiem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Hodgkina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 w III lub IV stadium zaawansowania. Niniejsza zmiana uwzględnia sposobu podawania odmiennych niż określony w Charakterystyce Produktu Leczniczego leku z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brentuksymabem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vedotin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 (off-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label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>).</w:t>
            </w:r>
          </w:p>
        </w:tc>
      </w:tr>
      <w:tr w:rsidR="002A56D5" w:rsidRPr="004D093B" w14:paraId="67293BB2" w14:textId="77777777" w:rsidTr="002A56D5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881F" w14:textId="0964A54A" w:rsidR="002A56D5" w:rsidRPr="004D093B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F1AA" w14:textId="43994313" w:rsidR="002A56D5" w:rsidRPr="004448D7" w:rsidRDefault="002A56D5" w:rsidP="002A56D5">
            <w:pPr>
              <w:spacing w:after="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448D7">
              <w:rPr>
                <w:rFonts w:ascii="Lato" w:hAnsi="Lato" w:cstheme="majorHAnsi"/>
                <w:b/>
                <w:bCs/>
                <w:sz w:val="18"/>
                <w:szCs w:val="18"/>
              </w:rPr>
              <w:t>B.111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EFE2" w14:textId="0D233776" w:rsidR="002A56D5" w:rsidRPr="004D093B" w:rsidRDefault="002A56D5" w:rsidP="002A56D5">
            <w:pPr>
              <w:spacing w:after="0" w:line="240" w:lineRule="auto"/>
              <w:ind w:right="89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A54C47">
              <w:rPr>
                <w:rFonts w:ascii="Lato" w:hAnsi="Lato" w:cstheme="majorHAnsi"/>
                <w:sz w:val="18"/>
                <w:szCs w:val="18"/>
              </w:rPr>
              <w:t>LECZENIE CIĘŻKIEGO NIEDOBORU HORMONU WZROSTU U PACJENTÓW DOROSŁYCH ORAZ U MŁODZIEŻY PO ZAKOŃCZENIU PROCESU WZRASTANIA (ICD-10 E23.0)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9A0A" w14:textId="77777777" w:rsidR="002A56D5" w:rsidRPr="00B8026A" w:rsidRDefault="002A56D5" w:rsidP="002A56D5">
            <w:p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B8026A">
              <w:rPr>
                <w:rFonts w:ascii="Lato" w:hAnsi="Lato" w:cstheme="majorHAnsi"/>
                <w:sz w:val="18"/>
                <w:szCs w:val="18"/>
              </w:rPr>
              <w:t xml:space="preserve">Obniżenie wieku kwalifikacji do programu lekowego do 14 r.ż. u dziewczynek oraz 16 r.ż., u chłopców pozwalającą na leczenie </w:t>
            </w:r>
            <w:proofErr w:type="spellStart"/>
            <w:r w:rsidRPr="00B8026A">
              <w:rPr>
                <w:rFonts w:ascii="Lato" w:hAnsi="Lato" w:cstheme="majorHAnsi"/>
                <w:sz w:val="18"/>
                <w:szCs w:val="18"/>
              </w:rPr>
              <w:t>rhGH</w:t>
            </w:r>
            <w:proofErr w:type="spellEnd"/>
            <w:r w:rsidRPr="00B8026A">
              <w:rPr>
                <w:rFonts w:ascii="Lato" w:hAnsi="Lato" w:cstheme="majorHAnsi"/>
                <w:sz w:val="18"/>
                <w:szCs w:val="18"/>
              </w:rPr>
              <w:t xml:space="preserve"> u osób, które nabyły ciężki niedobór hormonu wzrostu po zakończeniu procesu wzrastania lub nabyły je wcześniej. </w:t>
            </w:r>
            <w:r>
              <w:rPr>
                <w:rFonts w:ascii="Lato" w:hAnsi="Lato" w:cstheme="majorHAnsi"/>
                <w:sz w:val="18"/>
                <w:szCs w:val="18"/>
              </w:rPr>
              <w:t>Ponadto zmiany obejmują:</w:t>
            </w:r>
          </w:p>
          <w:p w14:paraId="0F3561CE" w14:textId="77777777" w:rsidR="002A56D5" w:rsidRDefault="002A56D5" w:rsidP="002A56D5">
            <w:pPr>
              <w:pStyle w:val="Akapitzlist"/>
              <w:numPr>
                <w:ilvl w:val="0"/>
                <w:numId w:val="26"/>
              </w:numPr>
              <w:suppressAutoHyphens w:val="0"/>
              <w:spacing w:before="60" w:after="60" w:line="240" w:lineRule="auto"/>
              <w:jc w:val="both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A54C47">
              <w:rPr>
                <w:rFonts w:ascii="Lato" w:hAnsi="Lato" w:cstheme="majorHAnsi"/>
                <w:sz w:val="18"/>
                <w:szCs w:val="18"/>
              </w:rPr>
              <w:t xml:space="preserve">Zwiększenie schematu dawkowania </w:t>
            </w:r>
            <w:proofErr w:type="spellStart"/>
            <w:r w:rsidRPr="00A54C47">
              <w:rPr>
                <w:rFonts w:ascii="Lato" w:hAnsi="Lato" w:cstheme="majorHAnsi"/>
                <w:sz w:val="18"/>
                <w:szCs w:val="18"/>
              </w:rPr>
              <w:t>somatropiny</w:t>
            </w:r>
            <w:proofErr w:type="spellEnd"/>
            <w:r w:rsidRPr="00A54C47">
              <w:rPr>
                <w:rFonts w:ascii="Lato" w:hAnsi="Lato" w:cstheme="majorHAnsi"/>
                <w:sz w:val="18"/>
                <w:szCs w:val="18"/>
              </w:rPr>
              <w:t xml:space="preserve"> do</w:t>
            </w:r>
            <w:r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r w:rsidRPr="00A54C47">
              <w:rPr>
                <w:rFonts w:ascii="Lato" w:hAnsi="Lato" w:cstheme="majorHAnsi"/>
                <w:sz w:val="18"/>
                <w:szCs w:val="18"/>
              </w:rPr>
              <w:t>1,0 mg/raz na dobę</w:t>
            </w:r>
            <w:r>
              <w:rPr>
                <w:rFonts w:ascii="Lato" w:hAnsi="Lato" w:cstheme="majorHAnsi"/>
                <w:sz w:val="18"/>
                <w:szCs w:val="18"/>
              </w:rPr>
              <w:t>.</w:t>
            </w:r>
          </w:p>
          <w:p w14:paraId="0DF5CC2B" w14:textId="77777777" w:rsidR="002A56D5" w:rsidRDefault="002A56D5" w:rsidP="002A56D5">
            <w:pPr>
              <w:pStyle w:val="Akapitzlist"/>
              <w:numPr>
                <w:ilvl w:val="0"/>
                <w:numId w:val="26"/>
              </w:numPr>
              <w:suppressAutoHyphens w:val="0"/>
              <w:spacing w:before="60" w:after="60" w:line="240" w:lineRule="auto"/>
              <w:jc w:val="both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1F3840">
              <w:rPr>
                <w:rFonts w:ascii="Lato" w:hAnsi="Lato" w:cstheme="majorHAnsi"/>
                <w:sz w:val="18"/>
                <w:szCs w:val="18"/>
              </w:rPr>
              <w:t>zmiany o charakterze porządkującym w zakresie nazewnictwa programu lekowego,</w:t>
            </w:r>
            <w:r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r w:rsidRPr="001F3840">
              <w:rPr>
                <w:rFonts w:ascii="Lato" w:hAnsi="Lato" w:cstheme="majorHAnsi"/>
                <w:sz w:val="18"/>
                <w:szCs w:val="18"/>
              </w:rPr>
              <w:t>Zespołu Koordynacyjnego i badań</w:t>
            </w:r>
            <w:r>
              <w:rPr>
                <w:rFonts w:ascii="Lato" w:hAnsi="Lato" w:cstheme="majorHAnsi"/>
                <w:sz w:val="18"/>
                <w:szCs w:val="18"/>
              </w:rPr>
              <w:t xml:space="preserve"> diagnostycznych.</w:t>
            </w:r>
          </w:p>
          <w:p w14:paraId="35CCDDA8" w14:textId="77777777" w:rsidR="002A56D5" w:rsidRDefault="002A56D5" w:rsidP="002A56D5">
            <w:pPr>
              <w:pStyle w:val="Akapitzlist"/>
              <w:numPr>
                <w:ilvl w:val="0"/>
                <w:numId w:val="26"/>
              </w:numPr>
              <w:suppressAutoHyphens w:val="0"/>
              <w:spacing w:before="60" w:after="60" w:line="240" w:lineRule="auto"/>
              <w:jc w:val="both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Zmiany w zakresie badań diagnostycznych wykonywanych w ramach programu.</w:t>
            </w:r>
          </w:p>
          <w:p w14:paraId="4FCF84DF" w14:textId="6CA5F5A0" w:rsidR="002A56D5" w:rsidRPr="00FF7111" w:rsidRDefault="002A56D5" w:rsidP="002A56D5">
            <w:pPr>
              <w:pStyle w:val="Akapitzlist"/>
              <w:numPr>
                <w:ilvl w:val="0"/>
                <w:numId w:val="26"/>
              </w:numPr>
              <w:suppressAutoHyphens w:val="0"/>
              <w:spacing w:before="60" w:after="60" w:line="240" w:lineRule="auto"/>
              <w:jc w:val="both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FF7111">
              <w:rPr>
                <w:rFonts w:ascii="Lato" w:hAnsi="Lato" w:cstheme="majorHAnsi"/>
                <w:sz w:val="18"/>
                <w:szCs w:val="18"/>
              </w:rPr>
              <w:t>Zmiany dotyczące monitorowania leczenia.</w:t>
            </w:r>
          </w:p>
        </w:tc>
      </w:tr>
      <w:tr w:rsidR="002A56D5" w:rsidRPr="004D093B" w14:paraId="66D571B6" w14:textId="77777777" w:rsidTr="002A56D5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13C4" w14:textId="449FBDF0" w:rsidR="002A56D5" w:rsidRPr="004D093B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7.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310C" w14:textId="3A5B9FA6" w:rsidR="002A56D5" w:rsidRPr="004448D7" w:rsidRDefault="002A56D5" w:rsidP="002A56D5">
            <w:pPr>
              <w:pStyle w:val="Style2"/>
              <w:widowControl/>
              <w:spacing w:line="240" w:lineRule="auto"/>
              <w:jc w:val="center"/>
              <w:rPr>
                <w:rFonts w:ascii="Lato" w:eastAsia="Calibri" w:hAnsi="Lato" w:cstheme="maj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48D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B.141.FM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9A50" w14:textId="3F4675D5" w:rsidR="002A56D5" w:rsidRPr="002A56D5" w:rsidRDefault="002A56D5" w:rsidP="002A56D5">
            <w:pPr>
              <w:autoSpaceDE w:val="0"/>
              <w:adjustRightInd w:val="0"/>
              <w:spacing w:after="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F3840">
              <w:rPr>
                <w:rFonts w:ascii="Lato" w:hAnsi="Lato" w:cstheme="majorHAnsi"/>
                <w:sz w:val="18"/>
                <w:szCs w:val="18"/>
              </w:rPr>
              <w:t>LECZENIE PACJENTÓW Z RAKIEM UROTELIALNYM (ICD-10: C61, C65, C66, C67, C68)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B9C4" w14:textId="25CA67BD" w:rsidR="002A56D5" w:rsidRPr="004D093B" w:rsidRDefault="002A56D5" w:rsidP="002A56D5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Umieszczenie w pkt. 2 kryteriów kwalifikacji do leczenia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niwolumabem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zapisu, że przeprowadzenie radykalnej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cystekomii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cechą R0 dotyczy jedynie raka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urotelialnego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pęcherza moczowego i moczowodu.</w:t>
            </w:r>
          </w:p>
        </w:tc>
      </w:tr>
      <w:tr w:rsidR="002A56D5" w:rsidRPr="004D093B" w14:paraId="760505AF" w14:textId="77777777" w:rsidTr="002A56D5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24D49" w14:textId="7BD52E67" w:rsidR="002A56D5" w:rsidRPr="004D093B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A35D" w14:textId="2F211975" w:rsidR="002A56D5" w:rsidRPr="004D093B" w:rsidRDefault="002A56D5" w:rsidP="002A56D5">
            <w:pPr>
              <w:pStyle w:val="Style2"/>
              <w:widowControl/>
              <w:spacing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66B9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C.100.a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0952" w14:textId="23DA6BF5" w:rsidR="002A56D5" w:rsidRPr="004D093B" w:rsidRDefault="002A56D5" w:rsidP="002A56D5">
            <w:pPr>
              <w:pStyle w:val="Style2"/>
              <w:widowControl/>
              <w:spacing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POMALIDOMID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3CDF" w14:textId="0D6C504D" w:rsidR="002A56D5" w:rsidRPr="003B46BF" w:rsidRDefault="002A56D5" w:rsidP="002A56D5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766B9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Zmiana kategorii dostępności refundacyjnej dla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pomalidomidu</w:t>
            </w:r>
            <w:proofErr w:type="spellEnd"/>
            <w:r w:rsidRPr="00766B9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programu lekowego B.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54.</w:t>
            </w:r>
            <w:r w:rsidRPr="00766B9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 katalogu </w:t>
            </w:r>
            <w:r w:rsidRPr="00766B94">
              <w:rPr>
                <w:rFonts w:ascii="Lato" w:hAnsi="Lato" w:cstheme="majorHAnsi"/>
                <w:color w:val="000000"/>
                <w:sz w:val="18"/>
                <w:szCs w:val="18"/>
              </w:rPr>
              <w:br/>
              <w:t>chemioterapii C.100.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a.</w:t>
            </w:r>
          </w:p>
        </w:tc>
      </w:tr>
    </w:tbl>
    <w:p w14:paraId="08AE375A" w14:textId="43C53898" w:rsidR="0056748F" w:rsidRPr="004D093B" w:rsidRDefault="0056748F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</w:p>
    <w:p w14:paraId="052EAE3A" w14:textId="77777777" w:rsidR="004D093B" w:rsidRDefault="004D093B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  <w:bookmarkStart w:id="2" w:name="_Hlk90283710"/>
      <w:r>
        <w:rPr>
          <w:rFonts w:ascii="Lato" w:hAnsi="Lato"/>
          <w:b/>
          <w:bCs/>
          <w:color w:val="00B0F0"/>
          <w:sz w:val="28"/>
          <w:szCs w:val="28"/>
        </w:rPr>
        <w:br w:type="page"/>
      </w:r>
    </w:p>
    <w:p w14:paraId="703841AA" w14:textId="36DADBCA" w:rsidR="0056748F" w:rsidRPr="004D093B" w:rsidRDefault="0056748F" w:rsidP="0056748F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4D093B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412"/>
        <w:gridCol w:w="1838"/>
        <w:gridCol w:w="5399"/>
        <w:gridCol w:w="3648"/>
      </w:tblGrid>
      <w:tr w:rsidR="00AD08C5" w:rsidRPr="004D093B" w14:paraId="2CD1B9F9" w14:textId="77777777" w:rsidTr="004D093B">
        <w:trPr>
          <w:cantSplit/>
          <w:trHeight w:val="54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2"/>
          <w:p w14:paraId="05E7E891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4D093B" w14:paraId="7C1774EA" w14:textId="77777777" w:rsidTr="004D093B">
        <w:trPr>
          <w:cantSplit/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56748F" w:rsidRPr="004D093B" w14:paraId="7D53B9E1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70C49D87" w:rsidR="00AD08C5" w:rsidRPr="004D093B" w:rsidRDefault="00A118F0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 xml:space="preserve">Nazwa leku, środka spożywczego specjalnego przeznaczenia lub wyrobu </w:t>
            </w:r>
            <w:r w:rsidRPr="004D093B">
              <w:rPr>
                <w:rFonts w:ascii="Lato" w:hAnsi="Lato" w:cstheme="majorHAnsi"/>
                <w:b/>
                <w:bCs/>
                <w:sz w:val="19"/>
                <w:szCs w:val="19"/>
              </w:rPr>
              <w:t>medycznego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Substancja czynna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Wskazanie refundacyjne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Doprecyzowanie wskazania</w:t>
            </w:r>
          </w:p>
        </w:tc>
      </w:tr>
      <w:tr w:rsidR="00387421" w:rsidRPr="004D093B" w14:paraId="3E62A70D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6C4" w14:textId="733030AD" w:rsidR="00387421" w:rsidRPr="004D093B" w:rsidRDefault="00E22AAD" w:rsidP="0038742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D194" w14:textId="15BA56F6" w:rsidR="00387421" w:rsidRPr="00387421" w:rsidRDefault="00387421" w:rsidP="0038742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Acarizax</w:t>
            </w:r>
            <w:proofErr w:type="spell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F354" w14:textId="28A6E1A7" w:rsidR="00387421" w:rsidRPr="004D093B" w:rsidRDefault="00387421" w:rsidP="0038742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tandaryzowany wyciąg 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alergenowy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roztoczy kurzu domowego (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Dermatophagoides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pteronyssinus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Dermatophagoides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farina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85AF" w14:textId="45D538B2" w:rsidR="00387421" w:rsidRDefault="00387421" w:rsidP="00387421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E42A5">
              <w:rPr>
                <w:rFonts w:ascii="Lato" w:hAnsi="Lato"/>
                <w:sz w:val="18"/>
                <w:szCs w:val="18"/>
              </w:rPr>
              <w:t xml:space="preserve">Leczenie dorosłych chorych (w wieku od 18 do 65 lat), u których rozpoznanie zostało postawione na podstawie wywiadu klinicznego oraz dodatniego testu alergicznego na roztocze kurzu domowego (punktowe testy skórne lub swoiste immunoglobuliny E) oraz co najmniej jednego z poniższych stanów:  </w:t>
            </w:r>
          </w:p>
          <w:p w14:paraId="11B43F07" w14:textId="77777777" w:rsidR="00387421" w:rsidRDefault="00387421" w:rsidP="00387421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E42A5">
              <w:rPr>
                <w:rFonts w:ascii="Lato" w:hAnsi="Lato"/>
                <w:sz w:val="18"/>
                <w:szCs w:val="18"/>
              </w:rPr>
              <w:t xml:space="preserve">· umiarkowany do ciężkiego alergiczny nieżyt nosa spowodowany kurzem domowym, utrzymujący się pomimo stosowania leków łagodzących objawy;  </w:t>
            </w:r>
          </w:p>
          <w:p w14:paraId="0440D22F" w14:textId="4AE2A8B7" w:rsidR="00387421" w:rsidRPr="004D093B" w:rsidRDefault="00387421" w:rsidP="0038742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6E42A5">
              <w:rPr>
                <w:rFonts w:ascii="Lato" w:hAnsi="Lato"/>
                <w:sz w:val="18"/>
                <w:szCs w:val="18"/>
              </w:rPr>
              <w:t>· astma oskrzelowa wywołana alergią na kurz domowy, niekontrolowana dobrze za pomocą wziewnych kortykosteroidów z towarzyszącym umiarkowanym do ciężkiego alergicznym nieżytem nosa wywołanym przez kurz domowy</w:t>
            </w:r>
            <w:r>
              <w:rPr>
                <w:rFonts w:ascii="Lato" w:hAnsi="Lato"/>
                <w:sz w:val="18"/>
                <w:szCs w:val="18"/>
              </w:rPr>
              <w:t>.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0182" w14:textId="746F3EA8" w:rsidR="00387421" w:rsidRPr="004D093B" w:rsidRDefault="00387421" w:rsidP="0038742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R</w:t>
            </w:r>
            <w:r w:rsidRPr="00F80B3F">
              <w:rPr>
                <w:rFonts w:ascii="Lato" w:hAnsi="Lato"/>
                <w:sz w:val="18"/>
                <w:szCs w:val="18"/>
              </w:rPr>
              <w:t>ozszerzeni</w:t>
            </w:r>
            <w:r>
              <w:rPr>
                <w:rFonts w:ascii="Lato" w:hAnsi="Lato"/>
                <w:sz w:val="18"/>
                <w:szCs w:val="18"/>
              </w:rPr>
              <w:t>e</w:t>
            </w:r>
            <w:r w:rsidRPr="00F80B3F">
              <w:rPr>
                <w:rFonts w:ascii="Lato" w:hAnsi="Lato"/>
                <w:sz w:val="18"/>
                <w:szCs w:val="18"/>
              </w:rPr>
              <w:t xml:space="preserve"> populacji pacjentów o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F80B3F">
              <w:rPr>
                <w:rFonts w:ascii="Lato" w:hAnsi="Lato"/>
                <w:sz w:val="18"/>
                <w:szCs w:val="18"/>
              </w:rPr>
              <w:t>dorosłych chorych (w wieku od 18 do 65 lat) z alergicznym nieżytem nosa spowodowanym kurzem domowym oraz o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F80B3F">
              <w:rPr>
                <w:rFonts w:ascii="Lato" w:hAnsi="Lato"/>
                <w:sz w:val="18"/>
                <w:szCs w:val="18"/>
              </w:rPr>
              <w:t>dorosłych chorych pacjentów z astmą oskrzelową wywołaną alergią na kurz domowy</w:t>
            </w:r>
            <w:r>
              <w:rPr>
                <w:rFonts w:ascii="Lato" w:hAnsi="Lato"/>
                <w:sz w:val="18"/>
                <w:szCs w:val="18"/>
              </w:rPr>
              <w:t>.</w:t>
            </w:r>
          </w:p>
        </w:tc>
      </w:tr>
      <w:tr w:rsidR="00FF7111" w:rsidRPr="004D093B" w14:paraId="6E8A1919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0016" w14:textId="1AC864C6" w:rsidR="00FF7111" w:rsidRPr="004D093B" w:rsidRDefault="00E22AAD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168B" w14:textId="3F02AF46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Dopegyt</w:t>
            </w:r>
            <w:proofErr w:type="spell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C870" w14:textId="650ADFDA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metyldopa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42092" w14:textId="6D3A9CB6" w:rsidR="00FF7111" w:rsidRPr="00E22AAD" w:rsidRDefault="00FF7111" w:rsidP="00FF7111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22AAD">
              <w:rPr>
                <w:rFonts w:ascii="Lato" w:hAnsi="Lato"/>
                <w:sz w:val="18"/>
                <w:szCs w:val="18"/>
              </w:rPr>
              <w:t>Nadciśnienie tętnicze w ciąży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3376" w14:textId="77777777" w:rsidR="00FF7111" w:rsidRDefault="00E22AAD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Objęcie refundacją nowego wskazania klinicznego w stosunku do dotychczas nie ujętej na wykazie substancji czynnej.</w:t>
            </w:r>
          </w:p>
          <w:p w14:paraId="10823724" w14:textId="418E879B" w:rsidR="00E22AAD" w:rsidRPr="004D093B" w:rsidRDefault="00E22AAD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Refundacja w ramach trybu określonego w art. 30a ustawy o refundacji, tj. leków o ugruntowanej skuteczności klinicznej.</w:t>
            </w:r>
          </w:p>
        </w:tc>
      </w:tr>
      <w:tr w:rsidR="00FF7111" w:rsidRPr="004D093B" w14:paraId="0C276518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F0A7" w14:textId="595527FC" w:rsidR="00FF7111" w:rsidRPr="004D093B" w:rsidRDefault="00E22AAD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24A9" w14:textId="3BD7E093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C8423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5A1D" w14:textId="4CDEEBCA" w:rsidR="00FF7111" w:rsidRPr="004D093B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4448D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riwaroksaban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C189" w14:textId="1E8CA3ED" w:rsidR="00FF7111" w:rsidRPr="00E22AAD" w:rsidRDefault="00FF7111" w:rsidP="002A56D5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22AAD">
              <w:rPr>
                <w:rFonts w:ascii="Lato" w:hAnsi="Lato"/>
                <w:sz w:val="18"/>
                <w:szCs w:val="18"/>
              </w:rPr>
              <w:t>Profilaktyka udarów i zatorowości obwodowej u dorosłych pacjentów z migotaniem przedsionków niezwiązanym z wadą zastawkową, z jednym lub kilkoma czynnikami ryzyka, takimi jak wcześniejszy udar lub przemijający napad niedokrwienny, wiek ≥75 lat, nadciśnienie tętnicze, cukrzyca, zastoinowa niewydolność serca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953FE" w14:textId="1D21A6FE" w:rsidR="00E22AAD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Objęcie refundacją nowego wskazania klinicznego w stosunku do dotychczas ujętej na wykazie substancji czynnej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riwaroksabanu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41D464AF" w14:textId="03781F0E" w:rsidR="00FF7111" w:rsidRPr="004D093B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Refundacja w ramach trybu określonego w art. 30a ustawy o refundacji, tj. leków o ugruntowanej skuteczności klinicznej.</w:t>
            </w:r>
          </w:p>
        </w:tc>
      </w:tr>
      <w:tr w:rsidR="00FF7111" w:rsidRPr="004D093B" w14:paraId="19306AE8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C4A6" w14:textId="1DFFA6C6" w:rsidR="00FF7111" w:rsidRPr="004D093B" w:rsidRDefault="00E22AAD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C1DC" w14:textId="7182036C" w:rsidR="00FF7111" w:rsidRPr="00C8423F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FF8C" w14:textId="54A647FA" w:rsidR="00FF7111" w:rsidRPr="00C8423F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4448D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dabigatran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638A" w14:textId="14799038" w:rsidR="00FF7111" w:rsidRPr="00E22AAD" w:rsidRDefault="00FF7111" w:rsidP="002A56D5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22AAD">
              <w:rPr>
                <w:rFonts w:ascii="Lato" w:hAnsi="Lato"/>
                <w:sz w:val="18"/>
                <w:szCs w:val="18"/>
              </w:rPr>
              <w:t>Profilaktyka udarów i zatorowości obwodowej u dorosłych pacjentów z migotaniem przedsionków niezwiązanym z wadą zastawkową, z jednym lub kilkoma czynnikami ryzyka, takimi jak wcześniejszy udar lub przemijający napad niedokrwienny, wiek ≥75 lat, nadciśnienie tętnicze, cukrzyca, niewydolność serca (klasa ≥II wg NYHA)</w:t>
            </w:r>
            <w:r w:rsidRPr="00E22AAD">
              <w:rPr>
                <w:rFonts w:ascii="Lato" w:hAnsi="Lato"/>
                <w:sz w:val="18"/>
                <w:szCs w:val="18"/>
              </w:rPr>
              <w:fldChar w:fldCharType="begin"/>
            </w:r>
            <w:r w:rsidRPr="00E22AAD">
              <w:rPr>
                <w:rFonts w:ascii="Lato" w:hAnsi="Lato"/>
                <w:sz w:val="18"/>
                <w:szCs w:val="18"/>
              </w:rPr>
              <w:fldChar w:fldCharType="separate"/>
            </w:r>
            <w:r w:rsidRPr="00E22AAD">
              <w:rPr>
                <w:rFonts w:ascii="Lato" w:hAnsi="Lato"/>
                <w:sz w:val="18"/>
                <w:szCs w:val="18"/>
              </w:rPr>
              <w:t>«wskazanie/numer_zalacznika»</w:t>
            </w:r>
            <w:r w:rsidRPr="00E22AAD">
              <w:rPr>
                <w:rFonts w:ascii="Lato" w:hAnsi="Lato"/>
                <w:sz w:val="18"/>
                <w:szCs w:val="18"/>
              </w:rPr>
              <w:fldChar w:fldCharType="end"/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A8773" w14:textId="0EC4F25F" w:rsidR="00E22AAD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Objęcie refundacją nowego wskazania klinicznego w stosunku do dotychczas ujętej na wykazie substancji czynnej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dabigatranu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4C52A27D" w14:textId="21EB0D70" w:rsidR="00FF7111" w:rsidRPr="004D093B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Refundacja w ramach trybu określonego w art. 30a ustawy o refundacji, tj. leków o ugruntowanej skuteczności klinicznej.</w:t>
            </w:r>
          </w:p>
        </w:tc>
      </w:tr>
      <w:tr w:rsidR="00FF7111" w:rsidRPr="004D093B" w14:paraId="61E19886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1382" w14:textId="69217D9B" w:rsidR="00FF7111" w:rsidRPr="004D093B" w:rsidRDefault="00E22AAD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2EA7" w14:textId="26A5447E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A100" w14:textId="6685F846" w:rsidR="00FF7111" w:rsidRPr="0042352A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4448D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torasemid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38CB" w14:textId="685A1B14" w:rsidR="00FF7111" w:rsidRPr="00E22AAD" w:rsidRDefault="00FF7111" w:rsidP="00E22AAD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22AAD">
              <w:rPr>
                <w:rFonts w:ascii="Lato" w:hAnsi="Lato"/>
                <w:sz w:val="18"/>
                <w:szCs w:val="18"/>
              </w:rPr>
              <w:t>Niewydolność mięśnia sercowego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EBAC9" w14:textId="77777777" w:rsidR="00E22AAD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Objęcie refundacją nowego wskazania klinicznego w stosunku do dotychczas nie ujętej na wykazie substancji czynnej.</w:t>
            </w:r>
          </w:p>
          <w:p w14:paraId="316A9BA3" w14:textId="1CE08684" w:rsidR="00FF7111" w:rsidRPr="004D093B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Refundacja w ramach trybu określonego w art. 30a ustawy o refundacji, tj. leków o ugruntowanej skuteczności klinicznej.</w:t>
            </w:r>
          </w:p>
        </w:tc>
      </w:tr>
      <w:tr w:rsidR="00FF7111" w:rsidRPr="004D093B" w14:paraId="1C3F1FDE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2526" w14:textId="5D51C317" w:rsidR="00FF7111" w:rsidRPr="004D093B" w:rsidRDefault="00E22AAD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E38B" w14:textId="3CB657F9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22F1" w14:textId="0E43C851" w:rsidR="00FF7111" w:rsidRPr="0042352A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4448D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eplerenon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2A0D" w14:textId="3369E66C" w:rsidR="00FF7111" w:rsidRPr="00E22AAD" w:rsidRDefault="00FF7111" w:rsidP="00E22AAD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22AAD">
              <w:rPr>
                <w:rFonts w:ascii="Lato" w:hAnsi="Lato"/>
                <w:sz w:val="18"/>
                <w:szCs w:val="18"/>
              </w:rPr>
              <w:t>Niewydolność mięśnia sercowego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3318" w14:textId="77777777" w:rsidR="00E22AAD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Objęcie refundacją nowego wskazania klinicznego w stosunku do dotychczas nie ujętej na wykazie substancji czynnej.</w:t>
            </w:r>
          </w:p>
          <w:p w14:paraId="63C51EE5" w14:textId="32D601F3" w:rsidR="00FF7111" w:rsidRPr="004D093B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Refundacja w ramach trybu określonego w art. 30a ustawy o refundacji, tj. leków o ugruntowanej skuteczności klinicznej.</w:t>
            </w:r>
          </w:p>
        </w:tc>
      </w:tr>
      <w:tr w:rsidR="00FF7111" w:rsidRPr="004D093B" w14:paraId="2FD5BF79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F5C1" w14:textId="7DF79E39" w:rsidR="00FF7111" w:rsidRPr="004D093B" w:rsidRDefault="00E22AAD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C646" w14:textId="361F4AF1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Różna produkty handlowe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7717B" w14:textId="01CBF9D0" w:rsidR="00FF7111" w:rsidRPr="00E64860" w:rsidRDefault="007F79B9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trimetazydyna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92D83" w14:textId="0CC2FA06" w:rsidR="00FF7111" w:rsidRPr="00E64860" w:rsidRDefault="00FF7111" w:rsidP="00E22AAD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64860">
              <w:rPr>
                <w:rFonts w:ascii="Lato" w:hAnsi="Lato"/>
                <w:sz w:val="18"/>
                <w:szCs w:val="18"/>
              </w:rPr>
              <w:t xml:space="preserve">Leczenie dorosłych pacjentów ze stabilną dławicą piersiową, u których leczenie </w:t>
            </w:r>
            <w:proofErr w:type="spellStart"/>
            <w:r w:rsidRPr="00E64860">
              <w:rPr>
                <w:rFonts w:ascii="Lato" w:hAnsi="Lato"/>
                <w:sz w:val="18"/>
                <w:szCs w:val="18"/>
              </w:rPr>
              <w:t>przeciwdławicowe</w:t>
            </w:r>
            <w:proofErr w:type="spellEnd"/>
            <w:r w:rsidRPr="00E64860">
              <w:rPr>
                <w:rFonts w:ascii="Lato" w:hAnsi="Lato"/>
                <w:sz w:val="18"/>
                <w:szCs w:val="18"/>
              </w:rPr>
              <w:t xml:space="preserve"> pierwszego rzutu jest niewystarczające lub nie jest tolerowane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A636" w14:textId="77777777" w:rsidR="00E22AAD" w:rsidRPr="00E64860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Objęcie refundacją nowego wskazania klinicznego w stosunku do dotychczas nie ujętej na wykazie substancji czynnej.</w:t>
            </w:r>
          </w:p>
          <w:p w14:paraId="3E53CC69" w14:textId="749644C6" w:rsidR="00FF7111" w:rsidRPr="00E64860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Refundacja w ramach trybu określonego w art. 30a ustawy o refundacji, tj. leków o ugruntowanej skuteczności klinicznej.</w:t>
            </w:r>
          </w:p>
        </w:tc>
      </w:tr>
      <w:tr w:rsidR="00E22AAD" w:rsidRPr="004D093B" w14:paraId="24229EDC" w14:textId="77777777" w:rsidTr="00B907C0">
        <w:trPr>
          <w:cantSplit/>
          <w:trHeight w:val="3104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0E97" w14:textId="3F0B5B52" w:rsidR="00E22AAD" w:rsidRPr="004D093B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7750D" w14:textId="3E8FD464" w:rsidR="00E22AAD" w:rsidRPr="00E64860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Trulicity</w:t>
            </w:r>
            <w:proofErr w:type="spell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1E0E" w14:textId="79850F72" w:rsidR="00E22AAD" w:rsidRPr="00E64860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dulaglut</w:t>
            </w:r>
            <w:r w:rsidR="007F79B9" w:rsidRPr="00E64860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yd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7C7C" w14:textId="77777777" w:rsidR="007F79B9" w:rsidRPr="00E64860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Cukrzyca typu 2 u pacjentów leczonych co najmniej dwoma lekami hipoglikemizującymi, z HbA1c ≥ 7,5%, z otyłością definiowaną jako BMI ≥30 kg/m2 oraz bardzo wysokim ryzykiem sercowo-naczyniowym rozumianym jako: </w:t>
            </w:r>
            <w:proofErr w:type="gramStart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1)potwierdzona</w:t>
            </w:r>
            <w:proofErr w:type="gramEnd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choroba sercowo-naczyniowa, lub 2)uszkodzenie innych narządów objawiające się poprzez: białkomocz lub przerost lewej komory lub retinopatię, lub 3)obecność 2 lub więcej głównych czynników ryzyka spośród wymienionych poniżej: </w:t>
            </w:r>
          </w:p>
          <w:p w14:paraId="24D636C3" w14:textId="77777777" w:rsidR="007F79B9" w:rsidRPr="00E64860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-wiek ≥ 55 lat dla mężczyzn, ≥60 lat dla kobiet, </w:t>
            </w:r>
          </w:p>
          <w:p w14:paraId="132CE044" w14:textId="77777777" w:rsidR="007F79B9" w:rsidRPr="00E64860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-</w:t>
            </w:r>
            <w:proofErr w:type="spellStart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dyslipidemia</w:t>
            </w:r>
            <w:proofErr w:type="spellEnd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</w:p>
          <w:p w14:paraId="2A620D28" w14:textId="77777777" w:rsidR="007F79B9" w:rsidRPr="00E64860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-nadciśnienie tętnicze,</w:t>
            </w:r>
          </w:p>
          <w:p w14:paraId="45E7F0FA" w14:textId="3BA4551D" w:rsidR="00E22AAD" w:rsidRPr="00E64860" w:rsidRDefault="00E22AAD" w:rsidP="00E22AAD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-palenie tytoniu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8441" w14:textId="501624B0" w:rsidR="00E22AAD" w:rsidRPr="00E64860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Powrót na wykaz </w:t>
            </w:r>
            <w:r w:rsidR="007F79B9"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refundacyjny </w:t>
            </w: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leków </w:t>
            </w:r>
            <w:proofErr w:type="spellStart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Trulicity</w:t>
            </w:r>
            <w:proofErr w:type="spellEnd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 okresie tymczasowego braku</w:t>
            </w:r>
            <w:r w:rsidR="007F79B9"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finansowania ze środków publicznych</w:t>
            </w: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, we wskazaniu tożsamym w stosunku do poprzedniego.</w:t>
            </w:r>
          </w:p>
        </w:tc>
      </w:tr>
    </w:tbl>
    <w:p w14:paraId="6B996492" w14:textId="0986F7C0" w:rsidR="009D10B8" w:rsidRDefault="009D10B8" w:rsidP="0068046C">
      <w:pPr>
        <w:suppressAutoHyphens w:val="0"/>
        <w:rPr>
          <w:rFonts w:ascii="Lato" w:hAnsi="Lato"/>
          <w:b/>
          <w:bCs/>
          <w:color w:val="00B0F0"/>
        </w:rPr>
      </w:pPr>
    </w:p>
    <w:p w14:paraId="14C2ACED" w14:textId="77777777" w:rsidR="00D95653" w:rsidRDefault="00D95653" w:rsidP="0068046C">
      <w:pPr>
        <w:suppressAutoHyphens w:val="0"/>
        <w:rPr>
          <w:rFonts w:ascii="Lato" w:hAnsi="Lato"/>
          <w:b/>
          <w:bCs/>
          <w:color w:val="00B0F0"/>
        </w:rPr>
      </w:pPr>
    </w:p>
    <w:p w14:paraId="4B069EBD" w14:textId="194F7AD3" w:rsidR="00D95653" w:rsidRPr="00D95653" w:rsidRDefault="00D95653" w:rsidP="00D95653">
      <w:pPr>
        <w:suppressAutoHyphens w:val="0"/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D95653">
        <w:rPr>
          <w:rFonts w:ascii="Lato" w:hAnsi="Lato"/>
          <w:b/>
          <w:bCs/>
          <w:color w:val="00B0F0"/>
          <w:sz w:val="28"/>
          <w:szCs w:val="28"/>
        </w:rPr>
        <w:t xml:space="preserve">BRAK </w:t>
      </w:r>
      <w:r>
        <w:rPr>
          <w:rFonts w:ascii="Lato" w:hAnsi="Lato"/>
          <w:b/>
          <w:bCs/>
          <w:color w:val="00B0F0"/>
          <w:sz w:val="28"/>
          <w:szCs w:val="28"/>
        </w:rPr>
        <w:t>KONTYNUACJI REFUNDACJI ZE WZGLĘDU NA BRAK ZŁOŻENIA WNIOSKU</w:t>
      </w:r>
    </w:p>
    <w:p w14:paraId="0DC0F907" w14:textId="77777777" w:rsidR="00D95653" w:rsidRPr="00D95653" w:rsidRDefault="00D95653" w:rsidP="00D95653">
      <w:pPr>
        <w:suppressAutoHyphens w:val="0"/>
        <w:autoSpaceDN/>
        <w:spacing w:after="120" w:line="360" w:lineRule="auto"/>
        <w:textAlignment w:val="auto"/>
        <w:rPr>
          <w:rFonts w:ascii="Lato" w:eastAsia="Aptos" w:hAnsi="Lato"/>
          <w:kern w:val="2"/>
          <w14:ligatures w14:val="standardContextual"/>
        </w:rPr>
      </w:pPr>
      <w:r w:rsidRPr="00D95653">
        <w:rPr>
          <w:rFonts w:ascii="Lato" w:eastAsia="Aptos" w:hAnsi="Lato"/>
          <w:kern w:val="2"/>
          <w14:ligatures w14:val="standardContextual"/>
        </w:rPr>
        <w:t>Zgodnie z art. 25c ust. 1 ustawy o refundacji leków, środków spożywczych specjalnego przeznaczenia żywieniowego oraz wyrobów medycznych (Dz. U. z 2024 r. poz. 930), dla wniosków o objęcie refundacją leku, środka spożywczego specjalnego przeznaczenia żywieniowego (</w:t>
      </w:r>
      <w:proofErr w:type="spellStart"/>
      <w:r w:rsidRPr="00D95653">
        <w:rPr>
          <w:rFonts w:ascii="Lato" w:eastAsia="Aptos" w:hAnsi="Lato"/>
          <w:kern w:val="2"/>
          <w14:ligatures w14:val="standardContextual"/>
        </w:rPr>
        <w:t>śsspż</w:t>
      </w:r>
      <w:proofErr w:type="spellEnd"/>
      <w:r w:rsidRPr="00D95653">
        <w:rPr>
          <w:rFonts w:ascii="Lato" w:eastAsia="Aptos" w:hAnsi="Lato"/>
          <w:kern w:val="2"/>
          <w14:ligatures w14:val="standardContextual"/>
        </w:rPr>
        <w:t xml:space="preserve">) albo wyrobu medycznego znajdującego się na wykazie refundacyjnym, </w:t>
      </w:r>
      <w:r w:rsidRPr="00D95653">
        <w:rPr>
          <w:rFonts w:ascii="Lato" w:eastAsia="Aptos" w:hAnsi="Lato"/>
          <w:b/>
          <w:bCs/>
          <w:kern w:val="2"/>
          <w14:ligatures w14:val="standardContextual"/>
        </w:rPr>
        <w:t>Wnioskodawca ma obowiązek złożyć tzw. wniosek kontynuacyjny najpóźniej na 180 dni przed wygaśnięciem dotychczasowej decyzji o objęciu refundacją</w:t>
      </w:r>
      <w:r w:rsidRPr="00D95653">
        <w:rPr>
          <w:rFonts w:ascii="Lato" w:eastAsia="Aptos" w:hAnsi="Lato"/>
          <w:kern w:val="2"/>
          <w14:ligatures w14:val="standardContextual"/>
        </w:rPr>
        <w:t xml:space="preserve"> tego produktu.</w:t>
      </w:r>
    </w:p>
    <w:p w14:paraId="3F1E4B93" w14:textId="77777777" w:rsidR="00D95653" w:rsidRPr="00D95653" w:rsidRDefault="00D95653" w:rsidP="00D95653">
      <w:pPr>
        <w:suppressAutoHyphens w:val="0"/>
        <w:autoSpaceDN/>
        <w:spacing w:after="120" w:line="360" w:lineRule="auto"/>
        <w:textAlignment w:val="auto"/>
        <w:rPr>
          <w:rFonts w:ascii="Lato" w:eastAsia="Aptos" w:hAnsi="Lato"/>
          <w:kern w:val="2"/>
          <w14:ligatures w14:val="standardContextual"/>
        </w:rPr>
      </w:pPr>
      <w:r w:rsidRPr="00D95653">
        <w:rPr>
          <w:rFonts w:ascii="Lato" w:eastAsia="Aptos" w:hAnsi="Lato"/>
          <w:kern w:val="2"/>
          <w14:ligatures w14:val="standardContextual"/>
        </w:rPr>
        <w:t>Niezłożenie do Ministra Zdrowia odpowiedniego wniosku kontynuacyjnego w zakresie objęcia refundacją produktu na kolejny okres obowiązywania decyzji jest równoznaczne z brakiem kontynuacji refundacji i utratą możliwości finansowania ze środków publicznych w ramach całkowitego budżetu na refundację.</w:t>
      </w:r>
    </w:p>
    <w:p w14:paraId="08460B91" w14:textId="36B1A60B" w:rsidR="00D95653" w:rsidRPr="00D95653" w:rsidRDefault="00D95653" w:rsidP="00D95653">
      <w:pPr>
        <w:suppressAutoHyphens w:val="0"/>
        <w:autoSpaceDN/>
        <w:spacing w:after="120" w:line="360" w:lineRule="auto"/>
        <w:textAlignment w:val="auto"/>
        <w:rPr>
          <w:rFonts w:ascii="Lato" w:eastAsia="Aptos" w:hAnsi="Lato"/>
          <w:kern w:val="2"/>
          <w14:ligatures w14:val="standardContextual"/>
        </w:rPr>
      </w:pPr>
      <w:r w:rsidRPr="00D95653">
        <w:rPr>
          <w:rFonts w:ascii="Lato" w:eastAsia="Aptos" w:hAnsi="Lato"/>
          <w:b/>
          <w:bCs/>
          <w:kern w:val="2"/>
          <w14:ligatures w14:val="standardContextual"/>
        </w:rPr>
        <w:t>Pomimo kilkukrotnej komunikacji</w:t>
      </w:r>
      <w:r w:rsidRPr="00D95653">
        <w:rPr>
          <w:rFonts w:ascii="Lato" w:eastAsia="Aptos" w:hAnsi="Lato"/>
          <w:kern w:val="2"/>
          <w14:ligatures w14:val="standardContextual"/>
        </w:rPr>
        <w:t xml:space="preserve"> odnotowano kilkadziesiąt produktów będących jedynymi refundowanymi w danym wskazaniu klinicznym, a w stosunku co do których nie przedłożono wniosków o objęcie refundacją na kolejny okres</w:t>
      </w:r>
      <w:r w:rsidR="007419DE">
        <w:rPr>
          <w:rFonts w:ascii="Lato" w:eastAsia="Aptos" w:hAnsi="Lato"/>
          <w:kern w:val="2"/>
          <w14:ligatures w14:val="standardContextual"/>
        </w:rPr>
        <w:t xml:space="preserve"> albo złożone wnioski nie spełniały ustawowych wymogów. </w:t>
      </w:r>
      <w:r w:rsidRPr="00D95653">
        <w:rPr>
          <w:rFonts w:ascii="Lato" w:eastAsia="Aptos" w:hAnsi="Lato"/>
          <w:kern w:val="2"/>
          <w14:ligatures w14:val="standardContextual"/>
        </w:rPr>
        <w:t xml:space="preserve">Tym samym część podmiotów odpowiedzialnych </w:t>
      </w:r>
      <w:r w:rsidR="007419DE">
        <w:rPr>
          <w:rFonts w:ascii="Lato" w:eastAsia="Aptos" w:hAnsi="Lato"/>
          <w:kern w:val="2"/>
          <w14:ligatures w14:val="standardContextual"/>
        </w:rPr>
        <w:t xml:space="preserve">świadomie podjęła decyzję </w:t>
      </w:r>
      <w:r w:rsidRPr="00D95653">
        <w:rPr>
          <w:rFonts w:ascii="Lato" w:eastAsia="Aptos" w:hAnsi="Lato"/>
          <w:kern w:val="2"/>
          <w14:ligatures w14:val="standardContextual"/>
        </w:rPr>
        <w:t xml:space="preserve">o wyłączeniu </w:t>
      </w:r>
      <w:r w:rsidR="007419DE">
        <w:rPr>
          <w:rFonts w:ascii="Lato" w:eastAsia="Aptos" w:hAnsi="Lato"/>
          <w:kern w:val="2"/>
          <w14:ligatures w14:val="standardContextual"/>
        </w:rPr>
        <w:t xml:space="preserve">danej </w:t>
      </w:r>
      <w:r w:rsidRPr="00D95653">
        <w:rPr>
          <w:rFonts w:ascii="Lato" w:eastAsia="Aptos" w:hAnsi="Lato"/>
          <w:kern w:val="2"/>
          <w14:ligatures w14:val="standardContextual"/>
        </w:rPr>
        <w:t>terapii z refundacji systemowej.</w:t>
      </w:r>
    </w:p>
    <w:p w14:paraId="511A6282" w14:textId="77777777" w:rsidR="007419DE" w:rsidRDefault="00D95653" w:rsidP="00D95653">
      <w:pPr>
        <w:suppressAutoHyphens w:val="0"/>
        <w:autoSpaceDN/>
        <w:spacing w:after="120" w:line="360" w:lineRule="auto"/>
        <w:textAlignment w:val="auto"/>
        <w:rPr>
          <w:rFonts w:ascii="Lato" w:eastAsia="Aptos" w:hAnsi="Lato"/>
          <w:kern w:val="2"/>
          <w14:ligatures w14:val="standardContextual"/>
        </w:rPr>
      </w:pPr>
      <w:r w:rsidRPr="00D95653">
        <w:rPr>
          <w:rFonts w:ascii="Lato" w:eastAsia="Aptos" w:hAnsi="Lato"/>
          <w:kern w:val="2"/>
          <w14:ligatures w14:val="standardContextual"/>
        </w:rPr>
        <w:lastRenderedPageBreak/>
        <w:t xml:space="preserve">Brak kontynuacji refundacji w aptecznej kategorii dostępności dotyczy 148 leków, </w:t>
      </w:r>
      <w:proofErr w:type="spellStart"/>
      <w:r w:rsidRPr="00D95653">
        <w:rPr>
          <w:rFonts w:ascii="Lato" w:eastAsia="Aptos" w:hAnsi="Lato"/>
          <w:kern w:val="2"/>
          <w14:ligatures w14:val="standardContextual"/>
        </w:rPr>
        <w:t>śsspż</w:t>
      </w:r>
      <w:proofErr w:type="spellEnd"/>
      <w:r w:rsidRPr="00D95653">
        <w:rPr>
          <w:rFonts w:ascii="Lato" w:eastAsia="Aptos" w:hAnsi="Lato"/>
          <w:kern w:val="2"/>
          <w14:ligatures w14:val="standardContextual"/>
        </w:rPr>
        <w:t xml:space="preserve"> lub wyrobów medycznych (liczba dotyczy indywidualnych kodów GTIN)</w:t>
      </w:r>
      <w:r w:rsidR="007419DE">
        <w:rPr>
          <w:rFonts w:ascii="Lato" w:eastAsia="Aptos" w:hAnsi="Lato"/>
          <w:kern w:val="2"/>
          <w14:ligatures w14:val="standardContextual"/>
        </w:rPr>
        <w:t xml:space="preserve">, z czego </w:t>
      </w:r>
      <w:r w:rsidRPr="00D95653">
        <w:rPr>
          <w:rFonts w:ascii="Lato" w:eastAsia="Aptos" w:hAnsi="Lato"/>
          <w:kern w:val="2"/>
          <w14:ligatures w14:val="standardContextual"/>
        </w:rPr>
        <w:t xml:space="preserve">115 </w:t>
      </w:r>
      <w:r w:rsidR="007419DE">
        <w:rPr>
          <w:rFonts w:ascii="Lato" w:eastAsia="Aptos" w:hAnsi="Lato"/>
          <w:kern w:val="2"/>
          <w14:ligatures w14:val="standardContextual"/>
        </w:rPr>
        <w:t>leków</w:t>
      </w:r>
      <w:r w:rsidRPr="00D95653">
        <w:rPr>
          <w:rFonts w:ascii="Lato" w:eastAsia="Aptos" w:hAnsi="Lato"/>
          <w:kern w:val="2"/>
          <w14:ligatures w14:val="standardContextual"/>
        </w:rPr>
        <w:t xml:space="preserve"> usuniętych z wykazu posiada swoje odpowiedniki zawierające te same substancje czynne</w:t>
      </w:r>
      <w:r w:rsidR="007419DE">
        <w:rPr>
          <w:rFonts w:ascii="Lato" w:eastAsia="Aptos" w:hAnsi="Lato"/>
          <w:kern w:val="2"/>
          <w14:ligatures w14:val="standardContextual"/>
        </w:rPr>
        <w:t xml:space="preserve"> zabezpieczające potrzeby zdrowotne pacjentów.</w:t>
      </w:r>
    </w:p>
    <w:p w14:paraId="02365FE5" w14:textId="059C1D3D" w:rsidR="00D95653" w:rsidRPr="00D95653" w:rsidRDefault="00D95653" w:rsidP="00D95653">
      <w:pPr>
        <w:suppressAutoHyphens w:val="0"/>
        <w:autoSpaceDN/>
        <w:spacing w:after="120" w:line="360" w:lineRule="auto"/>
        <w:textAlignment w:val="auto"/>
        <w:rPr>
          <w:rFonts w:ascii="Lato" w:eastAsia="Aptos" w:hAnsi="Lato"/>
          <w:kern w:val="2"/>
          <w14:ligatures w14:val="standardContextual"/>
        </w:rPr>
      </w:pPr>
      <w:r w:rsidRPr="00D95653">
        <w:rPr>
          <w:rFonts w:ascii="Lato" w:eastAsia="Aptos" w:hAnsi="Lato"/>
          <w:kern w:val="2"/>
          <w14:ligatures w14:val="standardContextual"/>
        </w:rPr>
        <w:t xml:space="preserve">Poniżej przedstawiono wykaz substancji, które </w:t>
      </w:r>
      <w:r w:rsidRPr="00D95653">
        <w:rPr>
          <w:rFonts w:ascii="Lato" w:eastAsia="Aptos" w:hAnsi="Lato"/>
          <w:b/>
          <w:bCs/>
          <w:kern w:val="2"/>
          <w14:ligatures w14:val="standardContextual"/>
        </w:rPr>
        <w:t>nie będą podlegały refundacji od 1.01.2025 r. i nie posiadają odpowiedników refundowanych</w:t>
      </w:r>
      <w:r w:rsidRPr="00D95653">
        <w:rPr>
          <w:rFonts w:ascii="Lato" w:eastAsia="Aptos" w:hAnsi="Lato"/>
          <w:kern w:val="2"/>
          <w14:ligatures w14:val="standardContextual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4265"/>
        <w:gridCol w:w="3873"/>
        <w:gridCol w:w="5108"/>
      </w:tblGrid>
      <w:tr w:rsidR="00C645B7" w:rsidRPr="007419DE" w14:paraId="196C25DF" w14:textId="77777777" w:rsidTr="000A3571">
        <w:trPr>
          <w:trHeight w:val="300"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4C8"/>
            <w:vAlign w:val="center"/>
            <w:hideMark/>
          </w:tcPr>
          <w:p w14:paraId="10D9F511" w14:textId="77777777" w:rsidR="00C645B7" w:rsidRPr="000A3571" w:rsidRDefault="00C645B7" w:rsidP="006F1E8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0A3571">
              <w:rPr>
                <w:rFonts w:ascii="Lato" w:hAnsi="Lato" w:cstheme="majorHAnsi"/>
                <w:b/>
                <w:bCs/>
                <w:color w:val="FFFFFF"/>
              </w:rPr>
              <w:t>Nr Grupy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4C8"/>
            <w:vAlign w:val="center"/>
            <w:hideMark/>
          </w:tcPr>
          <w:p w14:paraId="149B4633" w14:textId="77777777" w:rsidR="00C645B7" w:rsidRPr="000A3571" w:rsidRDefault="00C645B7" w:rsidP="006F1E8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0A3571">
              <w:rPr>
                <w:rFonts w:ascii="Lato" w:hAnsi="Lato" w:cstheme="majorHAnsi"/>
                <w:b/>
                <w:bCs/>
                <w:color w:val="FFFFFF"/>
              </w:rPr>
              <w:t>Nazwa grupy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4C8"/>
            <w:vAlign w:val="center"/>
            <w:hideMark/>
          </w:tcPr>
          <w:p w14:paraId="23E0CEC6" w14:textId="77777777" w:rsidR="00C645B7" w:rsidRPr="000A3571" w:rsidRDefault="00C645B7" w:rsidP="006F1E8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0A3571">
              <w:rPr>
                <w:rFonts w:ascii="Lato" w:hAnsi="Lato" w:cstheme="majorHAnsi"/>
                <w:b/>
                <w:bCs/>
                <w:color w:val="FFFFFF"/>
              </w:rPr>
              <w:t xml:space="preserve">Nazwa handlowa </w:t>
            </w:r>
            <w:r w:rsidRPr="000A3571">
              <w:rPr>
                <w:rFonts w:ascii="Lato" w:hAnsi="Lato" w:cstheme="majorHAnsi"/>
                <w:b/>
                <w:bCs/>
                <w:color w:val="FFFFFF"/>
              </w:rPr>
              <w:br/>
              <w:t>(substancja czynna)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4C8"/>
            <w:vAlign w:val="center"/>
            <w:hideMark/>
          </w:tcPr>
          <w:p w14:paraId="026936E8" w14:textId="77777777" w:rsidR="00C645B7" w:rsidRPr="000A3571" w:rsidRDefault="00C645B7" w:rsidP="006F1E8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0A3571">
              <w:rPr>
                <w:rFonts w:ascii="Lato" w:hAnsi="Lato" w:cstheme="majorHAnsi"/>
                <w:b/>
                <w:bCs/>
                <w:color w:val="FFFFFF"/>
              </w:rPr>
              <w:t>Wskazanie</w:t>
            </w:r>
          </w:p>
        </w:tc>
      </w:tr>
      <w:tr w:rsidR="00C645B7" w:rsidRPr="007419DE" w14:paraId="14A8F0BE" w14:textId="77777777" w:rsidTr="00EA3852">
        <w:trPr>
          <w:trHeight w:val="596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8958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20.0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E1B1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Produkty do doustnej suplementacji potasu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C49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Kalipoz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prolongatum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</w:t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  <w:t xml:space="preserve">(Kalii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chloridum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FCD8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We wszystkich zarejestrowanych wskazaniach na dzień wydania decyzji</w:t>
            </w:r>
          </w:p>
        </w:tc>
      </w:tr>
      <w:tr w:rsidR="00C645B7" w:rsidRPr="007419DE" w14:paraId="1F56B1AA" w14:textId="77777777" w:rsidTr="00EA3852">
        <w:trPr>
          <w:trHeight w:val="8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6FAF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32.1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4B11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Leki stosowane doraźnie w nagłych przypadkach anafilaksji - leki adrenergiczne i dopaminergiczne - epinefryna - do podawania pozajelitowego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9162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Adrenalina WZF </w:t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Adrenalinum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3E02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Leczenie doraźne w nagłych przypadkach ostrych reakcji alergicznych (anafilaksji), wywołanych przez pokarmy, leki, ukąszenia i użądlenia owadów oraz inne alergeny, jak również w przypadku anafilaksji samoistnej</w:t>
            </w:r>
          </w:p>
        </w:tc>
      </w:tr>
      <w:tr w:rsidR="00C645B7" w:rsidRPr="007419DE" w14:paraId="5E0BF8E1" w14:textId="77777777" w:rsidTr="00EA3852">
        <w:trPr>
          <w:trHeight w:val="67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7F8D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34.1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3849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Leki rozszerzające naczynia krwionośne - organiczne azotany - dwuazotan i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monoazotan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izosorbidu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do podawania doustnego - stałe postacie farmaceutyczne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3039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>Mononit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 xml:space="preserve"> 10,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>Mononit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 xml:space="preserve"> 20,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>Mononit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 xml:space="preserve"> 40,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>Mononit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 xml:space="preserve"> 60 retard,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>Mononit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 xml:space="preserve"> 100 retard </w:t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br/>
              <w:t>(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>Isosorbidi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>mononitras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>)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BD2B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We wszystkich zarejestrowanych wskazaniach na dzień wydania decyzji</w:t>
            </w:r>
          </w:p>
        </w:tc>
      </w:tr>
      <w:tr w:rsidR="00C645B7" w:rsidRPr="007419DE" w14:paraId="03B959BB" w14:textId="77777777" w:rsidTr="00EA3852">
        <w:trPr>
          <w:trHeight w:val="583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BCEA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41.0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0313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Antagoniści wapnia - pochodne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dihydropirydyny</w:t>
            </w:r>
            <w:proofErr w:type="spellEnd"/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ADDE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Plendil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</w:t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Felodipinum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FFCF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We wszystkich zarejestrowanych wskazaniach na dzień wydania decyzji</w:t>
            </w:r>
          </w:p>
        </w:tc>
      </w:tr>
      <w:tr w:rsidR="00C645B7" w:rsidRPr="007419DE" w14:paraId="3FC27E7D" w14:textId="77777777" w:rsidTr="00EA3852">
        <w:trPr>
          <w:trHeight w:val="67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10E1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43.0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7F8D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Antagoniści wapnia - pochodne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benzotiazepiny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diltiazem</w:t>
            </w:r>
            <w:proofErr w:type="spellEnd"/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8C9" w14:textId="555D7E0C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>Dilzem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 xml:space="preserve"> retard,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>Dilzem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 xml:space="preserve"> 120 retard,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>Dilzem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 xml:space="preserve"> 180 retard</w:t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br/>
              <w:t>(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>Diltiazemum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val="en-US" w:eastAsia="pl-PL"/>
              </w:rPr>
              <w:t>)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C237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We wszystkich zarejestrowanych wskazaniach na dzień wydania decyzji</w:t>
            </w:r>
          </w:p>
        </w:tc>
      </w:tr>
      <w:tr w:rsidR="00C645B7" w:rsidRPr="007419DE" w14:paraId="3F3FBE8F" w14:textId="77777777" w:rsidTr="00EA3852">
        <w:trPr>
          <w:trHeight w:val="871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5854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44.0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5CF7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Inhibitory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konwertazy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angiotensyny - produkty jednoskładnikowe i złożone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5063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Lotensin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</w:t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Benazeprilum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CBF2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We wszystkich zarejestrowanych wskazaniach na dzień wydania decyzji</w:t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  <w:t xml:space="preserve">Wskazanie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pozarejestracyjne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: leczenie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renoprotekcyjne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u dzieci do 18 roku życia</w:t>
            </w:r>
          </w:p>
        </w:tc>
      </w:tr>
      <w:tr w:rsidR="00C645B7" w:rsidRPr="007419DE" w14:paraId="64CBBC62" w14:textId="77777777" w:rsidTr="00EA3852">
        <w:trPr>
          <w:trHeight w:val="541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3DE8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47.0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AB7A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Leki wpływające na gospodarkę lipidową -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fibraty</w:t>
            </w:r>
            <w:proofErr w:type="spellEnd"/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11A8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Lipanor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</w:t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Ciprofibratum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2590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We wszystkich zarejestrowanych wskazaniach na dzień wydania decyzji</w:t>
            </w:r>
          </w:p>
        </w:tc>
      </w:tr>
      <w:tr w:rsidR="00C645B7" w:rsidRPr="007419DE" w14:paraId="2E69556A" w14:textId="77777777" w:rsidTr="00EA3852">
        <w:trPr>
          <w:trHeight w:val="703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E8D8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49.0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A03A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Mikonazol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w skojarzeniu z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mazipredonem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- do stosowania na skórę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B15A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Mycosolon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</w:t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Miconazolum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+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Mazipredonum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B333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We wszystkich zarejestrowanych wskazaniach na dzień wydania decyzji</w:t>
            </w:r>
          </w:p>
        </w:tc>
      </w:tr>
      <w:tr w:rsidR="00C645B7" w:rsidRPr="007419DE" w14:paraId="573A30E8" w14:textId="77777777" w:rsidTr="00EA3852">
        <w:trPr>
          <w:trHeight w:val="683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8B97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72.0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EFA7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Leki hormonalne do podawania doustnego, zawierające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cyproteron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etynyloestradiol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lewonorgestrel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lub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medroksyprogesteron</w:t>
            </w:r>
            <w:proofErr w:type="spellEnd"/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C4AA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Provera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Medroxyprogesteronum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9649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We wszystkich zarejestrowanych wskazaniach na dzień wydania decyzji</w:t>
            </w:r>
          </w:p>
        </w:tc>
      </w:tr>
      <w:tr w:rsidR="00C645B7" w:rsidRPr="007419DE" w14:paraId="70F4B49C" w14:textId="77777777" w:rsidTr="00EA3852">
        <w:trPr>
          <w:trHeight w:val="729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0B92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lastRenderedPageBreak/>
              <w:t>82.6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D154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Kortykosteroidy do stosowania ogólnego - glikokortykoidy do podawania doustnego -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triamcynolon</w:t>
            </w:r>
            <w:proofErr w:type="spellEnd"/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75ED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Polcortolon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</w:t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Triamcinolonum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1351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We wszystkich zarejestrowanych wskazaniach na dzień wydania decyzji</w:t>
            </w:r>
          </w:p>
        </w:tc>
      </w:tr>
      <w:tr w:rsidR="00C645B7" w:rsidRPr="007419DE" w14:paraId="44865F2A" w14:textId="77777777" w:rsidTr="00EA3852">
        <w:trPr>
          <w:trHeight w:val="87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A8A0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105.0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E7F3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Chinolonowe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leki przeciwbakteryjne -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fluorochinolony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do stosowania doustnego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4FC8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Tarivid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200 </w:t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Ofloxacinum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AB42" w14:textId="64C3A765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We wszystkich zarejestrowanych wskazaniach na dzień wydania decyzji;</w:t>
            </w:r>
          </w:p>
          <w:p w14:paraId="48C0E9B4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</w:p>
          <w:p w14:paraId="2BD2795B" w14:textId="40F9C61A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Gruźlica, w tym również gruźlica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wielolekooporna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i inne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mykobakteriozy</w:t>
            </w:r>
            <w:proofErr w:type="spellEnd"/>
          </w:p>
        </w:tc>
      </w:tr>
      <w:tr w:rsidR="00C645B7" w:rsidRPr="007419DE" w14:paraId="14356238" w14:textId="77777777" w:rsidTr="00EA3852">
        <w:trPr>
          <w:trHeight w:val="67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B68E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141.1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5FCC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Niesteroidowe leki przeciwzapalne do stosowania doustnego - produkty jednoskładnikowe i skojarzone z inhibitorami pompy protonowej - stałe postacie farmaceutyczne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D27A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Aulin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</w:t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Nimesulidum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6317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We wszystkich zarejestrowanych wskazaniach na dzień wydania decyzji</w:t>
            </w:r>
          </w:p>
        </w:tc>
      </w:tr>
      <w:tr w:rsidR="00C645B7" w:rsidRPr="007419DE" w14:paraId="2A03CCCD" w14:textId="77777777" w:rsidTr="00EA3852">
        <w:trPr>
          <w:trHeight w:val="1004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B15E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141.2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57BC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Niesteroidowe leki przeciwzapalne do stosowania doodbytniczego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B969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Profenid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</w:t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Ketoprofenum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, czopki)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E38F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We wszystkich zarejestrowanych wskazaniach na dzień wydania decyzji</w:t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  <w:t xml:space="preserve">Wskazanie pozarejestracyjne: ból w przebiegu chorób nowotworowych - w przypadkach innych niż określone w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ChPL</w:t>
            </w:r>
            <w:proofErr w:type="spellEnd"/>
          </w:p>
        </w:tc>
      </w:tr>
      <w:tr w:rsidR="00C645B7" w:rsidRPr="007419DE" w14:paraId="46C02FE8" w14:textId="77777777" w:rsidTr="00EA3852">
        <w:trPr>
          <w:trHeight w:val="67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A505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208.0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94C5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Antybiotyki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aminoglikozydowe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do stosowania do oczu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2F66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Gentamicin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WZF 0,3%</w:t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Gentamicinum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09D5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We wszystkich zarejestrowanych wskazaniach na dzień wydania decyzji</w:t>
            </w:r>
          </w:p>
        </w:tc>
      </w:tr>
      <w:tr w:rsidR="00C645B7" w:rsidRPr="007419DE" w14:paraId="5CE5AF86" w14:textId="77777777" w:rsidTr="00EA3852">
        <w:trPr>
          <w:trHeight w:val="67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B71D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211.0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B997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Leki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przeciwjaskrowe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parasympatykomimetyki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- pilokarpina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9878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Pilocarpinum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WZF 2%</w:t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Pilocarpinum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F96D" w14:textId="4931A950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Jaskra</w:t>
            </w:r>
          </w:p>
        </w:tc>
      </w:tr>
      <w:tr w:rsidR="00C645B7" w:rsidRPr="007419DE" w14:paraId="003F689C" w14:textId="77777777" w:rsidTr="00EA3852">
        <w:trPr>
          <w:trHeight w:val="67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9B37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213.0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90A0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Leki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przeciwjaskrowe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- beta-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adrenolityki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do stosowania do oczu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FDF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Cusimolol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0,5%,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Oftensin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Timololum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00B0" w14:textId="1139420C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Jaskra</w:t>
            </w:r>
          </w:p>
        </w:tc>
      </w:tr>
      <w:tr w:rsidR="00C645B7" w:rsidRPr="007419DE" w14:paraId="491039A3" w14:textId="77777777" w:rsidTr="00EA3852">
        <w:trPr>
          <w:trHeight w:val="76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E824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216.6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5AC9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Diety eliminacyjne w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fenyloketonurii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porcjowane, w postaci tabletek powlekanych – przeznaczone dla pacjentów powyżej 15 r.ż.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B19A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Milupa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PKU 3 </w:t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  <w:t>(Dieta eliminacyjna w Fenyloketonurii)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4008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Fenyloketonuria</w:t>
            </w:r>
          </w:p>
        </w:tc>
      </w:tr>
      <w:tr w:rsidR="00C645B7" w:rsidRPr="007419DE" w14:paraId="04C4A0B1" w14:textId="77777777" w:rsidTr="00EA3852">
        <w:trPr>
          <w:trHeight w:val="67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0E0A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217.1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57B8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Diety eliminacyjne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mlekozastępcze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początkowe przeznaczone dla niemowląt od urodzenia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0F9F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Humana SL </w:t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  <w:t xml:space="preserve">(Dieta eliminacyjna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mlekozastępcza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88A" w14:textId="5CA793FC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Zespoły wrodzonych defektów metabolicznych, alergie pokarmowe i biegunki przewlekłe</w:t>
            </w:r>
          </w:p>
        </w:tc>
      </w:tr>
      <w:tr w:rsidR="00C645B7" w:rsidRPr="007419DE" w14:paraId="5B6E699C" w14:textId="77777777" w:rsidTr="00EA3852">
        <w:trPr>
          <w:trHeight w:val="67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4F84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219.1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2AB0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Paski diagnostyczne do oznaczania glukozy i ciał ketonowych w moczu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4A1A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Keto-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Diastix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</w:t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  <w:t>(Paski do oznaczania glukozy i ciał ketonowych w moczu)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88B5" w14:textId="23E50B48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Cukrzyca</w:t>
            </w:r>
          </w:p>
        </w:tc>
      </w:tr>
      <w:tr w:rsidR="00C645B7" w:rsidRPr="007419DE" w14:paraId="4248C595" w14:textId="77777777" w:rsidTr="00EA3852">
        <w:trPr>
          <w:trHeight w:val="67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680E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lastRenderedPageBreak/>
              <w:t>226.0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A784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Leki antycholinergiczne do stosowania do oczu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6944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Atropinum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sulfuricum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WZF 1%</w:t>
            </w: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Atropini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sulfas</w:t>
            </w:r>
            <w:proofErr w:type="spellEnd"/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285A" w14:textId="77777777" w:rsidR="00C645B7" w:rsidRPr="006F1E88" w:rsidRDefault="00C645B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sz w:val="18"/>
                <w:szCs w:val="18"/>
                <w:lang w:eastAsia="pl-PL"/>
              </w:rPr>
              <w:t>We wszystkich zarejestrowanych wskazaniach na dzień wydania decyzji</w:t>
            </w:r>
          </w:p>
        </w:tc>
      </w:tr>
    </w:tbl>
    <w:p w14:paraId="453DEA19" w14:textId="77777777" w:rsidR="00D95653" w:rsidRDefault="00D95653" w:rsidP="0068046C">
      <w:pPr>
        <w:suppressAutoHyphens w:val="0"/>
        <w:rPr>
          <w:rFonts w:ascii="Lato" w:hAnsi="Lato"/>
          <w:b/>
          <w:bCs/>
          <w:color w:val="00B0F0"/>
        </w:rPr>
      </w:pPr>
    </w:p>
    <w:p w14:paraId="678C5AE3" w14:textId="77777777" w:rsidR="00392C57" w:rsidRPr="004D093B" w:rsidRDefault="00392C57" w:rsidP="00392C57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>
        <w:rPr>
          <w:rFonts w:ascii="Lato" w:hAnsi="Lato"/>
          <w:b/>
          <w:bCs/>
          <w:color w:val="00B0F0"/>
          <w:sz w:val="28"/>
          <w:szCs w:val="28"/>
        </w:rPr>
        <w:t>ZMIANY W WYSOKOŚCI MARŻY DETALICZNEJ</w:t>
      </w:r>
    </w:p>
    <w:p w14:paraId="0E87B1BA" w14:textId="0CF6EC64" w:rsidR="00392C57" w:rsidRPr="00721C23" w:rsidRDefault="00392C57" w:rsidP="00392C57">
      <w:pPr>
        <w:spacing w:before="240" w:after="120"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W </w:t>
      </w:r>
      <w:r w:rsidRPr="00A45A61">
        <w:rPr>
          <w:rFonts w:ascii="Lato" w:hAnsi="Lato"/>
        </w:rPr>
        <w:t xml:space="preserve">związku z </w:t>
      </w:r>
      <w:r w:rsidR="00A45A61" w:rsidRPr="00A45A61">
        <w:rPr>
          <w:rFonts w:ascii="Lato" w:hAnsi="Lato"/>
        </w:rPr>
        <w:t>dużą</w:t>
      </w:r>
      <w:r w:rsidRPr="00A45A61">
        <w:rPr>
          <w:rFonts w:ascii="Lato" w:hAnsi="Lato"/>
        </w:rPr>
        <w:t xml:space="preserve"> nowelizacj</w:t>
      </w:r>
      <w:r w:rsidR="00A45A61" w:rsidRPr="00A45A61">
        <w:rPr>
          <w:rFonts w:ascii="Lato" w:hAnsi="Lato"/>
        </w:rPr>
        <w:t>ą</w:t>
      </w:r>
      <w:r w:rsidRPr="00A45A61">
        <w:rPr>
          <w:rFonts w:ascii="Lato" w:hAnsi="Lato"/>
        </w:rPr>
        <w:t xml:space="preserve"> ustawy o refundacji leków, środków spożywczych specjalnego przeznaczenia żywieniowego oraz wyrobów medycznych,</w:t>
      </w:r>
      <w:r w:rsidR="000F28DF" w:rsidRPr="00A45A61">
        <w:rPr>
          <w:rFonts w:ascii="Lato" w:hAnsi="Lato"/>
        </w:rPr>
        <w:t xml:space="preserve"> która weszła w życie 1 listopada 2023 r.,</w:t>
      </w:r>
      <w:r w:rsidRPr="00A45A61">
        <w:rPr>
          <w:rFonts w:ascii="Lato" w:hAnsi="Lato"/>
        </w:rPr>
        <w:t xml:space="preserve"> </w:t>
      </w:r>
      <w:r w:rsidR="000F28DF" w:rsidRPr="00A45A61">
        <w:rPr>
          <w:rFonts w:ascii="Lato" w:hAnsi="Lato"/>
        </w:rPr>
        <w:t xml:space="preserve">implementowana jest </w:t>
      </w:r>
      <w:r w:rsidR="00A45A61" w:rsidRPr="00A45A61">
        <w:rPr>
          <w:rFonts w:ascii="Lato" w:hAnsi="Lato"/>
        </w:rPr>
        <w:t xml:space="preserve">kolejna zmiana </w:t>
      </w:r>
      <w:r w:rsidR="000F28DF" w:rsidRPr="00A45A61">
        <w:rPr>
          <w:rFonts w:ascii="Lato" w:hAnsi="Lato"/>
        </w:rPr>
        <w:t>odroczona w czasie</w:t>
      </w:r>
      <w:r w:rsidR="00A45A61" w:rsidRPr="00A45A61">
        <w:rPr>
          <w:rFonts w:ascii="Lato" w:hAnsi="Lato"/>
        </w:rPr>
        <w:t xml:space="preserve">. W rezultacie </w:t>
      </w:r>
      <w:r w:rsidR="000F28DF" w:rsidRPr="00A45A61">
        <w:rPr>
          <w:rFonts w:ascii="Lato" w:hAnsi="Lato"/>
        </w:rPr>
        <w:t xml:space="preserve">od 1 stycznia 2025 r., </w:t>
      </w:r>
      <w:r w:rsidRPr="00A45A61">
        <w:rPr>
          <w:rFonts w:ascii="Lato" w:hAnsi="Lato"/>
        </w:rPr>
        <w:t>obowiązuje nowa tabela wysokości marży detalicznej</w:t>
      </w:r>
      <w:r w:rsidR="00A45A61">
        <w:rPr>
          <w:rFonts w:ascii="Lato" w:hAnsi="Lato"/>
        </w:rPr>
        <w:t xml:space="preserve"> ustalona niniejszą nowelizacją</w:t>
      </w:r>
      <w:r w:rsidRPr="00A45A61">
        <w:rPr>
          <w:rFonts w:ascii="Lato" w:hAnsi="Lato"/>
        </w:rPr>
        <w:t>. Zgodnie z treścią art. 7 ust. 4 ustawy o refundacji, marża detaliczna obowiązująca od niniejszego obwieszczenia jest wyliczona na podstawie poniższej tabeli: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22"/>
        <w:gridCol w:w="3424"/>
        <w:gridCol w:w="7142"/>
      </w:tblGrid>
      <w:tr w:rsidR="00392C57" w:rsidRPr="00721C23" w14:paraId="22ACEB5B" w14:textId="77777777" w:rsidTr="000A3571">
        <w:trPr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14:paraId="06B9D855" w14:textId="77777777" w:rsidR="00392C57" w:rsidRPr="000A3571" w:rsidRDefault="00392C57" w:rsidP="00F85B00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0A3571">
              <w:rPr>
                <w:rFonts w:ascii="Lato" w:hAnsi="Lato" w:cstheme="majorHAnsi"/>
                <w:b/>
                <w:bCs/>
                <w:color w:val="FFFFFF"/>
              </w:rPr>
              <w:t>Wysokość urzędowej marży detalicznej naliczanej od ceny hurtowej produktu stanowiącego podstawę limitu w danej grupie limitowej</w:t>
            </w:r>
          </w:p>
        </w:tc>
      </w:tr>
      <w:tr w:rsidR="00392C57" w:rsidRPr="00721C23" w14:paraId="4AFC44C0" w14:textId="77777777" w:rsidTr="000A3571">
        <w:trPr>
          <w:jc w:val="center"/>
        </w:trPr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ECDB78E" w14:textId="77777777" w:rsidR="00392C57" w:rsidRPr="000A3571" w:rsidRDefault="00392C57" w:rsidP="00F85B00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A3571">
              <w:rPr>
                <w:rFonts w:ascii="Lato" w:hAnsi="Lato" w:cstheme="majorHAnsi"/>
                <w:b/>
                <w:b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507B6F4" w14:textId="77777777" w:rsidR="00392C57" w:rsidRPr="000A3571" w:rsidRDefault="00392C57" w:rsidP="00F85B00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A3571">
              <w:rPr>
                <w:rFonts w:ascii="Lato" w:hAnsi="Lato" w:cstheme="majorHAnsi"/>
                <w:b/>
                <w:bCs/>
                <w:color w:val="FFFFFF" w:themeColor="background1"/>
                <w:sz w:val="20"/>
                <w:szCs w:val="20"/>
              </w:rPr>
              <w:t>do</w:t>
            </w:r>
          </w:p>
        </w:tc>
        <w:tc>
          <w:tcPr>
            <w:tcW w:w="2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402657C" w14:textId="77777777" w:rsidR="00392C57" w:rsidRPr="000A3571" w:rsidRDefault="00392C57" w:rsidP="00F85B00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A3571">
              <w:rPr>
                <w:rFonts w:ascii="Lato" w:hAnsi="Lato" w:cstheme="majorHAnsi"/>
                <w:b/>
                <w:bCs/>
                <w:color w:val="FFFFFF" w:themeColor="background1"/>
                <w:sz w:val="20"/>
                <w:szCs w:val="20"/>
              </w:rPr>
              <w:t>zasada marży</w:t>
            </w:r>
          </w:p>
        </w:tc>
      </w:tr>
      <w:tr w:rsidR="00392C57" w:rsidRPr="00721C23" w14:paraId="3BFC9592" w14:textId="77777777" w:rsidTr="00392C57">
        <w:trPr>
          <w:jc w:val="center"/>
        </w:trPr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AE65982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204AF51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5,00 zł</w:t>
            </w:r>
          </w:p>
        </w:tc>
        <w:tc>
          <w:tcPr>
            <w:tcW w:w="2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8C656CC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40%</w:t>
            </w:r>
          </w:p>
        </w:tc>
      </w:tr>
      <w:tr w:rsidR="00392C57" w:rsidRPr="00721C23" w14:paraId="31B73B3C" w14:textId="77777777" w:rsidTr="00392C57">
        <w:trPr>
          <w:jc w:val="center"/>
        </w:trPr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402DB1E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5,01 zł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C9CFDB1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10,00 zł</w:t>
            </w:r>
          </w:p>
        </w:tc>
        <w:tc>
          <w:tcPr>
            <w:tcW w:w="2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DBD4971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2 zł + 30% × (x - 5,00 zł)</w:t>
            </w:r>
          </w:p>
        </w:tc>
      </w:tr>
      <w:tr w:rsidR="00392C57" w:rsidRPr="00721C23" w14:paraId="136026F7" w14:textId="77777777" w:rsidTr="00392C57">
        <w:trPr>
          <w:jc w:val="center"/>
        </w:trPr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D6835B3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10,01 zł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1E10A1E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20,00 zł</w:t>
            </w:r>
          </w:p>
        </w:tc>
        <w:tc>
          <w:tcPr>
            <w:tcW w:w="2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14DDE91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3,50 zł + 20% × (x -10,00 zł)</w:t>
            </w:r>
          </w:p>
        </w:tc>
      </w:tr>
      <w:tr w:rsidR="00392C57" w:rsidRPr="00721C23" w14:paraId="4E77CB68" w14:textId="77777777" w:rsidTr="00392C57">
        <w:trPr>
          <w:jc w:val="center"/>
        </w:trPr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AC38461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20,01 zł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9BA7559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40,00 zł</w:t>
            </w:r>
          </w:p>
        </w:tc>
        <w:tc>
          <w:tcPr>
            <w:tcW w:w="2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134B7B1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5,50 zł + 15% × (x - 20,00 zł)</w:t>
            </w:r>
          </w:p>
        </w:tc>
      </w:tr>
      <w:tr w:rsidR="00392C57" w:rsidRPr="00721C23" w14:paraId="4FE90799" w14:textId="77777777" w:rsidTr="00392C57">
        <w:trPr>
          <w:jc w:val="center"/>
        </w:trPr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4C320E8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40,01 zł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CD2531A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80,00 zł</w:t>
            </w:r>
          </w:p>
        </w:tc>
        <w:tc>
          <w:tcPr>
            <w:tcW w:w="2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BCAD8BA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8,50 zł + 10% × (x - 40,00 zł)</w:t>
            </w:r>
          </w:p>
        </w:tc>
      </w:tr>
      <w:tr w:rsidR="00392C57" w:rsidRPr="00721C23" w14:paraId="77A17485" w14:textId="77777777" w:rsidTr="00392C57">
        <w:trPr>
          <w:jc w:val="center"/>
        </w:trPr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9D562FB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80,01 zł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A430E53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160,00 zł</w:t>
            </w:r>
          </w:p>
        </w:tc>
        <w:tc>
          <w:tcPr>
            <w:tcW w:w="2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9896983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12,50 zł + 5% × (x - 80,00 zł)</w:t>
            </w:r>
          </w:p>
        </w:tc>
      </w:tr>
      <w:tr w:rsidR="00392C57" w:rsidRPr="00721C23" w14:paraId="3B678C46" w14:textId="77777777" w:rsidTr="00392C57">
        <w:trPr>
          <w:jc w:val="center"/>
        </w:trPr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7FFF96C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160,01 zł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2105551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320,00 zł</w:t>
            </w:r>
          </w:p>
        </w:tc>
        <w:tc>
          <w:tcPr>
            <w:tcW w:w="2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7A5B6ED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16,50 zł + 2,5% × (x - 160,00 zł)</w:t>
            </w:r>
          </w:p>
        </w:tc>
      </w:tr>
      <w:tr w:rsidR="00392C57" w:rsidRPr="00721C23" w14:paraId="5229A266" w14:textId="77777777" w:rsidTr="00392C57">
        <w:trPr>
          <w:jc w:val="center"/>
        </w:trPr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E7D32AC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lastRenderedPageBreak/>
              <w:t>320,01 zł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40DB0C5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640,00 zł</w:t>
            </w:r>
          </w:p>
        </w:tc>
        <w:tc>
          <w:tcPr>
            <w:tcW w:w="2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C436FED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20,50 zł + 2,5% × (x - 320,00 zł)</w:t>
            </w:r>
          </w:p>
        </w:tc>
      </w:tr>
      <w:tr w:rsidR="00392C57" w:rsidRPr="00721C23" w14:paraId="0AAB1D0E" w14:textId="77777777" w:rsidTr="00392C57">
        <w:trPr>
          <w:jc w:val="center"/>
        </w:trPr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24811F3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640,01 zł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1E56A86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1280,00 zł</w:t>
            </w:r>
          </w:p>
        </w:tc>
        <w:tc>
          <w:tcPr>
            <w:tcW w:w="2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93468F4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28,50 zł + 2,5% × (x - 640,00 zł)</w:t>
            </w:r>
          </w:p>
        </w:tc>
      </w:tr>
      <w:tr w:rsidR="00392C57" w:rsidRPr="00721C23" w14:paraId="649766BB" w14:textId="77777777" w:rsidTr="00392C57">
        <w:trPr>
          <w:jc w:val="center"/>
        </w:trPr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1864F57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1280,01 zł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89EB1B7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B14B602" w14:textId="77777777" w:rsidR="00392C57" w:rsidRPr="006F1E88" w:rsidRDefault="00392C57" w:rsidP="00F85B00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F1E88">
              <w:rPr>
                <w:rFonts w:ascii="Lato" w:hAnsi="Lato"/>
                <w:sz w:val="18"/>
                <w:szCs w:val="18"/>
              </w:rPr>
              <w:t>44,50 zł + 1,25% × (x - 1280,00 zł)</w:t>
            </w:r>
          </w:p>
        </w:tc>
      </w:tr>
    </w:tbl>
    <w:p w14:paraId="1F4D0574" w14:textId="77777777" w:rsidR="00392C57" w:rsidRPr="00392C57" w:rsidRDefault="00392C57" w:rsidP="00392C57">
      <w:pPr>
        <w:spacing w:before="240" w:after="120" w:line="360" w:lineRule="auto"/>
        <w:jc w:val="both"/>
        <w:rPr>
          <w:rFonts w:ascii="Lato" w:hAnsi="Lato"/>
          <w:i/>
          <w:iCs/>
        </w:rPr>
      </w:pPr>
      <w:r w:rsidRPr="00392C57">
        <w:rPr>
          <w:rFonts w:ascii="Lato" w:hAnsi="Lato"/>
          <w:i/>
          <w:iCs/>
        </w:rPr>
        <w:t>- gdzie x oznacza cenę hurtową leku, środka spożywczego specjalnego przeznaczenia żywieniowego albo wyrobu medycznego stanowiącego podstawę limitu, uwzględniającą liczbę DDD leku, jednostek środka spożywczego specjalnego przeznaczenia żywieniowego w opakowaniu albo liczbę jednostkowych wyrobów medycznych, albo liczbę jednostek wyrobu medycznego.</w:t>
      </w:r>
    </w:p>
    <w:p w14:paraId="68D6EDBB" w14:textId="47BE04D7" w:rsidR="00392C57" w:rsidRDefault="00392C57" w:rsidP="00392C57">
      <w:pPr>
        <w:spacing w:before="240" w:after="120"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W związku z powyższą zmianą, zmianie ulega większość cen detalicznych produktów dostępnych w </w:t>
      </w:r>
      <w:r w:rsidRPr="00020DA9">
        <w:rPr>
          <w:rFonts w:ascii="Lato" w:hAnsi="Lato"/>
        </w:rPr>
        <w:t xml:space="preserve">ramach refundacji aptecznej. Należy jednak podkreślić, że zdecydowana </w:t>
      </w:r>
      <w:r w:rsidRPr="00020DA9">
        <w:rPr>
          <w:rFonts w:ascii="Lato" w:hAnsi="Lato"/>
          <w:b/>
          <w:bCs/>
        </w:rPr>
        <w:t>większość podwyżek to zmiany w minimalnym zakresie</w:t>
      </w:r>
      <w:r w:rsidRPr="00020DA9">
        <w:rPr>
          <w:rFonts w:ascii="Lato" w:hAnsi="Lato"/>
        </w:rPr>
        <w:t>, ponad 9</w:t>
      </w:r>
      <w:r w:rsidR="00C31A22" w:rsidRPr="00020DA9">
        <w:rPr>
          <w:rFonts w:ascii="Lato" w:hAnsi="Lato"/>
        </w:rPr>
        <w:t>8</w:t>
      </w:r>
      <w:r w:rsidRPr="00020DA9">
        <w:rPr>
          <w:rFonts w:ascii="Lato" w:hAnsi="Lato"/>
        </w:rPr>
        <w:t>% podwyżek</w:t>
      </w:r>
      <w:r w:rsidRPr="006F3508">
        <w:rPr>
          <w:rFonts w:ascii="Lato" w:hAnsi="Lato"/>
        </w:rPr>
        <w:t xml:space="preserve"> ceny detalicznej wynosi mniej niż 1 zł</w:t>
      </w:r>
      <w:r>
        <w:rPr>
          <w:rFonts w:ascii="Lato" w:hAnsi="Lato"/>
        </w:rPr>
        <w:t>:</w:t>
      </w:r>
    </w:p>
    <w:p w14:paraId="186B20C9" w14:textId="2E9F2D92" w:rsidR="00392C57" w:rsidRPr="00392C57" w:rsidRDefault="00392C57" w:rsidP="00392C57">
      <w:pPr>
        <w:pStyle w:val="Akapitzlist"/>
        <w:numPr>
          <w:ilvl w:val="0"/>
          <w:numId w:val="33"/>
        </w:numPr>
        <w:spacing w:before="240" w:after="120" w:line="360" w:lineRule="auto"/>
        <w:jc w:val="both"/>
        <w:rPr>
          <w:rFonts w:ascii="Lato" w:hAnsi="Lato"/>
        </w:rPr>
      </w:pPr>
      <w:r w:rsidRPr="00392C57">
        <w:rPr>
          <w:rFonts w:ascii="Lato" w:hAnsi="Lato"/>
        </w:rPr>
        <w:t>podwyżka ceny detalicznej mniejsza lub równa 0,10 zł – 36</w:t>
      </w:r>
      <w:r w:rsidR="00A16F0D">
        <w:rPr>
          <w:rFonts w:ascii="Lato" w:hAnsi="Lato"/>
        </w:rPr>
        <w:t>70</w:t>
      </w:r>
      <w:r w:rsidRPr="00392C57">
        <w:rPr>
          <w:rFonts w:ascii="Lato" w:hAnsi="Lato"/>
        </w:rPr>
        <w:t xml:space="preserve"> produktów,</w:t>
      </w:r>
    </w:p>
    <w:p w14:paraId="60D5908A" w14:textId="77777777" w:rsidR="00392C57" w:rsidRPr="00392C57" w:rsidRDefault="00392C57" w:rsidP="00392C57">
      <w:pPr>
        <w:pStyle w:val="Akapitzlist"/>
        <w:numPr>
          <w:ilvl w:val="0"/>
          <w:numId w:val="33"/>
        </w:numPr>
        <w:spacing w:before="240" w:after="120" w:line="360" w:lineRule="auto"/>
        <w:jc w:val="both"/>
        <w:rPr>
          <w:rFonts w:ascii="Lato" w:hAnsi="Lato"/>
        </w:rPr>
      </w:pPr>
      <w:r w:rsidRPr="00392C57">
        <w:rPr>
          <w:rFonts w:ascii="Lato" w:hAnsi="Lato"/>
        </w:rPr>
        <w:t>podwyżka ceny detalicznej między 0,11 zł, a 1,00 zł – 63 produkty,</w:t>
      </w:r>
    </w:p>
    <w:p w14:paraId="7C16EFF2" w14:textId="77777777" w:rsidR="00392C57" w:rsidRPr="00392C57" w:rsidRDefault="00392C57" w:rsidP="00392C57">
      <w:pPr>
        <w:pStyle w:val="Akapitzlist"/>
        <w:numPr>
          <w:ilvl w:val="0"/>
          <w:numId w:val="33"/>
        </w:numPr>
        <w:spacing w:before="240" w:after="120" w:line="360" w:lineRule="auto"/>
        <w:jc w:val="both"/>
        <w:rPr>
          <w:rFonts w:ascii="Lato" w:hAnsi="Lato"/>
        </w:rPr>
      </w:pPr>
      <w:r w:rsidRPr="00392C57">
        <w:rPr>
          <w:rFonts w:ascii="Lato" w:hAnsi="Lato"/>
        </w:rPr>
        <w:t>podwyżka ceny detalicznej między 1,01 zł, a 3,00 zł – 11 produktów,</w:t>
      </w:r>
    </w:p>
    <w:p w14:paraId="170013BF" w14:textId="77777777" w:rsidR="00392C57" w:rsidRPr="00392C57" w:rsidRDefault="00392C57" w:rsidP="00392C57">
      <w:pPr>
        <w:pStyle w:val="Akapitzlist"/>
        <w:numPr>
          <w:ilvl w:val="0"/>
          <w:numId w:val="33"/>
        </w:numPr>
        <w:spacing w:before="240" w:after="120" w:line="360" w:lineRule="auto"/>
        <w:jc w:val="both"/>
        <w:rPr>
          <w:rFonts w:ascii="Lato" w:hAnsi="Lato"/>
        </w:rPr>
      </w:pPr>
      <w:r w:rsidRPr="00392C57">
        <w:rPr>
          <w:rFonts w:ascii="Lato" w:hAnsi="Lato"/>
        </w:rPr>
        <w:t xml:space="preserve">podwyżka ceny detalicznej między 3,01 zł, a 6,00 zł – 1 produkt. </w:t>
      </w:r>
    </w:p>
    <w:p w14:paraId="79025189" w14:textId="4936E05A" w:rsidR="00392C57" w:rsidRDefault="00392C57" w:rsidP="00392C57">
      <w:pPr>
        <w:spacing w:before="240" w:after="120" w:line="360" w:lineRule="auto"/>
        <w:jc w:val="both"/>
        <w:rPr>
          <w:rFonts w:ascii="Lato" w:hAnsi="Lato"/>
        </w:rPr>
      </w:pPr>
      <w:r>
        <w:rPr>
          <w:rFonts w:ascii="Lato" w:hAnsi="Lato"/>
        </w:rPr>
        <w:t>Podobnie sytuacja wygląda w przypadku podwyżek wysokości dopłaty pacjenta</w:t>
      </w:r>
      <w:r w:rsidR="00EA3852" w:rsidRPr="00020DA9">
        <w:rPr>
          <w:rFonts w:ascii="Lato" w:hAnsi="Lato"/>
        </w:rPr>
        <w:t>, gdzie prawie 93%</w:t>
      </w:r>
      <w:r w:rsidR="001F40F8" w:rsidRPr="00020DA9">
        <w:rPr>
          <w:rFonts w:ascii="Lato" w:hAnsi="Lato"/>
        </w:rPr>
        <w:t xml:space="preserve"> podwyżek dopłaty</w:t>
      </w:r>
      <w:r w:rsidR="001F40F8">
        <w:rPr>
          <w:rFonts w:ascii="Lato" w:hAnsi="Lato"/>
        </w:rPr>
        <w:t xml:space="preserve"> pacjenta wynosi mniej niż 1 zł</w:t>
      </w:r>
      <w:r>
        <w:rPr>
          <w:rFonts w:ascii="Lato" w:hAnsi="Lato"/>
        </w:rPr>
        <w:t xml:space="preserve">: </w:t>
      </w:r>
    </w:p>
    <w:p w14:paraId="68FEFC16" w14:textId="3F6800DE" w:rsidR="00392C57" w:rsidRPr="00392C57" w:rsidRDefault="00392C57" w:rsidP="00392C57">
      <w:pPr>
        <w:pStyle w:val="Akapitzlist"/>
        <w:numPr>
          <w:ilvl w:val="0"/>
          <w:numId w:val="34"/>
        </w:numPr>
        <w:spacing w:before="240" w:after="120" w:line="360" w:lineRule="auto"/>
        <w:jc w:val="both"/>
        <w:rPr>
          <w:rFonts w:ascii="Lato" w:hAnsi="Lato"/>
        </w:rPr>
      </w:pPr>
      <w:r w:rsidRPr="00392C57">
        <w:rPr>
          <w:rFonts w:ascii="Lato" w:hAnsi="Lato"/>
        </w:rPr>
        <w:t>podwyżka dopłaty pacjenta mniejsza lub równa 0,10 zł – 20</w:t>
      </w:r>
      <w:r w:rsidR="00C31A22">
        <w:rPr>
          <w:rFonts w:ascii="Lato" w:hAnsi="Lato"/>
        </w:rPr>
        <w:t>01</w:t>
      </w:r>
      <w:r w:rsidRPr="00392C57">
        <w:rPr>
          <w:rFonts w:ascii="Lato" w:hAnsi="Lato"/>
        </w:rPr>
        <w:t xml:space="preserve"> produktów,</w:t>
      </w:r>
    </w:p>
    <w:p w14:paraId="1919D9FF" w14:textId="6272A4CC" w:rsidR="00392C57" w:rsidRPr="00392C57" w:rsidRDefault="00392C57" w:rsidP="00392C57">
      <w:pPr>
        <w:pStyle w:val="Akapitzlist"/>
        <w:numPr>
          <w:ilvl w:val="0"/>
          <w:numId w:val="34"/>
        </w:numPr>
        <w:spacing w:before="240" w:after="120" w:line="360" w:lineRule="auto"/>
        <w:jc w:val="both"/>
        <w:rPr>
          <w:rFonts w:ascii="Lato" w:hAnsi="Lato"/>
        </w:rPr>
      </w:pPr>
      <w:r w:rsidRPr="00392C57">
        <w:rPr>
          <w:rFonts w:ascii="Lato" w:hAnsi="Lato"/>
        </w:rPr>
        <w:t>podwyżka dopłaty pacjenta między 0,11 zł, a 1,00 zł – 20</w:t>
      </w:r>
      <w:r w:rsidR="00C31A22">
        <w:rPr>
          <w:rFonts w:ascii="Lato" w:hAnsi="Lato"/>
        </w:rPr>
        <w:t>6</w:t>
      </w:r>
      <w:r w:rsidRPr="00392C57">
        <w:rPr>
          <w:rFonts w:ascii="Lato" w:hAnsi="Lato"/>
        </w:rPr>
        <w:t xml:space="preserve"> produktów,</w:t>
      </w:r>
    </w:p>
    <w:p w14:paraId="0FCCC4BC" w14:textId="77777777" w:rsidR="00392C57" w:rsidRPr="00392C57" w:rsidRDefault="00392C57" w:rsidP="00392C57">
      <w:pPr>
        <w:pStyle w:val="Akapitzlist"/>
        <w:numPr>
          <w:ilvl w:val="0"/>
          <w:numId w:val="34"/>
        </w:numPr>
        <w:spacing w:before="240" w:after="120" w:line="360" w:lineRule="auto"/>
        <w:jc w:val="both"/>
        <w:rPr>
          <w:rFonts w:ascii="Lato" w:hAnsi="Lato"/>
        </w:rPr>
      </w:pPr>
      <w:r w:rsidRPr="00392C57">
        <w:rPr>
          <w:rFonts w:ascii="Lato" w:hAnsi="Lato"/>
        </w:rPr>
        <w:t>podwyżka dopłaty pacjenta między 1,01 zł, a 3,00 zł – 101 produktów,</w:t>
      </w:r>
    </w:p>
    <w:p w14:paraId="3DA42382" w14:textId="5949C37F" w:rsidR="00392C57" w:rsidRPr="00392C57" w:rsidRDefault="00392C57" w:rsidP="00392C57">
      <w:pPr>
        <w:pStyle w:val="Akapitzlist"/>
        <w:numPr>
          <w:ilvl w:val="0"/>
          <w:numId w:val="34"/>
        </w:numPr>
        <w:spacing w:before="240" w:after="120" w:line="360" w:lineRule="auto"/>
        <w:jc w:val="both"/>
        <w:rPr>
          <w:rFonts w:ascii="Lato" w:hAnsi="Lato"/>
        </w:rPr>
      </w:pPr>
      <w:r w:rsidRPr="00392C57">
        <w:rPr>
          <w:rFonts w:ascii="Lato" w:hAnsi="Lato"/>
        </w:rPr>
        <w:t>podwyżka dopłaty pacjenta między 3,01 zł, a 10,00 zł – 40 produktów</w:t>
      </w:r>
      <w:r w:rsidR="001F40F8">
        <w:rPr>
          <w:rFonts w:ascii="Lato" w:hAnsi="Lato"/>
        </w:rPr>
        <w:t>,</w:t>
      </w:r>
    </w:p>
    <w:p w14:paraId="5CF30971" w14:textId="7DDDC111" w:rsidR="00392C57" w:rsidRPr="00392C57" w:rsidRDefault="00392C57" w:rsidP="00392C57">
      <w:pPr>
        <w:pStyle w:val="Akapitzlist"/>
        <w:numPr>
          <w:ilvl w:val="0"/>
          <w:numId w:val="34"/>
        </w:numPr>
        <w:spacing w:before="240" w:after="120" w:line="360" w:lineRule="auto"/>
        <w:jc w:val="both"/>
        <w:rPr>
          <w:rFonts w:ascii="Lato" w:hAnsi="Lato"/>
        </w:rPr>
      </w:pPr>
      <w:r w:rsidRPr="00392C57">
        <w:rPr>
          <w:rFonts w:ascii="Lato" w:hAnsi="Lato"/>
        </w:rPr>
        <w:t>podwyżka dopłaty pacjenta między 10,01 zł, a 50,00 zł – 27 produktów</w:t>
      </w:r>
      <w:r w:rsidR="001F40F8">
        <w:rPr>
          <w:rFonts w:ascii="Lato" w:hAnsi="Lato"/>
        </w:rPr>
        <w:t>,</w:t>
      </w:r>
    </w:p>
    <w:p w14:paraId="72BE1E5F" w14:textId="77777777" w:rsidR="00392C57" w:rsidRPr="00392C57" w:rsidRDefault="00392C57" w:rsidP="00392C57">
      <w:pPr>
        <w:pStyle w:val="Akapitzlist"/>
        <w:numPr>
          <w:ilvl w:val="0"/>
          <w:numId w:val="34"/>
        </w:numPr>
        <w:spacing w:before="240" w:after="120" w:line="360" w:lineRule="auto"/>
        <w:jc w:val="both"/>
        <w:rPr>
          <w:rFonts w:ascii="Lato" w:hAnsi="Lato"/>
        </w:rPr>
      </w:pPr>
      <w:r w:rsidRPr="00392C57">
        <w:rPr>
          <w:rFonts w:ascii="Lato" w:hAnsi="Lato"/>
        </w:rPr>
        <w:t>podwyżka dopłaty pacjenta powyżej 50,01 zł – 4 produkty.</w:t>
      </w:r>
    </w:p>
    <w:p w14:paraId="6C763259" w14:textId="195933E6" w:rsidR="00FF3453" w:rsidRDefault="00392C57" w:rsidP="008E7029">
      <w:pPr>
        <w:spacing w:before="240" w:after="120" w:line="360" w:lineRule="auto"/>
        <w:jc w:val="both"/>
        <w:rPr>
          <w:rFonts w:ascii="Lato" w:hAnsi="Lato"/>
        </w:rPr>
      </w:pPr>
      <w:r>
        <w:rPr>
          <w:rFonts w:ascii="Lato" w:hAnsi="Lato"/>
        </w:rPr>
        <w:lastRenderedPageBreak/>
        <w:t xml:space="preserve">Aż 85% produktów, u których zwiększa się dopłata pacjenta, znajdują się na wykazach darmowych leków 18- i 65+, więc w </w:t>
      </w:r>
      <w:r w:rsidR="00624B95">
        <w:rPr>
          <w:rFonts w:ascii="Lato" w:hAnsi="Lato"/>
        </w:rPr>
        <w:t>wielu przypadkach powyższe zmiany w zakresie ceny detalicznej/wielkości dopłaty pacjentów</w:t>
      </w:r>
      <w:r>
        <w:rPr>
          <w:rFonts w:ascii="Lato" w:hAnsi="Lato"/>
        </w:rPr>
        <w:t xml:space="preserve"> </w:t>
      </w:r>
      <w:r w:rsidR="00624B95">
        <w:rPr>
          <w:rFonts w:ascii="Lato" w:hAnsi="Lato"/>
        </w:rPr>
        <w:t>pozostaną neutralne wobec kosztów leczenia z perspektywy pacjentów.</w:t>
      </w:r>
    </w:p>
    <w:p w14:paraId="24CF778F" w14:textId="77777777" w:rsidR="00FF3453" w:rsidRDefault="00FF3453" w:rsidP="00FF3453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FF3453">
        <w:rPr>
          <w:rFonts w:ascii="Lato" w:hAnsi="Lato"/>
          <w:b/>
          <w:bCs/>
          <w:color w:val="00B0F0"/>
          <w:sz w:val="28"/>
          <w:szCs w:val="28"/>
        </w:rPr>
        <w:t>KARDIOLOGICZNE LEKI O UGRUNTOWANEJ SKUTECZNOŚCI</w:t>
      </w:r>
      <w:r>
        <w:rPr>
          <w:rFonts w:ascii="Lato" w:hAnsi="Lato"/>
          <w:b/>
          <w:bCs/>
          <w:color w:val="00B0F0"/>
          <w:sz w:val="28"/>
          <w:szCs w:val="28"/>
        </w:rPr>
        <w:t xml:space="preserve"> </w:t>
      </w:r>
    </w:p>
    <w:p w14:paraId="653C2FD5" w14:textId="77777777" w:rsidR="00FF3453" w:rsidRDefault="00FF3453" w:rsidP="00FF3453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>
        <w:rPr>
          <w:rFonts w:ascii="Lato" w:hAnsi="Lato"/>
          <w:b/>
          <w:bCs/>
          <w:color w:val="00B0F0"/>
          <w:sz w:val="28"/>
          <w:szCs w:val="28"/>
        </w:rPr>
        <w:t xml:space="preserve">ORAZ </w:t>
      </w:r>
    </w:p>
    <w:p w14:paraId="5D6B1ADA" w14:textId="462A70F5" w:rsidR="00FF3453" w:rsidRPr="00FF3453" w:rsidRDefault="00FF3453" w:rsidP="00FF3453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>
        <w:rPr>
          <w:rFonts w:ascii="Lato" w:hAnsi="Lato"/>
          <w:b/>
          <w:bCs/>
          <w:color w:val="00B0F0"/>
          <w:sz w:val="28"/>
          <w:szCs w:val="28"/>
        </w:rPr>
        <w:t>KWESTIA PRESKRYPCJI PRODUKTÓW Z RYWAROKSABANEM I DABIGATRANEM W LECZENIU PROFILAKTYCZNYM PACJENTÓW Z MIGOTANIEM PRZEDSIONKÓW OD 1 STYCZNIA 2025 R.</w:t>
      </w:r>
    </w:p>
    <w:p w14:paraId="1991376A" w14:textId="77777777" w:rsidR="00FF3453" w:rsidRDefault="00FF3453" w:rsidP="00FF3453">
      <w:pPr>
        <w:spacing w:line="360" w:lineRule="auto"/>
        <w:rPr>
          <w:rFonts w:ascii="Lato" w:hAnsi="Lato"/>
        </w:rPr>
      </w:pPr>
      <w:r>
        <w:rPr>
          <w:rFonts w:ascii="Lato" w:hAnsi="Lato"/>
        </w:rPr>
        <w:t xml:space="preserve">Znowelizowana ustawy </w:t>
      </w:r>
      <w:r w:rsidRPr="00097962">
        <w:rPr>
          <w:rFonts w:ascii="Lato" w:hAnsi="Lato"/>
        </w:rPr>
        <w:t>o refundacji wprowadziła</w:t>
      </w:r>
      <w:r>
        <w:rPr>
          <w:rFonts w:ascii="Lato" w:hAnsi="Lato"/>
        </w:rPr>
        <w:t xml:space="preserve"> </w:t>
      </w:r>
      <w:r w:rsidRPr="00097962">
        <w:rPr>
          <w:rFonts w:ascii="Lato" w:hAnsi="Lato"/>
        </w:rPr>
        <w:t>nową ścieżkę procedowania</w:t>
      </w:r>
      <w:r>
        <w:rPr>
          <w:rFonts w:ascii="Lato" w:hAnsi="Lato"/>
        </w:rPr>
        <w:t xml:space="preserve"> wniosków refundacyjnych</w:t>
      </w:r>
      <w:r w:rsidRPr="00097962">
        <w:rPr>
          <w:rFonts w:ascii="Lato" w:hAnsi="Lato"/>
        </w:rPr>
        <w:t xml:space="preserve"> w ramach art. 30a</w:t>
      </w:r>
      <w:r>
        <w:rPr>
          <w:rFonts w:ascii="Lato" w:hAnsi="Lato"/>
        </w:rPr>
        <w:t xml:space="preserve">. Przepisy określone w art. 30a ustawy o refundacji dotyczą leków wymagających stosowania dłużej niż 30 dni w określonym stanie klinicznym, rekomendowanych w wytycznych postępowania klinicznego, dla których wnioskodawca nie złożył dotychczas wniosku o objęcie refundacją i upłynął okres wyłączności rynkowej. Na podstawia art. 30a ustawy o refundacji Agencja Oceny Technologii Medycznych i Taryfikacji, </w:t>
      </w:r>
      <w:r w:rsidRPr="009A28A0">
        <w:rPr>
          <w:rFonts w:ascii="Lato" w:hAnsi="Lato"/>
        </w:rPr>
        <w:t xml:space="preserve">po zasięgnięciu opinii Rady Przejrzystości, Konsultantów </w:t>
      </w:r>
      <w:proofErr w:type="gramStart"/>
      <w:r w:rsidRPr="009A28A0">
        <w:rPr>
          <w:rFonts w:ascii="Lato" w:hAnsi="Lato"/>
        </w:rPr>
        <w:t>Krajowych  oraz</w:t>
      </w:r>
      <w:proofErr w:type="gramEnd"/>
      <w:r w:rsidRPr="009A28A0">
        <w:rPr>
          <w:rFonts w:ascii="Lato" w:hAnsi="Lato"/>
        </w:rPr>
        <w:t xml:space="preserve"> Rzecznika Praw Pacjenta</w:t>
      </w:r>
      <w:r>
        <w:rPr>
          <w:rFonts w:ascii="Lato" w:hAnsi="Lato"/>
        </w:rPr>
        <w:t xml:space="preserve">, przygotowała pierwszy wykaz leków o ugruntowanej skuteczności, dotyczący leków we wskazaniach kardiologicznych. </w:t>
      </w:r>
    </w:p>
    <w:p w14:paraId="3CFF5776" w14:textId="1065A01F" w:rsidR="00FF3453" w:rsidRPr="009658E1" w:rsidRDefault="00FF3453" w:rsidP="00FF3453">
      <w:pPr>
        <w:spacing w:line="360" w:lineRule="auto"/>
        <w:rPr>
          <w:rFonts w:ascii="Lato" w:hAnsi="Lato"/>
        </w:rPr>
      </w:pPr>
      <w:r>
        <w:rPr>
          <w:rFonts w:ascii="Lato" w:hAnsi="Lato"/>
        </w:rPr>
        <w:t xml:space="preserve">Na podstawie ww. wykazu 11 października 2024 r. Minister Zdrowia opublikował </w:t>
      </w:r>
      <w:r w:rsidRPr="0039373D">
        <w:rPr>
          <w:rFonts w:ascii="Lato" w:hAnsi="Lato"/>
          <w:b/>
          <w:bCs/>
        </w:rPr>
        <w:t xml:space="preserve">listę kardiologicznych </w:t>
      </w:r>
      <w:proofErr w:type="gramStart"/>
      <w:r w:rsidRPr="0039373D">
        <w:rPr>
          <w:rFonts w:ascii="Lato" w:hAnsi="Lato"/>
          <w:b/>
          <w:bCs/>
        </w:rPr>
        <w:t>leków  o</w:t>
      </w:r>
      <w:proofErr w:type="gramEnd"/>
      <w:r w:rsidRPr="0039373D">
        <w:rPr>
          <w:rFonts w:ascii="Lato" w:hAnsi="Lato"/>
          <w:b/>
          <w:bCs/>
        </w:rPr>
        <w:t xml:space="preserve"> ugruntowanej skuteczności</w:t>
      </w:r>
      <w:r>
        <w:rPr>
          <w:rFonts w:ascii="Lato" w:hAnsi="Lato"/>
        </w:rPr>
        <w:t xml:space="preserve">, na której znalazło się </w:t>
      </w:r>
      <w:r w:rsidRPr="003D1859">
        <w:rPr>
          <w:rFonts w:ascii="Lato" w:hAnsi="Lato"/>
          <w:b/>
          <w:bCs/>
        </w:rPr>
        <w:t>14 cząsteczko-wskazań</w:t>
      </w:r>
      <w:r>
        <w:rPr>
          <w:rFonts w:ascii="Lato" w:hAnsi="Lato"/>
        </w:rPr>
        <w:t xml:space="preserve"> informując tym samym podmioty odpowiedzialne, których technologie znalazły się na ww. liście o możliwości składania wniosków refundacyjnych. W związku ze złożonymi wnioskami o objęcie refundacją leków w ramach ww. listy kardiologicznych </w:t>
      </w:r>
      <w:proofErr w:type="gramStart"/>
      <w:r>
        <w:rPr>
          <w:rFonts w:ascii="Lato" w:hAnsi="Lato"/>
        </w:rPr>
        <w:t>leków  o</w:t>
      </w:r>
      <w:proofErr w:type="gramEnd"/>
      <w:r>
        <w:rPr>
          <w:rFonts w:ascii="Lato" w:hAnsi="Lato"/>
        </w:rPr>
        <w:t xml:space="preserve"> ugruntowanej skuteczności od 1 stycznia 2025 r. refundacją zostało </w:t>
      </w:r>
      <w:r w:rsidRPr="002E4934">
        <w:rPr>
          <w:rFonts w:ascii="Lato" w:hAnsi="Lato"/>
        </w:rPr>
        <w:t xml:space="preserve">objętych 6 </w:t>
      </w:r>
      <w:r>
        <w:rPr>
          <w:rFonts w:ascii="Lato" w:hAnsi="Lato"/>
        </w:rPr>
        <w:t xml:space="preserve">nowych </w:t>
      </w:r>
      <w:r w:rsidRPr="002E4934">
        <w:rPr>
          <w:rFonts w:ascii="Lato" w:hAnsi="Lato"/>
        </w:rPr>
        <w:t>cząsteczko – wskazań</w:t>
      </w:r>
      <w:r>
        <w:rPr>
          <w:rFonts w:ascii="Lato" w:hAnsi="Lato"/>
        </w:rPr>
        <w:t xml:space="preserve"> dedykowanych kardiologicznym jednostkom chorobowym, co wiązało się z wydaniem dodatkowych </w:t>
      </w:r>
      <w:r w:rsidRPr="003D1859">
        <w:rPr>
          <w:rFonts w:ascii="Lato" w:hAnsi="Lato"/>
          <w:b/>
          <w:bCs/>
        </w:rPr>
        <w:t>6</w:t>
      </w:r>
      <w:r>
        <w:rPr>
          <w:rFonts w:ascii="Lato" w:hAnsi="Lato"/>
          <w:b/>
          <w:bCs/>
        </w:rPr>
        <w:t>7</w:t>
      </w:r>
      <w:r w:rsidRPr="003D1859">
        <w:rPr>
          <w:rFonts w:ascii="Lato" w:hAnsi="Lato"/>
          <w:b/>
          <w:bCs/>
        </w:rPr>
        <w:t xml:space="preserve"> decyzji refundacyjnych</w:t>
      </w:r>
      <w:r w:rsidR="00367C47">
        <w:rPr>
          <w:rFonts w:ascii="Lato" w:hAnsi="Lato"/>
          <w:b/>
          <w:bCs/>
        </w:rPr>
        <w:t>:</w:t>
      </w:r>
    </w:p>
    <w:tbl>
      <w:tblPr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693"/>
        <w:gridCol w:w="8255"/>
      </w:tblGrid>
      <w:tr w:rsidR="00367C47" w:rsidRPr="00367C47" w14:paraId="6402F555" w14:textId="77777777" w:rsidTr="002A4B11">
        <w:trPr>
          <w:trHeight w:val="453"/>
        </w:trPr>
        <w:tc>
          <w:tcPr>
            <w:tcW w:w="2972" w:type="dxa"/>
            <w:shd w:val="clear" w:color="auto" w:fill="0094C8"/>
            <w:vAlign w:val="center"/>
            <w:hideMark/>
          </w:tcPr>
          <w:p w14:paraId="066C0881" w14:textId="77777777" w:rsidR="00367C47" w:rsidRPr="000A3571" w:rsidRDefault="00367C4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b/>
                <w:bCs/>
                <w:color w:val="FFFFFF"/>
                <w:lang w:eastAsia="pl-PL"/>
              </w:rPr>
            </w:pPr>
            <w:r w:rsidRPr="000A3571">
              <w:rPr>
                <w:rFonts w:ascii="Lato" w:eastAsia="Times New Roman" w:hAnsi="Lato" w:cs="Calibri"/>
                <w:b/>
                <w:bCs/>
                <w:color w:val="FFFFFF"/>
                <w:lang w:eastAsia="pl-PL"/>
              </w:rPr>
              <w:t>Substancja czynna</w:t>
            </w:r>
          </w:p>
        </w:tc>
        <w:tc>
          <w:tcPr>
            <w:tcW w:w="2693" w:type="dxa"/>
            <w:shd w:val="clear" w:color="auto" w:fill="0094C8"/>
            <w:vAlign w:val="center"/>
            <w:hideMark/>
          </w:tcPr>
          <w:p w14:paraId="798EF522" w14:textId="77777777" w:rsidR="00367C47" w:rsidRPr="000A3571" w:rsidRDefault="00367C4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b/>
                <w:bCs/>
                <w:color w:val="FFFFFF"/>
                <w:lang w:eastAsia="pl-PL"/>
              </w:rPr>
            </w:pPr>
            <w:r w:rsidRPr="000A3571">
              <w:rPr>
                <w:rFonts w:ascii="Lato" w:eastAsia="Times New Roman" w:hAnsi="Lato" w:cs="Calibri"/>
                <w:b/>
                <w:bCs/>
                <w:color w:val="FFFFFF"/>
                <w:lang w:eastAsia="pl-PL"/>
              </w:rPr>
              <w:t>Nazwy handlowe</w:t>
            </w:r>
          </w:p>
        </w:tc>
        <w:tc>
          <w:tcPr>
            <w:tcW w:w="8255" w:type="dxa"/>
            <w:shd w:val="clear" w:color="auto" w:fill="0094C8"/>
            <w:vAlign w:val="center"/>
            <w:hideMark/>
          </w:tcPr>
          <w:p w14:paraId="7C5F02FF" w14:textId="77777777" w:rsidR="00367C47" w:rsidRPr="000A3571" w:rsidRDefault="00367C4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b/>
                <w:bCs/>
                <w:color w:val="FFFFFF"/>
                <w:lang w:eastAsia="pl-PL"/>
              </w:rPr>
            </w:pPr>
            <w:r w:rsidRPr="000A3571">
              <w:rPr>
                <w:rFonts w:ascii="Lato" w:eastAsia="Times New Roman" w:hAnsi="Lato" w:cs="Calibri"/>
                <w:b/>
                <w:bCs/>
                <w:color w:val="FFFFFF"/>
                <w:lang w:eastAsia="pl-PL"/>
              </w:rPr>
              <w:t>Wskazanie</w:t>
            </w:r>
          </w:p>
        </w:tc>
      </w:tr>
      <w:tr w:rsidR="00367C47" w:rsidRPr="00367C47" w14:paraId="35003992" w14:textId="77777777" w:rsidTr="002A4B11">
        <w:trPr>
          <w:trHeight w:val="1020"/>
        </w:trPr>
        <w:tc>
          <w:tcPr>
            <w:tcW w:w="2972" w:type="dxa"/>
            <w:shd w:val="clear" w:color="auto" w:fill="auto"/>
            <w:vAlign w:val="center"/>
            <w:hideMark/>
          </w:tcPr>
          <w:p w14:paraId="608AB217" w14:textId="09C72D62" w:rsidR="00367C47" w:rsidRPr="00437B05" w:rsidRDefault="006F1E88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37B05">
              <w:rPr>
                <w:rFonts w:ascii="Lato" w:eastAsia="Times New Roman" w:hAnsi="Lato" w:cs="Calibri"/>
                <w:i/>
                <w:iCs/>
                <w:color w:val="000000"/>
                <w:sz w:val="18"/>
                <w:szCs w:val="18"/>
                <w:lang w:eastAsia="pl-PL"/>
              </w:rPr>
              <w:t>d</w:t>
            </w:r>
            <w:r w:rsidR="00367C47" w:rsidRPr="00437B05">
              <w:rPr>
                <w:rFonts w:ascii="Lato" w:eastAsia="Times New Roman" w:hAnsi="Lato" w:cs="Calibri"/>
                <w:i/>
                <w:iCs/>
                <w:color w:val="000000"/>
                <w:sz w:val="18"/>
                <w:szCs w:val="18"/>
                <w:lang w:eastAsia="pl-PL"/>
              </w:rPr>
              <w:t>abigatran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3DF11FE" w14:textId="77777777" w:rsidR="00367C47" w:rsidRPr="006F1E88" w:rsidRDefault="00367C4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t>Daxanlo</w:t>
            </w:r>
            <w:proofErr w:type="spellEnd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br/>
            </w: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t>Telexer</w:t>
            </w:r>
            <w:proofErr w:type="spellEnd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br/>
              <w:t xml:space="preserve">Dabigatran </w:t>
            </w: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t>Eteksylan</w:t>
            </w:r>
            <w:proofErr w:type="spellEnd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t>Stada</w:t>
            </w:r>
            <w:proofErr w:type="spellEnd"/>
          </w:p>
        </w:tc>
        <w:tc>
          <w:tcPr>
            <w:tcW w:w="8255" w:type="dxa"/>
            <w:shd w:val="clear" w:color="auto" w:fill="auto"/>
            <w:vAlign w:val="center"/>
            <w:hideMark/>
          </w:tcPr>
          <w:p w14:paraId="5FC21DDB" w14:textId="43083871" w:rsidR="00367C47" w:rsidRPr="006F1E88" w:rsidRDefault="00367C4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Profilaktyka udarów i zatorowości obwodowej u dorosłych pacjentów z migotaniem przedsionków niezwiązanym z wadą zastawkową, z jednym lub kilkoma czynnikami ryzyka, takimi jak wcześniejszy udar lub przemijający napad niedokrwienny, wiek ≥75 lat, nadciśnienie tętnicze, cukrzyca, niewydolność serca (klasa ≥II wg NYHA)</w:t>
            </w:r>
          </w:p>
        </w:tc>
      </w:tr>
      <w:tr w:rsidR="00367C47" w:rsidRPr="00367C47" w14:paraId="13AE2C6F" w14:textId="77777777" w:rsidTr="002A4B11">
        <w:trPr>
          <w:trHeight w:val="510"/>
        </w:trPr>
        <w:tc>
          <w:tcPr>
            <w:tcW w:w="2972" w:type="dxa"/>
            <w:shd w:val="clear" w:color="auto" w:fill="auto"/>
            <w:vAlign w:val="center"/>
            <w:hideMark/>
          </w:tcPr>
          <w:p w14:paraId="64AD55CD" w14:textId="71C95076" w:rsidR="00367C47" w:rsidRPr="00437B05" w:rsidRDefault="006F1E88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37B05">
              <w:rPr>
                <w:rFonts w:ascii="Lato" w:eastAsia="Times New Roman" w:hAnsi="Lato" w:cs="Calibri"/>
                <w:i/>
                <w:iCs/>
                <w:color w:val="000000"/>
                <w:sz w:val="18"/>
                <w:szCs w:val="18"/>
                <w:lang w:eastAsia="pl-PL"/>
              </w:rPr>
              <w:lastRenderedPageBreak/>
              <w:t>eplerenon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C1896A" w14:textId="77777777" w:rsidR="00367C47" w:rsidRPr="006F1E88" w:rsidRDefault="00367C4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Espiro</w:t>
            </w:r>
            <w:proofErr w:type="spellEnd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Nonpres</w:t>
            </w:r>
            <w:proofErr w:type="spellEnd"/>
          </w:p>
        </w:tc>
        <w:tc>
          <w:tcPr>
            <w:tcW w:w="8255" w:type="dxa"/>
            <w:shd w:val="clear" w:color="auto" w:fill="auto"/>
            <w:vAlign w:val="center"/>
            <w:hideMark/>
          </w:tcPr>
          <w:p w14:paraId="63C18F95" w14:textId="77777777" w:rsidR="00367C47" w:rsidRPr="006F1E88" w:rsidRDefault="00367C4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Niewydolność mięśnia sercowego</w:t>
            </w:r>
          </w:p>
        </w:tc>
      </w:tr>
      <w:tr w:rsidR="00367C47" w:rsidRPr="00367C47" w14:paraId="11E1B8A0" w14:textId="77777777" w:rsidTr="002A4B11">
        <w:trPr>
          <w:trHeight w:val="300"/>
        </w:trPr>
        <w:tc>
          <w:tcPr>
            <w:tcW w:w="2972" w:type="dxa"/>
            <w:shd w:val="clear" w:color="auto" w:fill="auto"/>
            <w:vAlign w:val="center"/>
            <w:hideMark/>
          </w:tcPr>
          <w:p w14:paraId="1BEB67FB" w14:textId="4DA3E7AB" w:rsidR="00367C47" w:rsidRPr="00437B05" w:rsidRDefault="006F1E88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37B05">
              <w:rPr>
                <w:rFonts w:ascii="Lato" w:eastAsia="Times New Roman" w:hAnsi="Lato" w:cs="Calibri"/>
                <w:i/>
                <w:iCs/>
                <w:color w:val="000000"/>
                <w:sz w:val="18"/>
                <w:szCs w:val="18"/>
                <w:lang w:eastAsia="pl-PL"/>
              </w:rPr>
              <w:t>metyldopa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00D0DE" w14:textId="77777777" w:rsidR="00367C47" w:rsidRPr="006F1E88" w:rsidRDefault="00367C4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Dopegyt</w:t>
            </w:r>
            <w:proofErr w:type="spellEnd"/>
          </w:p>
        </w:tc>
        <w:tc>
          <w:tcPr>
            <w:tcW w:w="8255" w:type="dxa"/>
            <w:shd w:val="clear" w:color="auto" w:fill="auto"/>
            <w:vAlign w:val="center"/>
            <w:hideMark/>
          </w:tcPr>
          <w:p w14:paraId="07598F79" w14:textId="77777777" w:rsidR="00367C47" w:rsidRPr="006F1E88" w:rsidRDefault="00367C4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Nadciśnienie tętnicze w ciąży</w:t>
            </w:r>
          </w:p>
        </w:tc>
      </w:tr>
      <w:tr w:rsidR="00367C47" w:rsidRPr="00367C47" w14:paraId="481C1776" w14:textId="77777777" w:rsidTr="002A4B11">
        <w:trPr>
          <w:trHeight w:val="2550"/>
        </w:trPr>
        <w:tc>
          <w:tcPr>
            <w:tcW w:w="2972" w:type="dxa"/>
            <w:shd w:val="clear" w:color="auto" w:fill="auto"/>
            <w:vAlign w:val="center"/>
            <w:hideMark/>
          </w:tcPr>
          <w:p w14:paraId="1B749749" w14:textId="1224AE68" w:rsidR="00367C47" w:rsidRPr="00437B05" w:rsidRDefault="006F1E88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37B05">
              <w:rPr>
                <w:rFonts w:ascii="Lato" w:eastAsia="Times New Roman" w:hAnsi="Lato" w:cs="Calibri"/>
                <w:i/>
                <w:iCs/>
                <w:color w:val="000000"/>
                <w:sz w:val="18"/>
                <w:szCs w:val="18"/>
                <w:lang w:eastAsia="pl-PL"/>
              </w:rPr>
              <w:t>riwaroxaban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2DC9818" w14:textId="77777777" w:rsidR="00367C47" w:rsidRPr="006F1E88" w:rsidRDefault="00367C4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Xanirva</w:t>
            </w:r>
            <w:proofErr w:type="spellEnd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Xiltess</w:t>
            </w:r>
            <w:proofErr w:type="spellEnd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Kardatuxan</w:t>
            </w:r>
            <w:proofErr w:type="spellEnd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Mibrex</w:t>
            </w:r>
            <w:proofErr w:type="spellEnd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Rixacam</w:t>
            </w:r>
            <w:proofErr w:type="spellEnd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Vixargio</w:t>
            </w:r>
            <w:proofErr w:type="spellEnd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Thinban</w:t>
            </w:r>
            <w:proofErr w:type="spellEnd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Bevimlar</w:t>
            </w:r>
            <w:proofErr w:type="spellEnd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Runaplax</w:t>
            </w:r>
            <w:proofErr w:type="spellEnd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Zarixa</w:t>
            </w:r>
            <w:proofErr w:type="spellEnd"/>
          </w:p>
        </w:tc>
        <w:tc>
          <w:tcPr>
            <w:tcW w:w="8255" w:type="dxa"/>
            <w:shd w:val="clear" w:color="auto" w:fill="auto"/>
            <w:vAlign w:val="center"/>
            <w:hideMark/>
          </w:tcPr>
          <w:p w14:paraId="43C3C2FC" w14:textId="2D6A2B15" w:rsidR="00367C47" w:rsidRPr="006F1E88" w:rsidRDefault="00367C4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Profilaktyka udaru i zatorowości obwodowej u dorosłych pacjentów z migotaniem przedsionków niezwiązanym z wadą zastawkową, z jednym lub kilkoma czynnikami ryzyka, takimi </w:t>
            </w:r>
            <w:proofErr w:type="gram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jak  wcześniejszy</w:t>
            </w:r>
            <w:proofErr w:type="gramEnd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udar lub przemijający napad niedokrwienny, wiek ≥75 lat, nadciśnienie tętnicze, cukrzyca, zastoinowa niewydolność serca</w:t>
            </w:r>
          </w:p>
        </w:tc>
      </w:tr>
      <w:tr w:rsidR="00367C47" w:rsidRPr="00367C47" w14:paraId="3932D2A2" w14:textId="77777777" w:rsidTr="002A4B11">
        <w:trPr>
          <w:trHeight w:val="1275"/>
        </w:trPr>
        <w:tc>
          <w:tcPr>
            <w:tcW w:w="2972" w:type="dxa"/>
            <w:shd w:val="clear" w:color="auto" w:fill="auto"/>
            <w:vAlign w:val="center"/>
            <w:hideMark/>
          </w:tcPr>
          <w:p w14:paraId="78BCE281" w14:textId="1BF37940" w:rsidR="00367C47" w:rsidRPr="00437B05" w:rsidRDefault="006F1E88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37B05">
              <w:rPr>
                <w:rFonts w:ascii="Lato" w:eastAsia="Times New Roman" w:hAnsi="Lato" w:cs="Calibri"/>
                <w:i/>
                <w:iCs/>
                <w:color w:val="000000"/>
                <w:sz w:val="18"/>
                <w:szCs w:val="18"/>
                <w:lang w:eastAsia="pl-PL"/>
              </w:rPr>
              <w:t>torasemid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14A6A80" w14:textId="77777777" w:rsidR="00367C47" w:rsidRPr="006F1E88" w:rsidRDefault="00367C4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t>Ebozan</w:t>
            </w:r>
            <w:proofErr w:type="spellEnd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br/>
            </w: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t>Toramide</w:t>
            </w:r>
            <w:proofErr w:type="spellEnd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br/>
            </w: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t>Diuver</w:t>
            </w:r>
            <w:proofErr w:type="spellEnd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br/>
            </w: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t>Toradiur</w:t>
            </w:r>
            <w:proofErr w:type="spellEnd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br/>
            </w: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t>Diured</w:t>
            </w:r>
            <w:proofErr w:type="spellEnd"/>
          </w:p>
        </w:tc>
        <w:tc>
          <w:tcPr>
            <w:tcW w:w="8255" w:type="dxa"/>
            <w:shd w:val="clear" w:color="auto" w:fill="auto"/>
            <w:vAlign w:val="center"/>
            <w:hideMark/>
          </w:tcPr>
          <w:p w14:paraId="1EE458E4" w14:textId="77777777" w:rsidR="00367C47" w:rsidRPr="006F1E88" w:rsidRDefault="00367C4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Niewydolność mięśnia sercowego</w:t>
            </w:r>
          </w:p>
        </w:tc>
      </w:tr>
      <w:tr w:rsidR="00367C47" w:rsidRPr="00367C47" w14:paraId="346AB95E" w14:textId="77777777" w:rsidTr="002A4B11">
        <w:trPr>
          <w:trHeight w:val="510"/>
        </w:trPr>
        <w:tc>
          <w:tcPr>
            <w:tcW w:w="2972" w:type="dxa"/>
            <w:shd w:val="clear" w:color="auto" w:fill="auto"/>
            <w:vAlign w:val="center"/>
            <w:hideMark/>
          </w:tcPr>
          <w:p w14:paraId="6DC771D8" w14:textId="384A72F2" w:rsidR="00367C47" w:rsidRPr="00437B05" w:rsidRDefault="006F1E88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37B05">
              <w:rPr>
                <w:rFonts w:ascii="Lato" w:eastAsia="Times New Roman" w:hAnsi="Lato" w:cs="Calibri"/>
                <w:i/>
                <w:iCs/>
                <w:color w:val="000000"/>
                <w:sz w:val="18"/>
                <w:szCs w:val="18"/>
                <w:lang w:eastAsia="pl-PL"/>
              </w:rPr>
              <w:t>trimetazydyna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204643C" w14:textId="77777777" w:rsidR="00367C47" w:rsidRPr="006F1E88" w:rsidRDefault="00367C4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</w:pPr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t>Preductal MR</w:t>
            </w:r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br/>
            </w: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t>Protevasc</w:t>
            </w:r>
            <w:proofErr w:type="spellEnd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t xml:space="preserve"> SR</w:t>
            </w:r>
          </w:p>
          <w:p w14:paraId="17675DAA" w14:textId="387EE4A0" w:rsidR="00072A7E" w:rsidRPr="006F1E88" w:rsidRDefault="00072A7E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t>Metazydyna</w:t>
            </w:r>
            <w:proofErr w:type="spellEnd"/>
          </w:p>
        </w:tc>
        <w:tc>
          <w:tcPr>
            <w:tcW w:w="8255" w:type="dxa"/>
            <w:shd w:val="clear" w:color="auto" w:fill="auto"/>
            <w:vAlign w:val="center"/>
            <w:hideMark/>
          </w:tcPr>
          <w:p w14:paraId="7380EF56" w14:textId="77777777" w:rsidR="00367C47" w:rsidRPr="006F1E88" w:rsidRDefault="00367C47" w:rsidP="006F1E8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Leczenie dorosłych pacjentów ze stabilną dławicą piersiową, u których leczenie </w:t>
            </w:r>
            <w:proofErr w:type="spellStart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przeciwdławicowe</w:t>
            </w:r>
            <w:proofErr w:type="spellEnd"/>
            <w:r w:rsidRPr="006F1E8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pierwszego rzutu jest niewystarczające lub nie jest tolerowane</w:t>
            </w:r>
          </w:p>
        </w:tc>
      </w:tr>
    </w:tbl>
    <w:p w14:paraId="477785F8" w14:textId="77777777" w:rsidR="00FF3453" w:rsidRDefault="00FF3453" w:rsidP="00FF3453">
      <w:pPr>
        <w:spacing w:line="360" w:lineRule="auto"/>
        <w:rPr>
          <w:rFonts w:ascii="Lato" w:hAnsi="Lato"/>
        </w:rPr>
      </w:pPr>
    </w:p>
    <w:p w14:paraId="4F5B4B6B" w14:textId="1FBB5599" w:rsidR="00FF3453" w:rsidRDefault="006678F1" w:rsidP="00FF3453">
      <w:pPr>
        <w:spacing w:line="360" w:lineRule="auto"/>
        <w:rPr>
          <w:rFonts w:ascii="Lato" w:hAnsi="Lato"/>
        </w:rPr>
      </w:pPr>
      <w:r>
        <w:rPr>
          <w:rFonts w:ascii="Lato" w:hAnsi="Lato"/>
        </w:rPr>
        <w:t>P</w:t>
      </w:r>
      <w:r w:rsidR="00FF3453" w:rsidRPr="00FC3C68">
        <w:rPr>
          <w:rFonts w:ascii="Lato" w:hAnsi="Lato"/>
        </w:rPr>
        <w:t xml:space="preserve">rodukty lecznicze z </w:t>
      </w:r>
      <w:proofErr w:type="spellStart"/>
      <w:r w:rsidR="00FF3453" w:rsidRPr="00FC3C68">
        <w:rPr>
          <w:rFonts w:ascii="Lato" w:hAnsi="Lato"/>
        </w:rPr>
        <w:t>rywaroksabanem</w:t>
      </w:r>
      <w:proofErr w:type="spellEnd"/>
      <w:r w:rsidR="00FF3453" w:rsidRPr="00FC3C68">
        <w:rPr>
          <w:rFonts w:ascii="Lato" w:hAnsi="Lato"/>
        </w:rPr>
        <w:t xml:space="preserve"> i </w:t>
      </w:r>
      <w:proofErr w:type="spellStart"/>
      <w:r w:rsidR="00FF3453" w:rsidRPr="00FC3C68">
        <w:rPr>
          <w:rFonts w:ascii="Lato" w:hAnsi="Lato"/>
        </w:rPr>
        <w:t>dabigatranem</w:t>
      </w:r>
      <w:proofErr w:type="spellEnd"/>
      <w:r w:rsidR="00FF3453" w:rsidRPr="00FC3C68">
        <w:rPr>
          <w:rFonts w:ascii="Lato" w:hAnsi="Lato"/>
        </w:rPr>
        <w:t xml:space="preserve"> będą dostępne w wyżej wymienionych wskazaniach klinicznych</w:t>
      </w:r>
      <w:r>
        <w:rPr>
          <w:rFonts w:ascii="Lato" w:hAnsi="Lato"/>
        </w:rPr>
        <w:t xml:space="preserve"> wyłącznie</w:t>
      </w:r>
      <w:r w:rsidR="00FF3453" w:rsidRPr="00FC3C68">
        <w:rPr>
          <w:rFonts w:ascii="Lato" w:hAnsi="Lato"/>
        </w:rPr>
        <w:t xml:space="preserve"> za odpłatnością 30%</w:t>
      </w:r>
      <w:r>
        <w:rPr>
          <w:rFonts w:ascii="Lato" w:hAnsi="Lato"/>
        </w:rPr>
        <w:t xml:space="preserve"> - </w:t>
      </w:r>
      <w:r w:rsidR="00FF3453" w:rsidRPr="008E7029">
        <w:rPr>
          <w:rFonts w:ascii="Lato" w:hAnsi="Lato"/>
          <w:b/>
          <w:bCs/>
        </w:rPr>
        <w:t>nowe wskazanie nie zostało uwzględnione na wykazie bezpłatnych leków dla pacjentów po ukończeniu 65. roku życia</w:t>
      </w:r>
      <w:r w:rsidR="002F3959" w:rsidRPr="008E7029">
        <w:rPr>
          <w:rFonts w:ascii="Lato" w:hAnsi="Lato"/>
          <w:b/>
          <w:bCs/>
        </w:rPr>
        <w:t>.</w:t>
      </w:r>
      <w:r w:rsidR="002F3959">
        <w:rPr>
          <w:rFonts w:ascii="Lato" w:hAnsi="Lato"/>
        </w:rPr>
        <w:t xml:space="preserve"> Tym samym Ministerstwo Zdrowia zwraca szczególną uwagę na prawidłowy proces preskrypcji oraz ewentualnej substytucji na poziomie aptecznym tej grupy produktów. Szczegółowe wyjaśnienia zostały zawarte w niedawno opublikowanym komunikacie Ministra Zdrowia, dostępnym pod adresem:</w:t>
      </w:r>
    </w:p>
    <w:p w14:paraId="7C6916EB" w14:textId="77777777" w:rsidR="00FF3453" w:rsidRDefault="00FF3453" w:rsidP="00FF3453">
      <w:pPr>
        <w:spacing w:line="360" w:lineRule="auto"/>
        <w:rPr>
          <w:rFonts w:ascii="Lato" w:hAnsi="Lato"/>
        </w:rPr>
      </w:pPr>
      <w:hyperlink r:id="rId11" w:history="1">
        <w:r w:rsidRPr="000F5AA6">
          <w:rPr>
            <w:rStyle w:val="Hipercze"/>
            <w:rFonts w:ascii="Lato" w:hAnsi="Lato"/>
          </w:rPr>
          <w:t>https://www.gov.pl/web/zdrowie/komunikat-ministra-zdrowia-w-sprawie-refundacji-lekow-z-rywaroksabanem-i-dabigatranem-w-leczeniu-pacjentow-z-migotaniem-przedsionkow</w:t>
        </w:r>
      </w:hyperlink>
    </w:p>
    <w:p w14:paraId="66A12769" w14:textId="30F05AFF" w:rsidR="00FF3453" w:rsidRDefault="00FF3453" w:rsidP="00FF3453">
      <w:pPr>
        <w:spacing w:line="360" w:lineRule="auto"/>
        <w:rPr>
          <w:rFonts w:ascii="Lato" w:hAnsi="Lato"/>
        </w:rPr>
      </w:pPr>
      <w:r>
        <w:rPr>
          <w:rFonts w:ascii="Lato" w:hAnsi="Lato"/>
        </w:rPr>
        <w:lastRenderedPageBreak/>
        <w:t>Ministerstwa Zdrowia</w:t>
      </w:r>
      <w:r w:rsidR="002F3959">
        <w:rPr>
          <w:rFonts w:ascii="Lato" w:hAnsi="Lato"/>
        </w:rPr>
        <w:t xml:space="preserve"> informuje, iż </w:t>
      </w:r>
      <w:r>
        <w:rPr>
          <w:rFonts w:ascii="Lato" w:hAnsi="Lato"/>
        </w:rPr>
        <w:t xml:space="preserve">nadal </w:t>
      </w:r>
      <w:r w:rsidR="002F3959">
        <w:rPr>
          <w:rFonts w:ascii="Lato" w:hAnsi="Lato"/>
        </w:rPr>
        <w:t>przedkładane</w:t>
      </w:r>
      <w:r>
        <w:rPr>
          <w:rFonts w:ascii="Lato" w:hAnsi="Lato"/>
        </w:rPr>
        <w:t xml:space="preserve"> </w:t>
      </w:r>
      <w:r w:rsidR="002F3959">
        <w:rPr>
          <w:rFonts w:ascii="Lato" w:hAnsi="Lato"/>
        </w:rPr>
        <w:t>oraz</w:t>
      </w:r>
      <w:r>
        <w:rPr>
          <w:rFonts w:ascii="Lato" w:hAnsi="Lato"/>
        </w:rPr>
        <w:t xml:space="preserve"> procedowane</w:t>
      </w:r>
      <w:r w:rsidR="002F3959">
        <w:rPr>
          <w:rFonts w:ascii="Lato" w:hAnsi="Lato"/>
        </w:rPr>
        <w:t xml:space="preserve"> są kolejne</w:t>
      </w:r>
      <w:r>
        <w:rPr>
          <w:rFonts w:ascii="Lato" w:hAnsi="Lato"/>
        </w:rPr>
        <w:t xml:space="preserve"> wnioski o objęcie refundacją </w:t>
      </w:r>
      <w:r w:rsidR="002F3959">
        <w:rPr>
          <w:rFonts w:ascii="Lato" w:hAnsi="Lato"/>
        </w:rPr>
        <w:t xml:space="preserve">i ustalenie ceny zbytu netto </w:t>
      </w:r>
      <w:r>
        <w:rPr>
          <w:rFonts w:ascii="Lato" w:hAnsi="Lato"/>
        </w:rPr>
        <w:t>kolejnych leków</w:t>
      </w:r>
      <w:r w:rsidR="002F3959">
        <w:rPr>
          <w:rFonts w:ascii="Lato" w:hAnsi="Lato"/>
        </w:rPr>
        <w:t xml:space="preserve">, </w:t>
      </w:r>
      <w:r>
        <w:rPr>
          <w:rFonts w:ascii="Lato" w:hAnsi="Lato"/>
        </w:rPr>
        <w:t xml:space="preserve">które znalazły się liście kardiologicznych </w:t>
      </w:r>
      <w:proofErr w:type="gramStart"/>
      <w:r>
        <w:rPr>
          <w:rFonts w:ascii="Lato" w:hAnsi="Lato"/>
        </w:rPr>
        <w:t>leków  o</w:t>
      </w:r>
      <w:proofErr w:type="gramEnd"/>
      <w:r>
        <w:rPr>
          <w:rFonts w:ascii="Lato" w:hAnsi="Lato"/>
        </w:rPr>
        <w:t xml:space="preserve"> ugruntowanej skuteczności.</w:t>
      </w:r>
    </w:p>
    <w:p w14:paraId="4F71D2AA" w14:textId="77777777" w:rsidR="00FF3453" w:rsidRDefault="00FF3453" w:rsidP="00FF3453">
      <w:pPr>
        <w:spacing w:line="360" w:lineRule="auto"/>
        <w:rPr>
          <w:rFonts w:ascii="Lato" w:hAnsi="Lato"/>
        </w:rPr>
      </w:pPr>
      <w:r>
        <w:rPr>
          <w:rFonts w:ascii="Lato" w:hAnsi="Lato"/>
        </w:rPr>
        <w:t>Należy jednocześnie zaznaczyć, że lista leków o ugruntowanej skuteczności dotycząca leków we wskazaniach kardiologicznych nie będzie jedyną listą leków o ugruntowanej skuteczności - planowane jest opublikowanie kilku list, w podziale na poszczególne dziedziny medycyny</w:t>
      </w:r>
      <w:r w:rsidRPr="002A5D82">
        <w:rPr>
          <w:rFonts w:ascii="Lato" w:hAnsi="Lato"/>
        </w:rPr>
        <w:t>.</w:t>
      </w:r>
      <w:r>
        <w:rPr>
          <w:rFonts w:ascii="Lato" w:hAnsi="Lato"/>
        </w:rPr>
        <w:t xml:space="preserve"> Aktualnie trwają prace nad przygotowaniem listy leków o ugruntowanej skuteczności we wskazaniach onkologicznych.</w:t>
      </w:r>
    </w:p>
    <w:p w14:paraId="1225CA64" w14:textId="77777777" w:rsidR="00D95653" w:rsidRDefault="00D95653" w:rsidP="0068046C">
      <w:pPr>
        <w:suppressAutoHyphens w:val="0"/>
        <w:rPr>
          <w:rFonts w:ascii="Lato" w:hAnsi="Lato"/>
          <w:b/>
          <w:bCs/>
          <w:color w:val="00B0F0"/>
        </w:rPr>
      </w:pPr>
    </w:p>
    <w:sectPr w:rsidR="00D95653" w:rsidSect="005058F2">
      <w:head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775A6" w14:textId="77777777" w:rsidR="004F2138" w:rsidRDefault="004F2138">
      <w:pPr>
        <w:spacing w:after="0" w:line="240" w:lineRule="auto"/>
      </w:pPr>
      <w:r>
        <w:separator/>
      </w:r>
    </w:p>
  </w:endnote>
  <w:endnote w:type="continuationSeparator" w:id="0">
    <w:p w14:paraId="1BD0E2FD" w14:textId="77777777" w:rsidR="004F2138" w:rsidRDefault="004F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519C7" w14:textId="77777777" w:rsidR="004F2138" w:rsidRDefault="004F21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52ED0C" w14:textId="77777777" w:rsidR="004F2138" w:rsidRDefault="004F2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F36CF" w14:textId="4633511D" w:rsidR="005058F2" w:rsidRDefault="00143D0B">
    <w:pPr>
      <w:pStyle w:val="Nagwek"/>
    </w:pPr>
    <w:bookmarkStart w:id="3" w:name="_Hlk74147372"/>
    <w:bookmarkEnd w:id="3"/>
    <w:r>
      <w:rPr>
        <w:noProof/>
        <w:lang w:eastAsia="pl-PL"/>
      </w:rPr>
      <w:drawing>
        <wp:inline distT="0" distB="0" distL="0" distR="0" wp14:anchorId="39BB8D04" wp14:editId="6B1DB73B">
          <wp:extent cx="2381885" cy="10617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1EC"/>
    <w:multiLevelType w:val="hybridMultilevel"/>
    <w:tmpl w:val="C46C0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163CA"/>
    <w:multiLevelType w:val="hybridMultilevel"/>
    <w:tmpl w:val="0DE0BC64"/>
    <w:lvl w:ilvl="0" w:tplc="CEC4EFEE">
      <w:start w:val="1"/>
      <w:numFmt w:val="bullet"/>
      <w:lvlText w:val="•"/>
      <w:lvlJc w:val="left"/>
      <w:pPr>
        <w:ind w:left="1049" w:firstLine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D2743CD"/>
    <w:multiLevelType w:val="hybridMultilevel"/>
    <w:tmpl w:val="C2FA7544"/>
    <w:lvl w:ilvl="0" w:tplc="04150001">
      <w:start w:val="1"/>
      <w:numFmt w:val="bullet"/>
      <w:lvlText w:val=""/>
      <w:lvlJc w:val="left"/>
      <w:pPr>
        <w:ind w:left="-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abstractNum w:abstractNumId="3" w15:restartNumberingAfterBreak="0">
    <w:nsid w:val="10A07FCB"/>
    <w:multiLevelType w:val="hybridMultilevel"/>
    <w:tmpl w:val="0BA65214"/>
    <w:lvl w:ilvl="0" w:tplc="39D87CB8">
      <w:numFmt w:val="bullet"/>
      <w:lvlText w:val="•"/>
      <w:lvlJc w:val="left"/>
      <w:pPr>
        <w:ind w:left="1065" w:hanging="705"/>
      </w:pPr>
      <w:rPr>
        <w:rFonts w:ascii="Lato" w:eastAsia="Calibri" w:hAnsi="Lato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E0EDD"/>
    <w:multiLevelType w:val="hybridMultilevel"/>
    <w:tmpl w:val="AD00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E7DCF"/>
    <w:multiLevelType w:val="hybridMultilevel"/>
    <w:tmpl w:val="63C4AF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A078A"/>
    <w:multiLevelType w:val="hybridMultilevel"/>
    <w:tmpl w:val="ACEE9582"/>
    <w:lvl w:ilvl="0" w:tplc="0E8C5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83431"/>
    <w:multiLevelType w:val="hybridMultilevel"/>
    <w:tmpl w:val="ABB6E3FC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57CAC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1" w15:restartNumberingAfterBreak="0">
    <w:nsid w:val="1E346ADB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2" w15:restartNumberingAfterBreak="0">
    <w:nsid w:val="28D70D2E"/>
    <w:multiLevelType w:val="hybridMultilevel"/>
    <w:tmpl w:val="C33A189C"/>
    <w:lvl w:ilvl="0" w:tplc="255A6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91E53"/>
    <w:multiLevelType w:val="hybridMultilevel"/>
    <w:tmpl w:val="E0781596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F1C7E"/>
    <w:multiLevelType w:val="hybridMultilevel"/>
    <w:tmpl w:val="82E65A46"/>
    <w:lvl w:ilvl="0" w:tplc="255A6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B65B2"/>
    <w:multiLevelType w:val="hybridMultilevel"/>
    <w:tmpl w:val="683C3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F3043"/>
    <w:multiLevelType w:val="hybridMultilevel"/>
    <w:tmpl w:val="7F041AF0"/>
    <w:lvl w:ilvl="0" w:tplc="07E64A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7" w15:restartNumberingAfterBreak="0">
    <w:nsid w:val="393F60CD"/>
    <w:multiLevelType w:val="hybridMultilevel"/>
    <w:tmpl w:val="7580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E0B82"/>
    <w:multiLevelType w:val="hybridMultilevel"/>
    <w:tmpl w:val="386C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C1AA0"/>
    <w:multiLevelType w:val="hybridMultilevel"/>
    <w:tmpl w:val="5D0AAF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3C6885"/>
    <w:multiLevelType w:val="hybridMultilevel"/>
    <w:tmpl w:val="0B8E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40582"/>
    <w:multiLevelType w:val="hybridMultilevel"/>
    <w:tmpl w:val="19703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076C3"/>
    <w:multiLevelType w:val="hybridMultilevel"/>
    <w:tmpl w:val="ED322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F6E8B"/>
    <w:multiLevelType w:val="multilevel"/>
    <w:tmpl w:val="C32AD0A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24" w15:restartNumberingAfterBreak="0">
    <w:nsid w:val="4EBA728E"/>
    <w:multiLevelType w:val="hybridMultilevel"/>
    <w:tmpl w:val="1748AC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72792B"/>
    <w:multiLevelType w:val="hybridMultilevel"/>
    <w:tmpl w:val="75AA8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B03E5C"/>
    <w:multiLevelType w:val="hybridMultilevel"/>
    <w:tmpl w:val="FF32B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F5C7F"/>
    <w:multiLevelType w:val="hybridMultilevel"/>
    <w:tmpl w:val="5AF2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F0D0B"/>
    <w:multiLevelType w:val="hybridMultilevel"/>
    <w:tmpl w:val="3A2E6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94C8D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67E73"/>
    <w:multiLevelType w:val="hybridMultilevel"/>
    <w:tmpl w:val="B47C761A"/>
    <w:lvl w:ilvl="0" w:tplc="0CEC0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24C5B"/>
    <w:multiLevelType w:val="hybridMultilevel"/>
    <w:tmpl w:val="01F6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068946">
    <w:abstractNumId w:val="9"/>
  </w:num>
  <w:num w:numId="2" w16cid:durableId="983047750">
    <w:abstractNumId w:val="6"/>
  </w:num>
  <w:num w:numId="3" w16cid:durableId="912206815">
    <w:abstractNumId w:val="10"/>
  </w:num>
  <w:num w:numId="4" w16cid:durableId="19192415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262071">
    <w:abstractNumId w:val="29"/>
  </w:num>
  <w:num w:numId="6" w16cid:durableId="1164782895">
    <w:abstractNumId w:val="8"/>
  </w:num>
  <w:num w:numId="7" w16cid:durableId="1764568987">
    <w:abstractNumId w:val="13"/>
  </w:num>
  <w:num w:numId="8" w16cid:durableId="1605840971">
    <w:abstractNumId w:val="16"/>
  </w:num>
  <w:num w:numId="9" w16cid:durableId="969629549">
    <w:abstractNumId w:val="27"/>
  </w:num>
  <w:num w:numId="10" w16cid:durableId="1576276737">
    <w:abstractNumId w:val="2"/>
  </w:num>
  <w:num w:numId="11" w16cid:durableId="409036424">
    <w:abstractNumId w:val="31"/>
  </w:num>
  <w:num w:numId="12" w16cid:durableId="1526747669">
    <w:abstractNumId w:val="4"/>
  </w:num>
  <w:num w:numId="13" w16cid:durableId="1746950255">
    <w:abstractNumId w:val="17"/>
  </w:num>
  <w:num w:numId="14" w16cid:durableId="329715522">
    <w:abstractNumId w:val="20"/>
  </w:num>
  <w:num w:numId="15" w16cid:durableId="1837842867">
    <w:abstractNumId w:val="18"/>
  </w:num>
  <w:num w:numId="16" w16cid:durableId="1970238000">
    <w:abstractNumId w:val="28"/>
  </w:num>
  <w:num w:numId="17" w16cid:durableId="485172914">
    <w:abstractNumId w:val="23"/>
  </w:num>
  <w:num w:numId="18" w16cid:durableId="338780148">
    <w:abstractNumId w:val="11"/>
  </w:num>
  <w:num w:numId="19" w16cid:durableId="1977641737">
    <w:abstractNumId w:val="2"/>
  </w:num>
  <w:num w:numId="20" w16cid:durableId="1099830501">
    <w:abstractNumId w:val="1"/>
  </w:num>
  <w:num w:numId="21" w16cid:durableId="1796680411">
    <w:abstractNumId w:val="25"/>
  </w:num>
  <w:num w:numId="22" w16cid:durableId="1157845039">
    <w:abstractNumId w:val="24"/>
  </w:num>
  <w:num w:numId="23" w16cid:durableId="1318220489">
    <w:abstractNumId w:val="21"/>
  </w:num>
  <w:num w:numId="24" w16cid:durableId="791442922">
    <w:abstractNumId w:val="26"/>
  </w:num>
  <w:num w:numId="25" w16cid:durableId="65421285">
    <w:abstractNumId w:val="22"/>
  </w:num>
  <w:num w:numId="26" w16cid:durableId="1606185368">
    <w:abstractNumId w:val="15"/>
  </w:num>
  <w:num w:numId="27" w16cid:durableId="831680936">
    <w:abstractNumId w:val="0"/>
  </w:num>
  <w:num w:numId="28" w16cid:durableId="1240824240">
    <w:abstractNumId w:val="3"/>
  </w:num>
  <w:num w:numId="29" w16cid:durableId="815341669">
    <w:abstractNumId w:val="30"/>
  </w:num>
  <w:num w:numId="30" w16cid:durableId="1505048803">
    <w:abstractNumId w:val="3"/>
  </w:num>
  <w:num w:numId="31" w16cid:durableId="1318269992">
    <w:abstractNumId w:val="12"/>
  </w:num>
  <w:num w:numId="32" w16cid:durableId="2061516888">
    <w:abstractNumId w:val="14"/>
  </w:num>
  <w:num w:numId="33" w16cid:durableId="682518685">
    <w:abstractNumId w:val="5"/>
  </w:num>
  <w:num w:numId="34" w16cid:durableId="1970359061">
    <w:abstractNumId w:val="19"/>
  </w:num>
  <w:num w:numId="35" w16cid:durableId="785989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06AE8"/>
    <w:rsid w:val="00020DA9"/>
    <w:rsid w:val="00031E9F"/>
    <w:rsid w:val="00033ED5"/>
    <w:rsid w:val="0004009C"/>
    <w:rsid w:val="0005011B"/>
    <w:rsid w:val="00052E44"/>
    <w:rsid w:val="000702E4"/>
    <w:rsid w:val="00070A13"/>
    <w:rsid w:val="00070A89"/>
    <w:rsid w:val="00072A7E"/>
    <w:rsid w:val="0008118E"/>
    <w:rsid w:val="00086074"/>
    <w:rsid w:val="0009112E"/>
    <w:rsid w:val="00097B17"/>
    <w:rsid w:val="000A0C6C"/>
    <w:rsid w:val="000A3571"/>
    <w:rsid w:val="000A4576"/>
    <w:rsid w:val="000A688D"/>
    <w:rsid w:val="000A6B96"/>
    <w:rsid w:val="000B21F0"/>
    <w:rsid w:val="000B32C4"/>
    <w:rsid w:val="000B7075"/>
    <w:rsid w:val="000D02C0"/>
    <w:rsid w:val="000D2FED"/>
    <w:rsid w:val="000E3BBE"/>
    <w:rsid w:val="000E649C"/>
    <w:rsid w:val="000F077F"/>
    <w:rsid w:val="000F28DF"/>
    <w:rsid w:val="000F3ED2"/>
    <w:rsid w:val="000F5E24"/>
    <w:rsid w:val="001030B2"/>
    <w:rsid w:val="00107618"/>
    <w:rsid w:val="001204EA"/>
    <w:rsid w:val="0012601A"/>
    <w:rsid w:val="0014120D"/>
    <w:rsid w:val="00143D0B"/>
    <w:rsid w:val="00144B55"/>
    <w:rsid w:val="00155C8E"/>
    <w:rsid w:val="00161605"/>
    <w:rsid w:val="00170D7F"/>
    <w:rsid w:val="00172790"/>
    <w:rsid w:val="00173D8E"/>
    <w:rsid w:val="00180F5C"/>
    <w:rsid w:val="00186CB7"/>
    <w:rsid w:val="00190358"/>
    <w:rsid w:val="001933DE"/>
    <w:rsid w:val="00194CB4"/>
    <w:rsid w:val="00197FA2"/>
    <w:rsid w:val="001A1A5B"/>
    <w:rsid w:val="001A7E82"/>
    <w:rsid w:val="001B0859"/>
    <w:rsid w:val="001B354B"/>
    <w:rsid w:val="001B440C"/>
    <w:rsid w:val="001B7475"/>
    <w:rsid w:val="001C55FC"/>
    <w:rsid w:val="001D6485"/>
    <w:rsid w:val="001E2320"/>
    <w:rsid w:val="001E610A"/>
    <w:rsid w:val="001E721F"/>
    <w:rsid w:val="001F40F8"/>
    <w:rsid w:val="00205C55"/>
    <w:rsid w:val="00206C0B"/>
    <w:rsid w:val="00221A2A"/>
    <w:rsid w:val="002270E2"/>
    <w:rsid w:val="00230BB7"/>
    <w:rsid w:val="002359B4"/>
    <w:rsid w:val="0024697E"/>
    <w:rsid w:val="00255E53"/>
    <w:rsid w:val="002726DD"/>
    <w:rsid w:val="00275115"/>
    <w:rsid w:val="00280311"/>
    <w:rsid w:val="00281BE7"/>
    <w:rsid w:val="00286651"/>
    <w:rsid w:val="00287196"/>
    <w:rsid w:val="0029287B"/>
    <w:rsid w:val="0029403F"/>
    <w:rsid w:val="002A4B11"/>
    <w:rsid w:val="002A56D5"/>
    <w:rsid w:val="002C0340"/>
    <w:rsid w:val="002C19DE"/>
    <w:rsid w:val="002C497F"/>
    <w:rsid w:val="002D4969"/>
    <w:rsid w:val="002D55B8"/>
    <w:rsid w:val="002D6ED9"/>
    <w:rsid w:val="002E46AC"/>
    <w:rsid w:val="002E7482"/>
    <w:rsid w:val="002F0FB2"/>
    <w:rsid w:val="002F3959"/>
    <w:rsid w:val="002F61E3"/>
    <w:rsid w:val="003051DF"/>
    <w:rsid w:val="0031104C"/>
    <w:rsid w:val="003130CA"/>
    <w:rsid w:val="00326537"/>
    <w:rsid w:val="003357D9"/>
    <w:rsid w:val="00337B00"/>
    <w:rsid w:val="00355899"/>
    <w:rsid w:val="00356E75"/>
    <w:rsid w:val="0035733E"/>
    <w:rsid w:val="00367C47"/>
    <w:rsid w:val="00374DBE"/>
    <w:rsid w:val="0037704D"/>
    <w:rsid w:val="0037714E"/>
    <w:rsid w:val="00381C2D"/>
    <w:rsid w:val="003841AB"/>
    <w:rsid w:val="00387421"/>
    <w:rsid w:val="00392C57"/>
    <w:rsid w:val="003935E8"/>
    <w:rsid w:val="003975D4"/>
    <w:rsid w:val="003A0F16"/>
    <w:rsid w:val="003A5B7D"/>
    <w:rsid w:val="003A6433"/>
    <w:rsid w:val="003B46BF"/>
    <w:rsid w:val="003D2AE2"/>
    <w:rsid w:val="003D71C6"/>
    <w:rsid w:val="003F072E"/>
    <w:rsid w:val="00404F9B"/>
    <w:rsid w:val="00411C64"/>
    <w:rsid w:val="004156E6"/>
    <w:rsid w:val="00415707"/>
    <w:rsid w:val="00416F70"/>
    <w:rsid w:val="0041703B"/>
    <w:rsid w:val="00437B05"/>
    <w:rsid w:val="004403B4"/>
    <w:rsid w:val="004448D7"/>
    <w:rsid w:val="00446466"/>
    <w:rsid w:val="00447CE9"/>
    <w:rsid w:val="00451A39"/>
    <w:rsid w:val="00453B55"/>
    <w:rsid w:val="00454FD1"/>
    <w:rsid w:val="00457779"/>
    <w:rsid w:val="00466FE8"/>
    <w:rsid w:val="004744CD"/>
    <w:rsid w:val="0048011A"/>
    <w:rsid w:val="004850DC"/>
    <w:rsid w:val="00490715"/>
    <w:rsid w:val="00491267"/>
    <w:rsid w:val="00491300"/>
    <w:rsid w:val="00492285"/>
    <w:rsid w:val="004A2F20"/>
    <w:rsid w:val="004A2F45"/>
    <w:rsid w:val="004A5135"/>
    <w:rsid w:val="004B2F38"/>
    <w:rsid w:val="004C35E7"/>
    <w:rsid w:val="004D093B"/>
    <w:rsid w:val="004D2191"/>
    <w:rsid w:val="004D7DDC"/>
    <w:rsid w:val="004E4723"/>
    <w:rsid w:val="004F2138"/>
    <w:rsid w:val="004F3FEF"/>
    <w:rsid w:val="005058F2"/>
    <w:rsid w:val="00512C38"/>
    <w:rsid w:val="00512C7C"/>
    <w:rsid w:val="005130EF"/>
    <w:rsid w:val="005143E4"/>
    <w:rsid w:val="0055182D"/>
    <w:rsid w:val="00553AE5"/>
    <w:rsid w:val="0056748F"/>
    <w:rsid w:val="00574D83"/>
    <w:rsid w:val="005871C9"/>
    <w:rsid w:val="005B06B3"/>
    <w:rsid w:val="005B598A"/>
    <w:rsid w:val="005C1412"/>
    <w:rsid w:val="005C1959"/>
    <w:rsid w:val="005C499F"/>
    <w:rsid w:val="005C608D"/>
    <w:rsid w:val="005C6551"/>
    <w:rsid w:val="005D269A"/>
    <w:rsid w:val="005D3140"/>
    <w:rsid w:val="005D5D31"/>
    <w:rsid w:val="005E4CF5"/>
    <w:rsid w:val="005E7898"/>
    <w:rsid w:val="005F70FE"/>
    <w:rsid w:val="006008CD"/>
    <w:rsid w:val="00624B95"/>
    <w:rsid w:val="00633806"/>
    <w:rsid w:val="00633883"/>
    <w:rsid w:val="00634434"/>
    <w:rsid w:val="0064109C"/>
    <w:rsid w:val="0064487F"/>
    <w:rsid w:val="006648F3"/>
    <w:rsid w:val="006678F1"/>
    <w:rsid w:val="00670C14"/>
    <w:rsid w:val="00676F9D"/>
    <w:rsid w:val="0068046C"/>
    <w:rsid w:val="00680B0E"/>
    <w:rsid w:val="00687B5F"/>
    <w:rsid w:val="00687E5A"/>
    <w:rsid w:val="006905E7"/>
    <w:rsid w:val="006967BC"/>
    <w:rsid w:val="006A03EB"/>
    <w:rsid w:val="006A533F"/>
    <w:rsid w:val="006A7DCE"/>
    <w:rsid w:val="006B1374"/>
    <w:rsid w:val="006C1B62"/>
    <w:rsid w:val="006C452F"/>
    <w:rsid w:val="006C4ED5"/>
    <w:rsid w:val="006D079B"/>
    <w:rsid w:val="006D183E"/>
    <w:rsid w:val="006D336E"/>
    <w:rsid w:val="006D7964"/>
    <w:rsid w:val="006F1E88"/>
    <w:rsid w:val="006F498A"/>
    <w:rsid w:val="006F5BEB"/>
    <w:rsid w:val="00710891"/>
    <w:rsid w:val="007135A8"/>
    <w:rsid w:val="007156F6"/>
    <w:rsid w:val="00715B91"/>
    <w:rsid w:val="007321D8"/>
    <w:rsid w:val="00733AF9"/>
    <w:rsid w:val="00734732"/>
    <w:rsid w:val="00740ABA"/>
    <w:rsid w:val="007419DE"/>
    <w:rsid w:val="0074295D"/>
    <w:rsid w:val="00755E27"/>
    <w:rsid w:val="00767841"/>
    <w:rsid w:val="0078723A"/>
    <w:rsid w:val="007A4FB5"/>
    <w:rsid w:val="007B043E"/>
    <w:rsid w:val="007B66D4"/>
    <w:rsid w:val="007C4332"/>
    <w:rsid w:val="007C4C95"/>
    <w:rsid w:val="007D0493"/>
    <w:rsid w:val="007D1551"/>
    <w:rsid w:val="007D273D"/>
    <w:rsid w:val="007D6A3A"/>
    <w:rsid w:val="007D6B6F"/>
    <w:rsid w:val="007D74E2"/>
    <w:rsid w:val="007F016E"/>
    <w:rsid w:val="007F79B9"/>
    <w:rsid w:val="008008F6"/>
    <w:rsid w:val="008017A7"/>
    <w:rsid w:val="00823875"/>
    <w:rsid w:val="00827817"/>
    <w:rsid w:val="00827986"/>
    <w:rsid w:val="008279BD"/>
    <w:rsid w:val="00831243"/>
    <w:rsid w:val="0084154E"/>
    <w:rsid w:val="00843352"/>
    <w:rsid w:val="00844624"/>
    <w:rsid w:val="008462C0"/>
    <w:rsid w:val="0087118E"/>
    <w:rsid w:val="008771C8"/>
    <w:rsid w:val="00882DCA"/>
    <w:rsid w:val="00885CAE"/>
    <w:rsid w:val="0088727A"/>
    <w:rsid w:val="00896D35"/>
    <w:rsid w:val="008B00C4"/>
    <w:rsid w:val="008B43B0"/>
    <w:rsid w:val="008B465D"/>
    <w:rsid w:val="008C0493"/>
    <w:rsid w:val="008C0E92"/>
    <w:rsid w:val="008D45C3"/>
    <w:rsid w:val="008E18D7"/>
    <w:rsid w:val="008E33C7"/>
    <w:rsid w:val="008E6FD5"/>
    <w:rsid w:val="008E7029"/>
    <w:rsid w:val="008F1D35"/>
    <w:rsid w:val="009066C7"/>
    <w:rsid w:val="0092216D"/>
    <w:rsid w:val="00933339"/>
    <w:rsid w:val="00953B84"/>
    <w:rsid w:val="00973357"/>
    <w:rsid w:val="0097445D"/>
    <w:rsid w:val="00982754"/>
    <w:rsid w:val="009943F4"/>
    <w:rsid w:val="00995FDD"/>
    <w:rsid w:val="00996389"/>
    <w:rsid w:val="009A2234"/>
    <w:rsid w:val="009A405B"/>
    <w:rsid w:val="009A6D46"/>
    <w:rsid w:val="009B2F99"/>
    <w:rsid w:val="009B7A4D"/>
    <w:rsid w:val="009C573D"/>
    <w:rsid w:val="009D10B8"/>
    <w:rsid w:val="009D185F"/>
    <w:rsid w:val="009D43CC"/>
    <w:rsid w:val="009E2331"/>
    <w:rsid w:val="009F413F"/>
    <w:rsid w:val="009F550A"/>
    <w:rsid w:val="009F7497"/>
    <w:rsid w:val="00A01F60"/>
    <w:rsid w:val="00A118F0"/>
    <w:rsid w:val="00A159DA"/>
    <w:rsid w:val="00A16F0D"/>
    <w:rsid w:val="00A22494"/>
    <w:rsid w:val="00A22A7B"/>
    <w:rsid w:val="00A242D8"/>
    <w:rsid w:val="00A434EB"/>
    <w:rsid w:val="00A45A61"/>
    <w:rsid w:val="00A5351C"/>
    <w:rsid w:val="00A54C06"/>
    <w:rsid w:val="00A633F0"/>
    <w:rsid w:val="00A6481E"/>
    <w:rsid w:val="00A66140"/>
    <w:rsid w:val="00A66626"/>
    <w:rsid w:val="00A7064A"/>
    <w:rsid w:val="00A7345A"/>
    <w:rsid w:val="00A75027"/>
    <w:rsid w:val="00A90397"/>
    <w:rsid w:val="00A90CB0"/>
    <w:rsid w:val="00A9374D"/>
    <w:rsid w:val="00A94461"/>
    <w:rsid w:val="00A960EA"/>
    <w:rsid w:val="00AA4608"/>
    <w:rsid w:val="00AA6179"/>
    <w:rsid w:val="00AB1235"/>
    <w:rsid w:val="00AB2D5E"/>
    <w:rsid w:val="00AC0511"/>
    <w:rsid w:val="00AD08C5"/>
    <w:rsid w:val="00AE021F"/>
    <w:rsid w:val="00AE069A"/>
    <w:rsid w:val="00AF1EBC"/>
    <w:rsid w:val="00B1467F"/>
    <w:rsid w:val="00B31928"/>
    <w:rsid w:val="00B326A9"/>
    <w:rsid w:val="00B45ED3"/>
    <w:rsid w:val="00B543E9"/>
    <w:rsid w:val="00B57127"/>
    <w:rsid w:val="00B76B2B"/>
    <w:rsid w:val="00B8251D"/>
    <w:rsid w:val="00B907C0"/>
    <w:rsid w:val="00B94288"/>
    <w:rsid w:val="00B9538B"/>
    <w:rsid w:val="00BA15A9"/>
    <w:rsid w:val="00BB30C0"/>
    <w:rsid w:val="00BC376D"/>
    <w:rsid w:val="00BD18E8"/>
    <w:rsid w:val="00BD20BC"/>
    <w:rsid w:val="00C02DC6"/>
    <w:rsid w:val="00C15673"/>
    <w:rsid w:val="00C15E6F"/>
    <w:rsid w:val="00C210A9"/>
    <w:rsid w:val="00C22821"/>
    <w:rsid w:val="00C243BF"/>
    <w:rsid w:val="00C25F63"/>
    <w:rsid w:val="00C276AE"/>
    <w:rsid w:val="00C31A22"/>
    <w:rsid w:val="00C34F0F"/>
    <w:rsid w:val="00C4237C"/>
    <w:rsid w:val="00C55C85"/>
    <w:rsid w:val="00C60868"/>
    <w:rsid w:val="00C6097A"/>
    <w:rsid w:val="00C645B7"/>
    <w:rsid w:val="00C64DAA"/>
    <w:rsid w:val="00C65204"/>
    <w:rsid w:val="00C70530"/>
    <w:rsid w:val="00C77217"/>
    <w:rsid w:val="00C816A5"/>
    <w:rsid w:val="00C83BE1"/>
    <w:rsid w:val="00C97315"/>
    <w:rsid w:val="00CA1AD2"/>
    <w:rsid w:val="00CA2878"/>
    <w:rsid w:val="00CA7D06"/>
    <w:rsid w:val="00CB2E2B"/>
    <w:rsid w:val="00CB3D33"/>
    <w:rsid w:val="00CB42C4"/>
    <w:rsid w:val="00CC0463"/>
    <w:rsid w:val="00CC7F58"/>
    <w:rsid w:val="00CD47C3"/>
    <w:rsid w:val="00CE099F"/>
    <w:rsid w:val="00CE73E2"/>
    <w:rsid w:val="00CF402D"/>
    <w:rsid w:val="00CF5E4F"/>
    <w:rsid w:val="00CF7674"/>
    <w:rsid w:val="00D17D3E"/>
    <w:rsid w:val="00D44A5D"/>
    <w:rsid w:val="00D510E8"/>
    <w:rsid w:val="00D554A2"/>
    <w:rsid w:val="00D5628B"/>
    <w:rsid w:val="00D63F4F"/>
    <w:rsid w:val="00D6426A"/>
    <w:rsid w:val="00D66456"/>
    <w:rsid w:val="00D77CD0"/>
    <w:rsid w:val="00D81CE2"/>
    <w:rsid w:val="00D86214"/>
    <w:rsid w:val="00D9306F"/>
    <w:rsid w:val="00D95653"/>
    <w:rsid w:val="00DB0B88"/>
    <w:rsid w:val="00DD18C6"/>
    <w:rsid w:val="00DD6D00"/>
    <w:rsid w:val="00DE00F0"/>
    <w:rsid w:val="00DE1894"/>
    <w:rsid w:val="00DE5079"/>
    <w:rsid w:val="00DF6B3A"/>
    <w:rsid w:val="00DF737A"/>
    <w:rsid w:val="00E10271"/>
    <w:rsid w:val="00E22AAD"/>
    <w:rsid w:val="00E34DF7"/>
    <w:rsid w:val="00E35DF6"/>
    <w:rsid w:val="00E428D4"/>
    <w:rsid w:val="00E50D44"/>
    <w:rsid w:val="00E52765"/>
    <w:rsid w:val="00E530B9"/>
    <w:rsid w:val="00E64133"/>
    <w:rsid w:val="00E64860"/>
    <w:rsid w:val="00E66456"/>
    <w:rsid w:val="00E738D5"/>
    <w:rsid w:val="00E8288D"/>
    <w:rsid w:val="00E8348C"/>
    <w:rsid w:val="00E900DE"/>
    <w:rsid w:val="00E917CC"/>
    <w:rsid w:val="00E91E64"/>
    <w:rsid w:val="00EA326D"/>
    <w:rsid w:val="00EA3852"/>
    <w:rsid w:val="00EB1B3E"/>
    <w:rsid w:val="00EB5A68"/>
    <w:rsid w:val="00EB77EA"/>
    <w:rsid w:val="00EC0C4F"/>
    <w:rsid w:val="00EC2B8F"/>
    <w:rsid w:val="00EC74BA"/>
    <w:rsid w:val="00ED15F0"/>
    <w:rsid w:val="00EE4384"/>
    <w:rsid w:val="00EE4BD7"/>
    <w:rsid w:val="00EF3551"/>
    <w:rsid w:val="00F017D6"/>
    <w:rsid w:val="00F12CF6"/>
    <w:rsid w:val="00F147FC"/>
    <w:rsid w:val="00F15BD4"/>
    <w:rsid w:val="00F31A79"/>
    <w:rsid w:val="00F42214"/>
    <w:rsid w:val="00F5061B"/>
    <w:rsid w:val="00F61A7D"/>
    <w:rsid w:val="00F63AA8"/>
    <w:rsid w:val="00F67964"/>
    <w:rsid w:val="00F67CA2"/>
    <w:rsid w:val="00F859A8"/>
    <w:rsid w:val="00F9203E"/>
    <w:rsid w:val="00F957B7"/>
    <w:rsid w:val="00FA53DF"/>
    <w:rsid w:val="00FB2364"/>
    <w:rsid w:val="00FB30AC"/>
    <w:rsid w:val="00FB3B6F"/>
    <w:rsid w:val="00FC712D"/>
    <w:rsid w:val="00FD39E3"/>
    <w:rsid w:val="00FD48BC"/>
    <w:rsid w:val="00FD59F5"/>
    <w:rsid w:val="00FE1242"/>
    <w:rsid w:val="00FE6EDA"/>
    <w:rsid w:val="00FF3453"/>
    <w:rsid w:val="00FF68D9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46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1,Styl moj,aotm_załączniki,Akapit z listą11,Table Legend,Dot pt,F5 List Paragraph,List Paragraph1,No Spacing1,List Paragraph Char Char Char,Indicator Text,Colorful List - Accent 11,Numbered Para 1,Bullet 1,Bullet Points,MAIN CONTENT"/>
    <w:basedOn w:val="Normalny"/>
    <w:link w:val="AkapitzlistZnak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paragraph" w:customStyle="1" w:styleId="Style2">
    <w:name w:val="Style2"/>
    <w:basedOn w:val="Normalny"/>
    <w:uiPriority w:val="99"/>
    <w:rsid w:val="00230BB7"/>
    <w:pPr>
      <w:widowControl w:val="0"/>
      <w:suppressAutoHyphens w:val="0"/>
      <w:autoSpaceDE w:val="0"/>
      <w:adjustRightInd w:val="0"/>
      <w:spacing w:after="0" w:line="331" w:lineRule="exact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6C1B6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E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1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E9F"/>
    <w:rPr>
      <w:b/>
      <w:bCs/>
      <w:sz w:val="20"/>
      <w:szCs w:val="20"/>
    </w:rPr>
  </w:style>
  <w:style w:type="character" w:customStyle="1" w:styleId="AkapitzlistZnak">
    <w:name w:val="Akapit z listą Znak"/>
    <w:aliases w:val="Bullet1 Znak,Styl moj Znak,aotm_załączniki Znak,Akapit z listą11 Znak,Table Legend Znak,Dot pt Znak,F5 List Paragraph Znak,List Paragraph1 Znak,No Spacing1 Znak,List Paragraph Char Char Char Znak,Indicator Text Znak,Bullet 1 Znak"/>
    <w:basedOn w:val="Domylnaczcionkaakapitu"/>
    <w:link w:val="Akapitzlist"/>
    <w:uiPriority w:val="99"/>
    <w:qFormat/>
    <w:rsid w:val="001933DE"/>
  </w:style>
  <w:style w:type="character" w:styleId="Hipercze">
    <w:name w:val="Hyperlink"/>
    <w:basedOn w:val="Domylnaczcionkaakapitu"/>
    <w:uiPriority w:val="99"/>
    <w:unhideWhenUsed/>
    <w:rsid w:val="00FF34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zdrowie/komunikat-ministra-zdrowia-w-sprawie-refundacji-lekow-z-rywaroksabanem-i-dabigatranem-w-leczeniu-pacjentow-z-migotaniem-przedsionkow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stycze&#324;%202025%20Wykresy%20od%2020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stycze&#324;%202025%20Wykresy%20od%20201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stycze&#324;%202025%20Wykresy%20wskazania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stycze&#324;%202025%20Wykresy%20wskazania%20od%20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2025 r. - ONKO/NIEONKO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059576556477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2025'!$A$3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2025'!$B$1:$E$2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2025'!$B$3:$E$3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D6-4775-8120-B5147DB02683}"/>
            </c:ext>
          </c:extLst>
        </c:ser>
        <c:ser>
          <c:idx val="1"/>
          <c:order val="1"/>
          <c:tx>
            <c:strRef>
              <c:f>'miesiące 2025'!$A$4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2025'!$B$1:$E$2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2025'!$B$4:$E$4</c:f>
              <c:numCache>
                <c:formatCode>General</c:formatCode>
                <c:ptCount val="4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D6-4775-8120-B5147DB0268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2025 r. - choroby rzadkie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294299750992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2025'!$A$18</c:f>
              <c:strCache>
                <c:ptCount val="1"/>
                <c:pt idx="0">
                  <c:v>Wskazania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2025'!$B$16:$E$17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2025'!$B$18:$E$18</c:f>
              <c:numCache>
                <c:formatCode>General</c:formatCode>
                <c:ptCount val="4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62-4E4A-AB96-25F4DD22BAE9}"/>
            </c:ext>
          </c:extLst>
        </c:ser>
        <c:ser>
          <c:idx val="1"/>
          <c:order val="1"/>
          <c:tx>
            <c:strRef>
              <c:f>'miesiące 2025'!$A$19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2025'!$B$16:$E$17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2025'!$B$19:$E$19</c:f>
              <c:numCache>
                <c:formatCode>General</c:formatCode>
                <c:ptCount val="4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62-4E4A-AB96-25F4DD22BA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8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>
                <a:solidFill>
                  <a:sysClr val="windowText" lastClr="000000"/>
                </a:solidFill>
                <a:latin typeface="Lato" panose="020F0502020204030203" pitchFamily="34" charset="-18"/>
              </a:rPr>
              <a:t>Cząsteczko-wskazania onkologiczne w 2025 r. (stan na styczeń) </a:t>
            </a:r>
          </a:p>
        </c:rich>
      </c:tx>
      <c:layout>
        <c:manualLayout>
          <c:xMode val="edge"/>
          <c:yMode val="edge"/>
          <c:x val="0.16798361743243634"/>
          <c:y val="8.61493130797342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8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3582997522272922"/>
          <c:y val="8.6091026768792864E-2"/>
          <c:w val="0.84009663854336591"/>
          <c:h val="0.83115063614323414"/>
        </c:manualLayout>
      </c:layout>
      <c:barChart>
        <c:barDir val="bar"/>
        <c:grouping val="clustered"/>
        <c:varyColors val="0"/>
        <c:ser>
          <c:idx val="10"/>
          <c:order val="0"/>
          <c:tx>
            <c:strRef>
              <c:f>'miesiące 2025'!$B$2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'miesiące 2025'!$A$3:$A$12</c:f>
              <c:strCache>
                <c:ptCount val="6"/>
                <c:pt idx="0">
                  <c:v>Nowotwory układu 
urologicznego</c:v>
                </c:pt>
                <c:pt idx="1">
                  <c:v>Nowotwory układu 
pokarmowego</c:v>
                </c:pt>
                <c:pt idx="2">
                  <c:v>Nowotwory układu 
oddechowego</c:v>
                </c:pt>
                <c:pt idx="3">
                  <c:v>Nowotwory nerki</c:v>
                </c:pt>
                <c:pt idx="4">
                  <c:v>Nowotwory 
ginekologiczne</c:v>
                </c:pt>
                <c:pt idx="5">
                  <c:v>Hematoonkologia</c:v>
                </c:pt>
              </c:strCache>
              <c:extLst/>
            </c:strRef>
          </c:cat>
          <c:val>
            <c:numRef>
              <c:f>'miesiące 2025'!$B$3:$B$12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9024-4343-B18E-5126B4C238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046271"/>
        <c:axId val="751054175"/>
      </c:barChart>
      <c:valAx>
        <c:axId val="75105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1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>
                <a:latin typeface="Lato" panose="020F0502020204030203" pitchFamily="34" charset="-18"/>
              </a:rPr>
              <a:t>Cząsteczko-wskazania nieonkologiczne w 2025 r. (stan na styczeń)  </a:t>
            </a:r>
          </a:p>
        </c:rich>
      </c:tx>
      <c:layout>
        <c:manualLayout>
          <c:xMode val="edge"/>
          <c:yMode val="edge"/>
          <c:x val="0.17106071689831748"/>
          <c:y val="1.36270724506018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0948966438366801"/>
          <c:y val="0.11035246190410618"/>
          <c:w val="0.76644349190079053"/>
          <c:h val="0.7982080936226372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'miesiące 2025'!$B$19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'miesiące 2025'!$A$20:$A$38</c:f>
              <c:strCache>
                <c:ptCount val="12"/>
                <c:pt idx="0">
                  <c:v>Urologia</c:v>
                </c:pt>
                <c:pt idx="1">
                  <c:v>Reumatologia</c:v>
                </c:pt>
                <c:pt idx="2">
                  <c:v>Okulistyka</c:v>
                </c:pt>
                <c:pt idx="3">
                  <c:v>Neurologia</c:v>
                </c:pt>
                <c:pt idx="4">
                  <c:v>Kardiologia</c:v>
                </c:pt>
                <c:pt idx="5">
                  <c:v>Hematologia</c:v>
                </c:pt>
                <c:pt idx="6">
                  <c:v>Gastroenterologia</c:v>
                </c:pt>
                <c:pt idx="7">
                  <c:v>Endokrynologia</c:v>
                </c:pt>
                <c:pt idx="8">
                  <c:v>Diabetologia</c:v>
                </c:pt>
                <c:pt idx="9">
                  <c:v>Dermatologia</c:v>
                </c:pt>
                <c:pt idx="10">
                  <c:v>Angiologia</c:v>
                </c:pt>
                <c:pt idx="11">
                  <c:v>Alergologia</c:v>
                </c:pt>
              </c:strCache>
              <c:extLst/>
            </c:strRef>
          </c:cat>
          <c:val>
            <c:numRef>
              <c:f>'miesiące 2025'!$B$20:$B$38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8C9A-4A93-9DD8-8CAA117D94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296495"/>
        <c:axId val="241294831"/>
      </c:barChart>
      <c:valAx>
        <c:axId val="2412948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  <c:majorUnit val="1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4527</Words>
  <Characters>27166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Tobiaszewski Paweł</cp:lastModifiedBy>
  <cp:revision>6</cp:revision>
  <dcterms:created xsi:type="dcterms:W3CDTF">2024-12-18T07:50:00Z</dcterms:created>
  <dcterms:modified xsi:type="dcterms:W3CDTF">2024-12-18T08:15:00Z</dcterms:modified>
</cp:coreProperties>
</file>